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2024年光明盐行业分析报告及未来五到十年行业发展趋势报告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16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_Toc17616 \h </w:instrText>
        </w:r>
        <w:r>
          <w:fldChar w:fldCharType="separate"/>
        </w:r>
        <w:r>
          <w:t>5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30736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_Toc30736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036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_Toc30036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214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_Toc23214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02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_Toc27802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372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_Toc9372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583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_Toc22583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66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_Toc31663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92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_Toc8926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307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_Toc21307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4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_Toc84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333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_Toc28333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22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_Toc29220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756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_Toc11756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242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_Toc21242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605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_Toc6605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675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_Toc9675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431" w:history="1">
        <w:r>
          <w:rPr>
            <w:rFonts w:eastAsia="微软雅黑" w:hint="eastAsia"/>
            <w:snapToGrid/>
            <w:lang w:val="en-US" w:eastAsia="en-US"/>
          </w:rPr>
          <w:t>四、2024-2029年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_Toc6431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885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_Toc3885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126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_Toc15126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138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_Toc21138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788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_Toc10788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920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_Toc14920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928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_Toc12928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8526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_Toc18526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06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_Toc25060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359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_Toc16359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2878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_Toc12878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79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_Toc20791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71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_Toc32719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8691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行业发展状况及市场分析</w:t>
        </w:r>
        <w:r>
          <w:tab/>
        </w:r>
        <w:r>
          <w:fldChar w:fldCharType="begin"/>
        </w:r>
        <w:r>
          <w:instrText xml:space="preserve"> PAGEREF _Toc18691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846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行业市场行业驱动因素分析</w:t>
        </w:r>
        <w:r>
          <w:tab/>
        </w:r>
        <w:r>
          <w:fldChar w:fldCharType="begin"/>
        </w:r>
        <w:r>
          <w:instrText xml:space="preserve"> PAGEREF _Toc18846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97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行业结构分析</w:t>
        </w:r>
        <w:r>
          <w:tab/>
        </w:r>
        <w:r>
          <w:fldChar w:fldCharType="begin"/>
        </w:r>
        <w:r>
          <w:instrText xml:space="preserve"> PAGEREF _Toc24979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7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行业各因素(PEST)分析</w:t>
        </w:r>
        <w:r>
          <w:tab/>
        </w:r>
        <w:r>
          <w:fldChar w:fldCharType="begin"/>
        </w:r>
        <w:r>
          <w:instrText xml:space="preserve"> PAGEREF _Toc277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3679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_Toc3679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2063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_Toc32063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639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_Toc7639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8217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_Toc8217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787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行业市场规模分析</w:t>
        </w:r>
        <w:r>
          <w:tab/>
        </w:r>
        <w:r>
          <w:fldChar w:fldCharType="begin"/>
        </w:r>
        <w:r>
          <w:instrText xml:space="preserve"> PAGEREF _Toc10787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282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行业特征分析</w:t>
        </w:r>
        <w:r>
          <w:tab/>
        </w:r>
        <w:r>
          <w:fldChar w:fldCharType="begin"/>
        </w:r>
        <w:r>
          <w:instrText xml:space="preserve"> PAGEREF _Toc25282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811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行业相关政策体系不健全</w:t>
        </w:r>
        <w:r>
          <w:tab/>
        </w:r>
        <w:r>
          <w:fldChar w:fldCharType="begin"/>
        </w:r>
        <w:r>
          <w:instrText xml:space="preserve"> PAGEREF _Toc22811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659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_Toc26659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463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_Toc11463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40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_Toc29140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973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_Toc28973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628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_Toc12628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1027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_Toc31027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715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_Toc32715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225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_Toc11225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68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_Toc6368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301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_Toc11301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526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_Toc6526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080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_Toc31080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807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_Toc18807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818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_Toc4818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122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_Toc12122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487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_Toc16487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244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_Toc10244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904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_Toc29904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354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_Toc18354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802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_Toc5802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490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行业技术投资趋势分析</w:t>
        </w:r>
        <w:r>
          <w:tab/>
        </w:r>
        <w:r>
          <w:fldChar w:fldCharType="begin"/>
        </w:r>
        <w:r>
          <w:instrText xml:space="preserve"> PAGE</w:instrText>
        </w:r>
        <w:r>
          <w:instrText xml:space="preserve">REF _Toc14490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619" w:history="1">
        <w:r>
          <w:rPr>
            <w:rFonts w:eastAsia="微软雅黑" w:hint="eastAsia"/>
            <w:snapToGrid/>
            <w:lang w:val="en-US" w:eastAsia="zh-CN"/>
          </w:rPr>
          <w:t>(二)、大项目招商时代已过,精准招商愈发时兴</w:t>
        </w:r>
        <w:r>
          <w:tab/>
        </w:r>
        <w:r>
          <w:fldChar w:fldCharType="begin"/>
        </w:r>
        <w:r>
          <w:instrText xml:space="preserve"> PAGEREF _Toc13619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095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行业投资风险</w:t>
        </w:r>
        <w:r>
          <w:tab/>
        </w:r>
        <w:r>
          <w:fldChar w:fldCharType="begin"/>
        </w:r>
        <w:r>
          <w:instrText xml:space="preserve"> PAGEREF _Toc11095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0" w:history="1">
        <w:r>
          <w:rPr>
            <w:rFonts w:eastAsia="微软雅黑" w:hint="eastAsia"/>
            <w:snapToGrid/>
            <w:lang w:val="en-US" w:eastAsia="zh-CN"/>
          </w:rPr>
          <w:t>(四)、中国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行业投资收益</w:t>
        </w:r>
        <w:r>
          <w:tab/>
        </w:r>
        <w:r>
          <w:fldChar w:fldCharType="begin"/>
        </w:r>
        <w:r>
          <w:instrText xml:space="preserve"> PAGEREF _Toc2960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395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_Toc20395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831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_Toc3831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489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_Toc16489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503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光明盐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_Toc26503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5468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光明盐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_Toc25468 \h </w:instrText>
        </w:r>
        <w:r>
          <w:fldChar w:fldCharType="separate"/>
        </w:r>
        <w:r>
          <w:t>35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https://d.book118.com/246114144125010031</w:t>
        </w:r>
      </w:hyperlink>
    </w:p>
    <w:p>
      <w:pPr>
        <w:pStyle w:val="TOC1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autoRedefine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611414412501003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