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colors1.xml" ContentType="application/vnd.ms-office.chartcolorstyle+xml"/>
  <Override PartName="/word/charts/chart/colors2.xml" ContentType="application/vnd.ms-office.chartcolorstyle+xml"/>
  <Override PartName="/word/charts/chart/colors3.xml" ContentType="application/vnd.ms-office.chartcolorstyle+xml"/>
  <Override PartName="/word/charts/chart/colors4.xml" ContentType="application/vnd.ms-office.chartcolorstyle+xml"/>
  <Override PartName="/word/charts/chart/colors5.xml" ContentType="application/vnd.ms-office.chartcolorstyle+xml"/>
  <Override PartName="/word/charts/chart/style1.xml" ContentType="application/vnd.ms-office.chartstyle+xml"/>
  <Override PartName="/word/charts/chart/style2.xml" ContentType="application/vnd.ms-office.chartstyle+xml"/>
  <Override PartName="/word/charts/chart/style3.xml" ContentType="application/vnd.ms-office.chartstyle+xml"/>
  <Override PartName="/word/charts/chart/style4.xml" ContentType="application/vnd.ms-office.chartstyle+xml"/>
  <Override PartName="/word/charts/chart/style5.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Override PartName="/word/theme/themeOverride5.xml" ContentType="application/vnd.openxmlformats-officedocument.themeOverrid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numPr>
          <w:numId w:val="0"/>
        </w:numPr>
        <w:ind w:left="420" w:leftChars="200"/>
        <w:jc w:val="center"/>
        <w:rPr>
          <w:rFonts w:ascii="黑体" w:eastAsia="黑体" w:hAnsi="黑体" w:hint="eastAsia"/>
          <w:color w:val="000000" w:themeColor="text1"/>
          <w:sz w:val="30"/>
          <w:szCs w:val="30"/>
          <w:lang w:eastAsia="zh-CN"/>
          <w14:textFill>
            <w14:solidFill>
              <w14:schemeClr w14:val="tx1"/>
            </w14:solidFill>
          </w14:textFill>
        </w:rPr>
      </w:pPr>
      <w:bookmarkStart w:id="0" w:name="_Toc32015"/>
      <w:bookmarkStart w:id="1" w:name="_Toc71164677"/>
      <w:bookmarkStart w:id="2" w:name="_GoBack"/>
      <w:r>
        <w:rPr>
          <w:rFonts w:ascii="黑体" w:eastAsia="黑体" w:hAnsi="黑体" w:hint="eastAsia"/>
          <w:color w:val="000000" w:themeColor="text1"/>
          <w:sz w:val="30"/>
          <w:szCs w:val="30"/>
          <w14:textFill>
            <w14:solidFill>
              <w14:schemeClr w14:val="tx1"/>
            </w14:solidFill>
          </w14:textFill>
        </w:rPr>
        <w:t>暴风集团多元化</w:t>
      </w:r>
      <w:r>
        <w:rPr>
          <w:rFonts w:ascii="黑体" w:eastAsia="黑体" w:hAnsi="黑体" w:hint="eastAsia"/>
          <w:color w:val="000000" w:themeColor="text1"/>
          <w:sz w:val="30"/>
          <w:szCs w:val="30"/>
          <w:lang w:eastAsia="zh-CN"/>
          <w14:textFill>
            <w14:solidFill>
              <w14:schemeClr w14:val="tx1"/>
            </w14:solidFill>
          </w14:textFill>
        </w:rPr>
        <w:t>经营失败的案例分析</w:t>
      </w:r>
      <w:bookmarkEnd w:id="0"/>
    </w:p>
    <w:bookmarkEnd w:id="2"/>
    <w:sdt>
      <w:sdtPr>
        <w:rPr>
          <w:rFonts w:ascii="宋体" w:eastAsia="宋体" w:hAnsi="宋体" w:cstheme="minorBidi"/>
          <w:kern w:val="2"/>
          <w:sz w:val="21"/>
          <w:szCs w:val="22"/>
          <w:lang w:val="en-US" w:eastAsia="zh-CN" w:bidi="ar-SA"/>
        </w:rPr>
        <w:id w:val="147474798"/>
        <w:docPartObj>
          <w:docPartGallery w:val="Table of Contents"/>
          <w:docPartUnique/>
        </w:docPartObj>
        <w15:color w:val="DBDBDB"/>
      </w:sdtPr>
      <w:sdtEndPr>
        <w:rPr>
          <w:rFonts w:eastAsia="宋体" w:asciiTheme="minorHAnsi" w:hAnsiTheme="minorHAnsi" w:cstheme="minorBidi" w:hint="eastAsia"/>
          <w:b/>
          <w:kern w:val="2"/>
          <w:sz w:val="21"/>
          <w:szCs w:val="22"/>
          <w:lang w:val="en-US" w:eastAsia="zh-CN" w:bidi="ar-SA"/>
        </w:rPr>
      </w:sdtEndPr>
      <w:sdtContent>
        <w:p>
          <w:pPr>
            <w:spacing w:before="0" w:beforeLines="0" w:after="0" w:afterLines="0" w:line="240" w:lineRule="auto"/>
            <w:ind w:left="0" w:right="0" w:firstLine="0" w:leftChars="0" w:rightChars="0" w:firstLineChars="0"/>
            <w:jc w:val="center"/>
          </w:pPr>
          <w:r>
            <w:rPr>
              <w:rFonts w:ascii="宋体" w:eastAsia="宋体" w:hAnsi="宋体"/>
              <w:sz w:val="21"/>
            </w:rPr>
            <w:t>目录</w:t>
          </w:r>
        </w:p>
        <w:p>
          <w:pPr>
            <w:pStyle w:val="WPSOffice1"/>
            <w:tabs>
              <w:tab w:val="right" w:leader="dot" w:pos="8306"/>
            </w:tabs>
            <w:rPr>
              <w:b/>
            </w:rPr>
          </w:pPr>
          <w:r>
            <w:rPr>
              <w:rFonts w:hint="eastAsia"/>
              <w:lang w:eastAsia="zh-CN"/>
            </w:rPr>
            <w:fldChar w:fldCharType="begin"/>
          </w:r>
          <w:r>
            <w:rPr>
              <w:rFonts w:hint="eastAsia"/>
              <w:lang w:eastAsia="zh-CN"/>
            </w:rPr>
            <w:instrText xml:space="preserve">TOC \o "1-2" \h \u </w:instrText>
          </w:r>
          <w:r>
            <w:rPr>
              <w:rFonts w:hint="eastAsia"/>
              <w:lang w:eastAsia="zh-CN"/>
            </w:rPr>
            <w:fldChar w:fldCharType="separate"/>
          </w:r>
          <w:hyperlink w:anchor="_Toc32015" w:history="1">
            <w:r>
              <w:rPr>
                <w:rFonts w:ascii="黑体" w:eastAsia="黑体" w:hAnsi="黑体" w:hint="eastAsia"/>
                <w:b/>
                <w:szCs w:val="30"/>
              </w:rPr>
              <w:t>暴风集团多元化</w:t>
            </w:r>
            <w:r>
              <w:rPr>
                <w:rFonts w:ascii="黑体" w:eastAsia="黑体" w:hAnsi="黑体" w:hint="eastAsia"/>
                <w:b/>
                <w:szCs w:val="30"/>
                <w:lang w:eastAsia="zh-CN"/>
              </w:rPr>
              <w:t>经营失败的案例分析</w:t>
            </w:r>
            <w:r>
              <w:rPr>
                <w:b/>
              </w:rPr>
              <w:tab/>
            </w:r>
            <w:r>
              <w:rPr>
                <w:b/>
              </w:rPr>
              <w:fldChar w:fldCharType="begin"/>
            </w:r>
            <w:r>
              <w:rPr>
                <w:b/>
              </w:rPr>
              <w:instrText xml:space="preserve"> PAGEREF _Toc32015 \h </w:instrText>
            </w:r>
            <w:r>
              <w:rPr>
                <w:b/>
              </w:rPr>
              <w:fldChar w:fldCharType="separate"/>
            </w:r>
            <w:r>
              <w:rPr>
                <w:b/>
              </w:rPr>
              <w:t>1</w:t>
            </w:r>
            <w:r>
              <w:rPr>
                <w:b/>
              </w:rPr>
              <w:fldChar w:fldCharType="end"/>
            </w:r>
          </w:hyperlink>
        </w:p>
        <w:p>
          <w:pPr>
            <w:pStyle w:val="WPSOffice1"/>
            <w:tabs>
              <w:tab w:val="right" w:leader="dot" w:pos="8306"/>
            </w:tabs>
            <w:rPr>
              <w:b/>
            </w:rPr>
          </w:pPr>
          <w:hyperlink w:anchor="_Toc10915" w:history="1">
            <w:r>
              <w:rPr>
                <w:rFonts w:ascii="黑体" w:eastAsia="黑体" w:hAnsi="黑体" w:hint="eastAsia"/>
                <w:b/>
                <w:szCs w:val="30"/>
              </w:rPr>
              <w:t>第</w:t>
            </w:r>
            <w:r>
              <w:rPr>
                <w:rFonts w:ascii="黑体" w:eastAsia="黑体" w:hAnsi="黑体" w:hint="eastAsia"/>
                <w:b/>
                <w:szCs w:val="30"/>
                <w:lang w:eastAsia="zh-CN"/>
              </w:rPr>
              <w:t>一</w:t>
            </w:r>
            <w:r>
              <w:rPr>
                <w:rFonts w:ascii="黑体" w:eastAsia="黑体" w:hAnsi="黑体" w:hint="eastAsia"/>
                <w:b/>
                <w:szCs w:val="30"/>
              </w:rPr>
              <w:t>章 暴风集团多元化转型前经营状况分析</w:t>
            </w:r>
            <w:r>
              <w:rPr>
                <w:b/>
              </w:rPr>
              <w:tab/>
            </w:r>
            <w:r>
              <w:rPr>
                <w:b/>
              </w:rPr>
              <w:fldChar w:fldCharType="begin"/>
            </w:r>
            <w:r>
              <w:rPr>
                <w:b/>
              </w:rPr>
              <w:instrText xml:space="preserve"> PAGEREF _Toc10915 \h </w:instrText>
            </w:r>
            <w:r>
              <w:rPr>
                <w:b/>
              </w:rPr>
              <w:fldChar w:fldCharType="separate"/>
            </w:r>
            <w:r>
              <w:rPr>
                <w:b/>
              </w:rPr>
              <w:t>1</w:t>
            </w:r>
            <w:r>
              <w:rPr>
                <w:b/>
              </w:rPr>
              <w:fldChar w:fldCharType="end"/>
            </w:r>
          </w:hyperlink>
        </w:p>
        <w:p>
          <w:pPr>
            <w:pStyle w:val="WPSOffice2"/>
            <w:tabs>
              <w:tab w:val="right" w:leader="dot" w:pos="8306"/>
            </w:tabs>
          </w:pPr>
          <w:hyperlink w:anchor="_Toc13005" w:history="1">
            <w:r>
              <w:rPr>
                <w:rFonts w:ascii="黑体" w:eastAsia="黑体" w:hAnsi="黑体" w:cs="Times New Roman" w:hint="eastAsia"/>
                <w:szCs w:val="28"/>
                <w:lang w:val="en-US" w:eastAsia="zh-CN"/>
              </w:rPr>
              <w:t>1</w:t>
            </w:r>
            <w:r>
              <w:rPr>
                <w:rFonts w:ascii="黑体" w:eastAsia="黑体" w:hAnsi="黑体"/>
                <w:szCs w:val="28"/>
              </w:rPr>
              <w:t>.</w:t>
            </w:r>
            <w:r>
              <w:rPr>
                <w:rFonts w:ascii="黑体" w:eastAsia="黑体" w:hAnsi="黑体" w:cs="Times New Roman"/>
                <w:szCs w:val="28"/>
              </w:rPr>
              <w:t>1</w:t>
            </w:r>
            <w:r>
              <w:rPr>
                <w:rFonts w:ascii="黑体" w:eastAsia="黑体" w:hAnsi="黑体"/>
                <w:szCs w:val="28"/>
              </w:rPr>
              <w:t xml:space="preserve"> </w:t>
            </w:r>
            <w:r>
              <w:rPr>
                <w:rFonts w:ascii="黑体" w:eastAsia="黑体" w:hAnsi="黑体" w:hint="eastAsia"/>
                <w:szCs w:val="28"/>
              </w:rPr>
              <w:t>暴风集团与互联网视频</w:t>
            </w:r>
            <w:r>
              <w:tab/>
            </w:r>
            <w:r>
              <w:fldChar w:fldCharType="begin"/>
            </w:r>
            <w:r>
              <w:instrText xml:space="preserve"> PAGEREF _Toc13005 \h </w:instrText>
            </w:r>
            <w:r>
              <w:fldChar w:fldCharType="separate"/>
            </w:r>
            <w:r>
              <w:t>1</w:t>
            </w:r>
            <w:r>
              <w:fldChar w:fldCharType="end"/>
            </w:r>
          </w:hyperlink>
        </w:p>
        <w:p>
          <w:pPr>
            <w:pStyle w:val="WPSOffice2"/>
            <w:tabs>
              <w:tab w:val="right" w:leader="dot" w:pos="8306"/>
            </w:tabs>
          </w:pPr>
          <w:hyperlink w:anchor="_Toc29633" w:history="1">
            <w:r>
              <w:rPr>
                <w:rFonts w:ascii="黑体" w:eastAsia="黑体" w:hAnsi="黑体" w:cs="Times New Roman" w:hint="eastAsia"/>
                <w:szCs w:val="28"/>
                <w:lang w:val="en-US" w:eastAsia="zh-CN"/>
              </w:rPr>
              <w:t>1</w:t>
            </w:r>
            <w:r>
              <w:rPr>
                <w:rFonts w:ascii="黑体" w:eastAsia="黑体" w:hAnsi="黑体"/>
                <w:szCs w:val="28"/>
              </w:rPr>
              <w:t>.</w:t>
            </w:r>
            <w:r>
              <w:rPr>
                <w:rFonts w:ascii="黑体" w:eastAsia="黑体" w:hAnsi="黑体" w:cs="Times New Roman"/>
                <w:szCs w:val="28"/>
              </w:rPr>
              <w:t>2</w:t>
            </w:r>
            <w:r>
              <w:rPr>
                <w:rFonts w:ascii="黑体" w:eastAsia="黑体" w:hAnsi="黑体"/>
                <w:szCs w:val="28"/>
              </w:rPr>
              <w:t xml:space="preserve"> </w:t>
            </w:r>
            <w:r>
              <w:rPr>
                <w:rFonts w:ascii="黑体" w:eastAsia="黑体" w:hAnsi="黑体" w:hint="eastAsia"/>
                <w:szCs w:val="28"/>
              </w:rPr>
              <w:t>软件起家，用户盈利双丰收</w:t>
            </w:r>
            <w:r>
              <w:tab/>
            </w:r>
            <w:r>
              <w:fldChar w:fldCharType="begin"/>
            </w:r>
            <w:r>
              <w:instrText xml:space="preserve"> PAGEREF _Toc29633 \h </w:instrText>
            </w:r>
            <w:r>
              <w:fldChar w:fldCharType="separate"/>
            </w:r>
            <w:r>
              <w:t>5</w:t>
            </w:r>
            <w:r>
              <w:fldChar w:fldCharType="end"/>
            </w:r>
          </w:hyperlink>
        </w:p>
        <w:p>
          <w:pPr>
            <w:pStyle w:val="WPSOffice1"/>
            <w:tabs>
              <w:tab w:val="right" w:leader="dot" w:pos="8306"/>
            </w:tabs>
            <w:rPr>
              <w:b/>
            </w:rPr>
          </w:pPr>
          <w:hyperlink w:anchor="_Toc27186" w:history="1">
            <w:r>
              <w:rPr>
                <w:rFonts w:ascii="黑体" w:eastAsia="黑体" w:hAnsi="黑体" w:hint="eastAsia"/>
                <w:b/>
                <w:bCs/>
                <w:szCs w:val="24"/>
              </w:rPr>
              <w:t xml:space="preserve">第二章 </w:t>
            </w:r>
            <w:r>
              <w:rPr>
                <w:rFonts w:ascii="黑体" w:eastAsia="黑体" w:hAnsi="黑体" w:hint="eastAsia"/>
                <w:b/>
                <w:szCs w:val="28"/>
              </w:rPr>
              <w:t>跨界扩张，暴风集团折戟多元化</w:t>
            </w:r>
            <w:r>
              <w:rPr>
                <w:b/>
              </w:rPr>
              <w:tab/>
            </w:r>
            <w:r>
              <w:rPr>
                <w:b/>
              </w:rPr>
              <w:fldChar w:fldCharType="begin"/>
            </w:r>
            <w:r>
              <w:rPr>
                <w:b/>
              </w:rPr>
              <w:instrText xml:space="preserve"> PAGEREF _Toc27186 \h </w:instrText>
            </w:r>
            <w:r>
              <w:rPr>
                <w:b/>
              </w:rPr>
              <w:fldChar w:fldCharType="separate"/>
            </w:r>
            <w:r>
              <w:rPr>
                <w:b/>
              </w:rPr>
              <w:t>10</w:t>
            </w:r>
            <w:r>
              <w:rPr>
                <w:b/>
              </w:rPr>
              <w:fldChar w:fldCharType="end"/>
            </w:r>
          </w:hyperlink>
        </w:p>
        <w:p>
          <w:pPr>
            <w:pStyle w:val="WPSOffice2"/>
            <w:tabs>
              <w:tab w:val="right" w:leader="dot" w:pos="8306"/>
            </w:tabs>
          </w:pPr>
          <w:hyperlink w:anchor="_Toc30274" w:history="1">
            <w:r>
              <w:rPr>
                <w:rFonts w:ascii="黑体" w:eastAsia="黑体" w:hAnsi="黑体" w:cs="Times New Roman" w:hint="eastAsia"/>
                <w:szCs w:val="28"/>
                <w:lang w:val="en-US" w:eastAsia="zh-CN"/>
              </w:rPr>
              <w:t>2</w:t>
            </w:r>
            <w:r>
              <w:rPr>
                <w:rFonts w:ascii="黑体" w:eastAsia="黑体" w:hAnsi="黑体"/>
                <w:szCs w:val="28"/>
              </w:rPr>
              <w:t>.</w:t>
            </w:r>
            <w:r>
              <w:rPr>
                <w:rFonts w:ascii="黑体" w:eastAsia="黑体" w:hAnsi="黑体" w:cs="Times New Roman"/>
                <w:szCs w:val="28"/>
              </w:rPr>
              <w:t>1</w:t>
            </w:r>
            <w:r>
              <w:rPr>
                <w:rFonts w:ascii="黑体" w:eastAsia="黑体" w:hAnsi="黑体"/>
                <w:szCs w:val="28"/>
              </w:rPr>
              <w:t xml:space="preserve"> </w:t>
            </w:r>
            <w:r>
              <w:rPr>
                <w:rFonts w:ascii="黑体" w:eastAsia="黑体" w:hAnsi="黑体" w:hint="eastAsia"/>
                <w:szCs w:val="28"/>
              </w:rPr>
              <w:t>多元跨界，“终端</w:t>
            </w:r>
            <w:r>
              <w:rPr>
                <w:rFonts w:ascii="黑体" w:eastAsia="黑体" w:hAnsi="黑体"/>
                <w:szCs w:val="28"/>
              </w:rPr>
              <w:t>+内容”齐推进，打造暴风生态</w:t>
            </w:r>
            <w:r>
              <w:tab/>
            </w:r>
            <w:r>
              <w:fldChar w:fldCharType="begin"/>
            </w:r>
            <w:r>
              <w:instrText xml:space="preserve"> PAGEREF _Toc30274 \h </w:instrText>
            </w:r>
            <w:r>
              <w:fldChar w:fldCharType="separate"/>
            </w:r>
            <w:r>
              <w:t>10</w:t>
            </w:r>
            <w:r>
              <w:fldChar w:fldCharType="end"/>
            </w:r>
          </w:hyperlink>
        </w:p>
        <w:p>
          <w:pPr>
            <w:pStyle w:val="WPSOffice2"/>
            <w:tabs>
              <w:tab w:val="right" w:leader="dot" w:pos="8306"/>
            </w:tabs>
          </w:pPr>
          <w:hyperlink w:anchor="_Toc19385" w:history="1">
            <w:r>
              <w:rPr>
                <w:rFonts w:ascii="黑体" w:eastAsia="黑体" w:hAnsi="黑体" w:cs="Times New Roman" w:hint="eastAsia"/>
                <w:szCs w:val="28"/>
                <w:lang w:val="en-US" w:eastAsia="zh-CN"/>
              </w:rPr>
              <w:t>2</w:t>
            </w:r>
            <w:r>
              <w:rPr>
                <w:rFonts w:ascii="黑体" w:eastAsia="黑体" w:hAnsi="黑体"/>
                <w:szCs w:val="28"/>
              </w:rPr>
              <w:t>.</w:t>
            </w:r>
            <w:r>
              <w:rPr>
                <w:rFonts w:ascii="黑体" w:eastAsia="黑体" w:hAnsi="黑体" w:cs="Times New Roman"/>
                <w:szCs w:val="28"/>
              </w:rPr>
              <w:t>2</w:t>
            </w:r>
            <w:r>
              <w:rPr>
                <w:rFonts w:ascii="黑体" w:eastAsia="黑体" w:hAnsi="黑体"/>
                <w:szCs w:val="28"/>
              </w:rPr>
              <w:t xml:space="preserve"> </w:t>
            </w:r>
            <w:r>
              <w:rPr>
                <w:rFonts w:ascii="黑体" w:eastAsia="黑体" w:hAnsi="黑体" w:hint="eastAsia"/>
                <w:szCs w:val="28"/>
              </w:rPr>
              <w:t>终端经营亏损，内容投资失败，内部资金持续紧张</w:t>
            </w:r>
            <w:r>
              <w:tab/>
            </w:r>
            <w:r>
              <w:fldChar w:fldCharType="begin"/>
            </w:r>
            <w:r>
              <w:instrText xml:space="preserve"> PAGEREF _Toc19385 \h </w:instrText>
            </w:r>
            <w:r>
              <w:fldChar w:fldCharType="separate"/>
            </w:r>
            <w:r>
              <w:t>22</w:t>
            </w:r>
            <w:r>
              <w:fldChar w:fldCharType="end"/>
            </w:r>
          </w:hyperlink>
        </w:p>
        <w:p>
          <w:pPr>
            <w:rPr>
              <w:rFonts w:hint="eastAsia"/>
            </w:rPr>
          </w:pPr>
          <w:r>
            <w:rPr>
              <w:rFonts w:hint="eastAsia"/>
              <w:b/>
              <w:lang w:eastAsia="zh-CN"/>
            </w:rPr>
            <w:fldChar w:fldCharType="end"/>
          </w:r>
        </w:p>
      </w:sdtContent>
    </w:sdt>
    <w:p>
      <w:pPr>
        <w:pStyle w:val="Heading1"/>
        <w:numPr>
          <w:numId w:val="0"/>
        </w:numPr>
        <w:ind w:left="420" w:leftChars="200"/>
        <w:jc w:val="both"/>
        <w:rPr>
          <w:rFonts w:ascii="黑体" w:eastAsia="黑体" w:hAnsi="黑体"/>
          <w:color w:val="000000" w:themeColor="text1"/>
          <w:sz w:val="30"/>
          <w:szCs w:val="30"/>
          <w14:textFill>
            <w14:solidFill>
              <w14:schemeClr w14:val="tx1"/>
            </w14:solidFill>
          </w14:textFill>
        </w:rPr>
      </w:pPr>
      <w:bookmarkStart w:id="3" w:name="_Toc10915"/>
      <w:r>
        <w:rPr>
          <w:rFonts w:ascii="黑体" w:eastAsia="黑体" w:hAnsi="黑体" w:hint="eastAsia"/>
          <w:color w:val="000000" w:themeColor="text1"/>
          <w:sz w:val="30"/>
          <w:szCs w:val="30"/>
          <w14:textFill>
            <w14:solidFill>
              <w14:schemeClr w14:val="tx1"/>
            </w14:solidFill>
          </w14:textFill>
        </w:rPr>
        <w:t>第</w:t>
      </w:r>
      <w:r>
        <w:rPr>
          <w:rFonts w:ascii="黑体" w:eastAsia="黑体" w:hAnsi="黑体" w:hint="eastAsia"/>
          <w:color w:val="000000" w:themeColor="text1"/>
          <w:sz w:val="30"/>
          <w:szCs w:val="30"/>
          <w:lang w:val="en-US" w:eastAsia="zh-CN"/>
          <w14:textFill>
            <w14:solidFill>
              <w14:schemeClr w14:val="tx1"/>
            </w14:solidFill>
          </w14:textFill>
        </w:rPr>
        <w:t>1</w:t>
      </w:r>
      <w:r>
        <w:rPr>
          <w:rFonts w:ascii="黑体" w:eastAsia="黑体" w:hAnsi="黑体" w:hint="eastAsia"/>
          <w:color w:val="000000" w:themeColor="text1"/>
          <w:sz w:val="30"/>
          <w:szCs w:val="30"/>
          <w14:textFill>
            <w14:solidFill>
              <w14:schemeClr w14:val="tx1"/>
            </w14:solidFill>
          </w14:textFill>
        </w:rPr>
        <w:t>章 暴风集团多元化转型前经营状况分析</w:t>
      </w:r>
      <w:bookmarkEnd w:id="1"/>
      <w:bookmarkEnd w:id="3"/>
    </w:p>
    <w:p>
      <w:pPr>
        <w:spacing w:line="360" w:lineRule="auto"/>
        <w:ind w:firstLine="480"/>
        <w:rPr>
          <w:rFonts w:ascii="宋体" w:hAnsi="宋体"/>
          <w:color w:val="000000" w:themeColor="text1"/>
          <w:sz w:val="24"/>
          <w:szCs w:val="24"/>
          <w14:textFill>
            <w14:solidFill>
              <w14:schemeClr w14:val="tx1"/>
            </w14:solidFill>
          </w14:textFill>
        </w:rPr>
      </w:pPr>
      <w:r>
        <w:rPr>
          <w:rFonts w:ascii="宋体" w:hAnsi="宋体" w:hint="eastAsia"/>
          <w:color w:val="000000" w:themeColor="text1"/>
          <w:sz w:val="24"/>
          <w:szCs w:val="24"/>
          <w14:textFill>
            <w14:solidFill>
              <w14:schemeClr w14:val="tx1"/>
            </w14:solidFill>
          </w14:textFill>
        </w:rPr>
        <w:t>本部分将向读者介绍暴风集团的业务情况以及其所在行业</w:t>
      </w:r>
      <w:r>
        <w:rPr>
          <w:rFonts w:ascii="宋体" w:hAnsi="宋体" w:hint="eastAsia"/>
          <w:strike/>
          <w:color w:val="000000" w:themeColor="text1"/>
          <w:sz w:val="24"/>
          <w:szCs w:val="24"/>
          <w14:textFill>
            <w14:solidFill>
              <w14:schemeClr w14:val="tx1"/>
            </w14:solidFill>
          </w14:textFill>
        </w:rPr>
        <w:t xml:space="preserve"> </w:t>
      </w:r>
      <w:r>
        <w:rPr>
          <w:rFonts w:ascii="宋体" w:hAnsi="宋体"/>
          <w:strike/>
          <w:color w:val="000000" w:themeColor="text1"/>
          <w:sz w:val="24"/>
          <w:szCs w:val="24"/>
          <w14:textFill>
            <w14:solidFill>
              <w14:schemeClr w14:val="tx1"/>
            </w14:solidFill>
          </w14:textFill>
        </w:rPr>
        <w:t xml:space="preserve">   </w:t>
      </w:r>
      <w:r>
        <w:rPr>
          <w:rFonts w:ascii="宋体" w:hAnsi="宋体" w:hint="eastAsia"/>
          <w:color w:val="000000" w:themeColor="text1"/>
          <w:sz w:val="24"/>
          <w:szCs w:val="24"/>
          <w14:textFill>
            <w14:solidFill>
              <w14:schemeClr w14:val="tx1"/>
            </w14:solidFill>
          </w14:textFill>
        </w:rPr>
        <w:t>互联网视频行业的基本情况。随后，本部分还会对暴风集团多元化转型之前的经营状况进行分析，在分析的同时，本文将会通过行业内的横向对比帮助读者更好地定位暴风集团的发展状况。</w:t>
      </w:r>
    </w:p>
    <w:p>
      <w:pPr>
        <w:pStyle w:val="Heading2"/>
        <w:spacing w:before="360" w:after="360" w:line="360" w:lineRule="auto"/>
        <w:ind w:firstLine="562"/>
        <w:rPr>
          <w:rFonts w:ascii="黑体" w:eastAsia="黑体" w:hAnsi="黑体"/>
          <w:color w:val="000000" w:themeColor="text1"/>
          <w:szCs w:val="28"/>
          <w14:textFill>
            <w14:solidFill>
              <w14:schemeClr w14:val="tx1"/>
            </w14:solidFill>
          </w14:textFill>
        </w:rPr>
      </w:pPr>
      <w:bookmarkStart w:id="4" w:name="_Toc71164678"/>
      <w:bookmarkStart w:id="5" w:name="_Toc13005"/>
      <w:r>
        <w:rPr>
          <w:rFonts w:ascii="黑体" w:eastAsia="黑体" w:hAnsi="黑体" w:cs="Times New Roman" w:hint="eastAsia"/>
          <w:color w:val="000000" w:themeColor="text1"/>
          <w:sz w:val="28"/>
          <w:szCs w:val="28"/>
          <w:lang w:val="en-US" w:eastAsia="zh-CN"/>
          <w14:textFill>
            <w14:solidFill>
              <w14:schemeClr w14:val="tx1"/>
            </w14:solidFill>
          </w14:textFill>
        </w:rPr>
        <w:t>1</w:t>
      </w:r>
      <w:r>
        <w:rPr>
          <w:rFonts w:ascii="黑体" w:eastAsia="黑体" w:hAnsi="黑体"/>
          <w:color w:val="000000" w:themeColor="text1"/>
          <w:sz w:val="28"/>
          <w:szCs w:val="28"/>
          <w14:textFill>
            <w14:solidFill>
              <w14:schemeClr w14:val="tx1"/>
            </w14:solidFill>
          </w14:textFill>
        </w:rPr>
        <w:t>.</w:t>
      </w:r>
      <w:r>
        <w:rPr>
          <w:rFonts w:ascii="黑体" w:eastAsia="黑体" w:hAnsi="黑体" w:cs="Times New Roman"/>
          <w:color w:val="000000" w:themeColor="text1"/>
          <w:sz w:val="28"/>
          <w:szCs w:val="28"/>
          <w14:textFill>
            <w14:solidFill>
              <w14:schemeClr w14:val="tx1"/>
            </w14:solidFill>
          </w14:textFill>
        </w:rPr>
        <w:t>1</w:t>
      </w:r>
      <w:r>
        <w:rPr>
          <w:rFonts w:ascii="黑体" w:eastAsia="黑体" w:hAnsi="黑体"/>
          <w:color w:val="000000" w:themeColor="text1"/>
          <w:sz w:val="28"/>
          <w:szCs w:val="28"/>
          <w14:textFill>
            <w14:solidFill>
              <w14:schemeClr w14:val="tx1"/>
            </w14:solidFill>
          </w14:textFill>
        </w:rPr>
        <w:t xml:space="preserve"> </w:t>
      </w:r>
      <w:r>
        <w:rPr>
          <w:rFonts w:ascii="黑体" w:eastAsia="黑体" w:hAnsi="黑体" w:hint="eastAsia"/>
          <w:color w:val="000000" w:themeColor="text1"/>
          <w:sz w:val="28"/>
          <w:szCs w:val="28"/>
          <w14:textFill>
            <w14:solidFill>
              <w14:schemeClr w14:val="tx1"/>
            </w14:solidFill>
          </w14:textFill>
        </w:rPr>
        <w:t>暴风集团与互联网视频</w:t>
      </w:r>
      <w:bookmarkEnd w:id="4"/>
      <w:bookmarkEnd w:id="5"/>
    </w:p>
    <w:p>
      <w:pPr>
        <w:pStyle w:val="Heading3"/>
        <w:spacing w:before="240" w:after="240" w:line="360" w:lineRule="auto"/>
        <w:ind w:firstLine="482"/>
        <w:rPr>
          <w:rFonts w:ascii="黑体" w:eastAsia="黑体" w:hAnsi="黑体"/>
          <w:color w:val="000000" w:themeColor="text1"/>
          <w:szCs w:val="24"/>
          <w14:textFill>
            <w14:solidFill>
              <w14:schemeClr w14:val="tx1"/>
            </w14:solidFill>
          </w14:textFill>
        </w:rPr>
      </w:pPr>
      <w:bookmarkStart w:id="6" w:name="_Toc71164679"/>
      <w:r>
        <w:rPr>
          <w:rFonts w:ascii="黑体" w:eastAsia="黑体" w:hAnsi="黑体" w:cs="Times New Roman" w:hint="eastAsia"/>
          <w:color w:val="000000" w:themeColor="text1"/>
          <w:sz w:val="24"/>
          <w:szCs w:val="24"/>
          <w:lang w:val="en-US" w:eastAsia="zh-CN"/>
          <w14:textFill>
            <w14:solidFill>
              <w14:schemeClr w14:val="tx1"/>
            </w14:solidFill>
          </w14:textFill>
        </w:rPr>
        <w:t>1</w:t>
      </w:r>
      <w:r>
        <w:rPr>
          <w:rFonts w:ascii="黑体" w:eastAsia="黑体" w:hAnsi="黑体"/>
          <w:color w:val="000000" w:themeColor="text1"/>
          <w:sz w:val="24"/>
          <w:szCs w:val="24"/>
          <w14:textFill>
            <w14:solidFill>
              <w14:schemeClr w14:val="tx1"/>
            </w14:solidFill>
          </w14:textFill>
        </w:rPr>
        <w:t>.</w:t>
      </w:r>
      <w:r>
        <w:rPr>
          <w:rFonts w:ascii="黑体" w:eastAsia="黑体" w:hAnsi="黑体" w:cs="Times New Roman"/>
          <w:color w:val="000000" w:themeColor="text1"/>
          <w:sz w:val="24"/>
          <w:szCs w:val="24"/>
          <w14:textFill>
            <w14:solidFill>
              <w14:schemeClr w14:val="tx1"/>
            </w14:solidFill>
          </w14:textFill>
        </w:rPr>
        <w:t>1</w:t>
      </w:r>
      <w:r>
        <w:rPr>
          <w:rFonts w:ascii="黑体" w:eastAsia="黑体" w:hAnsi="黑体"/>
          <w:color w:val="000000" w:themeColor="text1"/>
          <w:sz w:val="24"/>
          <w:szCs w:val="24"/>
          <w14:textFill>
            <w14:solidFill>
              <w14:schemeClr w14:val="tx1"/>
            </w14:solidFill>
          </w14:textFill>
        </w:rPr>
        <w:t>.</w:t>
      </w:r>
      <w:r>
        <w:rPr>
          <w:rFonts w:ascii="黑体" w:eastAsia="黑体" w:hAnsi="黑体" w:cs="Times New Roman"/>
          <w:color w:val="000000" w:themeColor="text1"/>
          <w:sz w:val="24"/>
          <w:szCs w:val="24"/>
          <w14:textFill>
            <w14:solidFill>
              <w14:schemeClr w14:val="tx1"/>
            </w14:solidFill>
          </w14:textFill>
        </w:rPr>
        <w:t>1</w:t>
      </w:r>
      <w:r>
        <w:rPr>
          <w:rFonts w:ascii="黑体" w:eastAsia="黑体" w:hAnsi="黑体"/>
          <w:color w:val="000000" w:themeColor="text1"/>
          <w:sz w:val="24"/>
          <w:szCs w:val="24"/>
          <w14:textFill>
            <w14:solidFill>
              <w14:schemeClr w14:val="tx1"/>
            </w14:solidFill>
          </w14:textFill>
        </w:rPr>
        <w:t xml:space="preserve"> </w:t>
      </w:r>
      <w:r>
        <w:rPr>
          <w:rFonts w:ascii="黑体" w:eastAsia="黑体" w:hAnsi="黑体" w:hint="eastAsia"/>
          <w:color w:val="000000" w:themeColor="text1"/>
          <w:sz w:val="24"/>
          <w:szCs w:val="24"/>
          <w14:textFill>
            <w14:solidFill>
              <w14:schemeClr w14:val="tx1"/>
            </w14:solidFill>
          </w14:textFill>
        </w:rPr>
        <w:t>暴风集团简介</w:t>
      </w:r>
      <w:bookmarkEnd w:id="6"/>
    </w:p>
    <w:p>
      <w:pPr>
        <w:spacing w:line="360" w:lineRule="auto"/>
        <w:ind w:firstLine="480"/>
        <w:rPr>
          <w:rFonts w:ascii="宋体" w:hAnsi="宋体"/>
          <w:color w:val="000000" w:themeColor="text1"/>
          <w:sz w:val="24"/>
          <w:szCs w:val="24"/>
          <w14:textFill>
            <w14:solidFill>
              <w14:schemeClr w14:val="tx1"/>
            </w14:solidFill>
          </w14:textFill>
        </w:rPr>
        <w:sectPr>
          <w:pgSz w:w="11906" w:h="16838"/>
          <w:pgMar w:top="1440" w:right="1800" w:bottom="1440" w:left="1800" w:header="851" w:footer="992" w:gutter="0"/>
          <w:cols w:num="1" w:space="425"/>
          <w:docGrid w:type="lines" w:linePitch="312" w:charSpace="0"/>
        </w:sectPr>
      </w:pPr>
      <w:r>
        <w:rPr>
          <w:rFonts w:ascii="宋体" w:hAnsi="宋体" w:hint="eastAsia"/>
          <w:color w:val="000000" w:themeColor="text1"/>
          <w:sz w:val="24"/>
          <w:szCs w:val="24"/>
          <w14:textFill>
            <w14:solidFill>
              <w14:schemeClr w14:val="tx1"/>
            </w14:solidFill>
          </w14:textFill>
        </w:rPr>
        <w:t>暴风集团于2007年诞生，长期以来，暴风集团都是视频播放软件界的佼佼者，暴风集团旗下的“暴风影音”在中国是一款家喻户晓的视频播放软件。用户可以通过使用暴风影音来免费播放视频资源，同时，暴风集团也通过吸引用户使用自己的服务来吸引广告商，从而在软件上加入广告，携手广告客户一起实现商业价值，暴风集团直接通过此渠道获取广告收入。暴风集团在2011-2014年整个互联网视频播放行业都在持续亏损的背景下，仍然保持了4年净利润为正，并于2015年成功登陆了创业板，正式开启上市的路程，扣除各项费用之后首发募集了将近</w:t>
      </w:r>
      <w:r>
        <w:rPr>
          <w:rFonts w:ascii="宋体" w:hAnsi="宋体"/>
          <w:color w:val="000000" w:themeColor="text1"/>
          <w:sz w:val="24"/>
          <w:szCs w:val="24"/>
          <w14:textFill>
            <w14:solidFill>
              <w14:schemeClr w14:val="tx1"/>
            </w14:solidFill>
          </w14:textFill>
        </w:rPr>
        <w:t>1.6</w:t>
      </w:r>
      <w:r>
        <w:rPr>
          <w:rFonts w:ascii="宋体" w:hAnsi="宋体" w:hint="eastAsia"/>
          <w:color w:val="000000" w:themeColor="text1"/>
          <w:sz w:val="24"/>
          <w:szCs w:val="24"/>
          <w14:textFill>
            <w14:solidFill>
              <w14:schemeClr w14:val="tx1"/>
            </w14:solidFill>
          </w14:textFill>
        </w:rPr>
        <w:t>亿的资金。上市之后，暴风集团随即喊出了“D</w:t>
      </w:r>
      <w:r>
        <w:rPr>
          <w:rFonts w:ascii="宋体" w:hAnsi="宋体"/>
          <w:color w:val="000000" w:themeColor="text1"/>
          <w:sz w:val="24"/>
          <w:szCs w:val="24"/>
          <w14:textFill>
            <w14:solidFill>
              <w14:schemeClr w14:val="tx1"/>
            </w14:solidFill>
          </w14:textFill>
        </w:rPr>
        <w:t>T</w:t>
      </w:r>
      <w:r>
        <w:rPr>
          <w:rFonts w:ascii="宋体" w:hAnsi="宋体" w:hint="eastAsia"/>
          <w:color w:val="000000" w:themeColor="text1"/>
          <w:sz w:val="24"/>
          <w:szCs w:val="24"/>
          <w14:textFill>
            <w14:solidFill>
              <w14:schemeClr w14:val="tx1"/>
            </w14:solidFill>
          </w14:textFill>
        </w:rPr>
        <w:t>大娱乐”这样一个口号，并且在V</w:t>
      </w:r>
      <w:r>
        <w:rPr>
          <w:rFonts w:ascii="宋体" w:hAnsi="宋体"/>
          <w:color w:val="000000" w:themeColor="text1"/>
          <w:sz w:val="24"/>
          <w:szCs w:val="24"/>
          <w14:textFill>
            <w14:solidFill>
              <w14:schemeClr w14:val="tx1"/>
            </w14:solidFill>
          </w14:textFill>
        </w:rPr>
        <w:t>R</w:t>
      </w:r>
      <w:r>
        <w:rPr>
          <w:rFonts w:ascii="宋体" w:hAnsi="宋体" w:hint="eastAsia"/>
          <w:color w:val="000000" w:themeColor="text1"/>
          <w:sz w:val="24"/>
          <w:szCs w:val="24"/>
          <w14:textFill>
            <w14:solidFill>
              <w14:schemeClr w14:val="tx1"/>
            </w14:solidFill>
          </w14:textFill>
        </w:rPr>
        <w:t>、体育、电影、T</w:t>
      </w:r>
      <w:r>
        <w:rPr>
          <w:rFonts w:ascii="宋体" w:hAnsi="宋体"/>
          <w:color w:val="000000" w:themeColor="text1"/>
          <w:sz w:val="24"/>
          <w:szCs w:val="24"/>
          <w14:textFill>
            <w14:solidFill>
              <w14:schemeClr w14:val="tx1"/>
            </w14:solidFill>
          </w14:textFill>
        </w:rPr>
        <w:t>V</w:t>
      </w:r>
    </w:p>
    <w:p>
      <w:pPr>
        <w:spacing w:line="360" w:lineRule="auto"/>
        <w:ind w:firstLine="480"/>
        <w:rPr>
          <w:rFonts w:ascii="宋体" w:hAnsi="宋体"/>
          <w:color w:val="000000" w:themeColor="text1"/>
          <w:sz w:val="24"/>
          <w:szCs w:val="24"/>
          <w14:textFill>
            <w14:solidFill>
              <w14:schemeClr w14:val="tx1"/>
            </w14:solidFill>
          </w14:textFill>
        </w:rPr>
      </w:pPr>
      <w:r>
        <w:rPr>
          <w:rFonts w:ascii="宋体" w:hAnsi="宋体" w:hint="eastAsia"/>
          <w:color w:val="000000" w:themeColor="text1"/>
          <w:sz w:val="24"/>
          <w:szCs w:val="24"/>
          <w14:textFill>
            <w14:solidFill>
              <w14:schemeClr w14:val="tx1"/>
            </w14:solidFill>
          </w14:textFill>
        </w:rPr>
        <w:t>多个业务方向进行布局从而建立一个暴风的生态网络。而随着多元化战略的一步步推进，暴风集团主营业务已经发生了改变，公司业务结构在逐渐发生变化，企业主要收入来源也发生了变化，具体表现在：过去收入主要来源于视频业务所提供的广告收入，之后收入则主要来源于销售终端所提供地商品收入。下图3</w:t>
      </w:r>
      <w:r>
        <w:rPr>
          <w:rFonts w:ascii="宋体" w:hAnsi="宋体"/>
          <w:color w:val="000000" w:themeColor="text1"/>
          <w:sz w:val="24"/>
          <w:szCs w:val="24"/>
          <w14:textFill>
            <w14:solidFill>
              <w14:schemeClr w14:val="tx1"/>
            </w14:solidFill>
          </w14:textFill>
        </w:rPr>
        <w:t>-1</w:t>
      </w:r>
      <w:r>
        <w:rPr>
          <w:rFonts w:ascii="宋体" w:hAnsi="宋体" w:hint="eastAsia"/>
          <w:color w:val="000000" w:themeColor="text1"/>
          <w:sz w:val="24"/>
          <w:szCs w:val="24"/>
          <w14:textFill>
            <w14:solidFill>
              <w14:schemeClr w14:val="tx1"/>
            </w14:solidFill>
          </w14:textFill>
        </w:rPr>
        <w:t>清晰的展示了暴风集团上市之后2</w:t>
      </w:r>
      <w:r>
        <w:rPr>
          <w:rFonts w:ascii="宋体" w:hAnsi="宋体"/>
          <w:color w:val="000000" w:themeColor="text1"/>
          <w:sz w:val="24"/>
          <w:szCs w:val="24"/>
          <w14:textFill>
            <w14:solidFill>
              <w14:schemeClr w14:val="tx1"/>
            </w14:solidFill>
          </w14:textFill>
        </w:rPr>
        <w:t>014</w:t>
      </w:r>
      <w:r>
        <w:rPr>
          <w:rFonts w:ascii="宋体" w:hAnsi="宋体" w:hint="eastAsia"/>
          <w:color w:val="000000" w:themeColor="text1"/>
          <w:sz w:val="24"/>
          <w:szCs w:val="24"/>
          <w14:textFill>
            <w14:solidFill>
              <w14:schemeClr w14:val="tx1"/>
            </w14:solidFill>
          </w14:textFill>
        </w:rPr>
        <w:t>年到</w:t>
      </w:r>
      <w:r>
        <w:rPr>
          <w:rFonts w:ascii="宋体" w:hAnsi="宋体"/>
          <w:color w:val="000000" w:themeColor="text1"/>
          <w:sz w:val="24"/>
          <w:szCs w:val="24"/>
          <w14:textFill>
            <w14:solidFill>
              <w14:schemeClr w14:val="tx1"/>
            </w14:solidFill>
          </w14:textFill>
        </w:rPr>
        <w:t>2018</w:t>
      </w:r>
      <w:r>
        <w:rPr>
          <w:rFonts w:ascii="宋体" w:hAnsi="宋体" w:hint="eastAsia"/>
          <w:color w:val="000000" w:themeColor="text1"/>
          <w:sz w:val="24"/>
          <w:szCs w:val="24"/>
          <w14:textFill>
            <w14:solidFill>
              <w14:schemeClr w14:val="tx1"/>
            </w14:solidFill>
          </w14:textFill>
        </w:rPr>
        <w:t>年的业务收入占比：</w:t>
      </w:r>
    </w:p>
    <w:p>
      <w:pPr>
        <w:spacing w:line="360" w:lineRule="auto"/>
        <w:ind w:firstLine="0" w:firstLineChars="0"/>
        <w:jc w:val="center"/>
        <w:rPr>
          <w:rFonts w:ascii="宋体" w:hAnsi="宋体"/>
          <w:color w:val="000000" w:themeColor="text1"/>
          <w:szCs w:val="21"/>
          <w14:textFill>
            <w14:solidFill>
              <w14:schemeClr w14:val="tx1"/>
            </w14:solidFill>
          </w14:textFill>
        </w:rPr>
      </w:pPr>
      <w:r>
        <w:rPr>
          <w:color w:val="000000" w:themeColor="text1"/>
          <w14:textFill>
            <w14:solidFill>
              <w14:schemeClr w14:val="tx1"/>
            </w14:solidFill>
          </w14:textFill>
        </w:rPr>
        <w:drawing>
          <wp:inline distT="0" distB="0" distL="0" distR="0">
            <wp:extent cx="4975860" cy="2979420"/>
            <wp:effectExtent l="4445" t="4445" r="10795" b="698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spacing w:line="360" w:lineRule="auto"/>
        <w:ind w:firstLine="0" w:firstLineChars="0"/>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图3-1 暴风集团</w:t>
      </w:r>
      <w:r>
        <w:rPr>
          <w:rFonts w:ascii="宋体" w:hAnsi="宋体" w:hint="eastAsia"/>
          <w:color w:val="000000" w:themeColor="text1"/>
          <w:szCs w:val="21"/>
          <w14:textFill>
            <w14:solidFill>
              <w14:schemeClr w14:val="tx1"/>
            </w14:solidFill>
          </w14:textFill>
        </w:rPr>
        <w:t>上市前后</w:t>
      </w:r>
      <w:r>
        <w:rPr>
          <w:rFonts w:ascii="宋体" w:hAnsi="宋体"/>
          <w:color w:val="000000" w:themeColor="text1"/>
          <w:szCs w:val="21"/>
          <w14:textFill>
            <w14:solidFill>
              <w14:schemeClr w14:val="tx1"/>
            </w14:solidFill>
          </w14:textFill>
        </w:rPr>
        <w:t>业务构成</w:t>
      </w:r>
      <w:r>
        <w:rPr>
          <w:rFonts w:ascii="宋体" w:hAnsi="宋体" w:hint="eastAsia"/>
          <w:color w:val="000000" w:themeColor="text1"/>
          <w:szCs w:val="21"/>
          <w14:textFill>
            <w14:solidFill>
              <w14:schemeClr w14:val="tx1"/>
            </w14:solidFill>
          </w14:textFill>
        </w:rPr>
        <w:t>比例</w:t>
      </w:r>
      <w:r>
        <w:rPr>
          <w:rFonts w:ascii="宋体" w:hAnsi="宋体"/>
          <w:color w:val="000000" w:themeColor="text1"/>
          <w:szCs w:val="21"/>
          <w14:textFill>
            <w14:solidFill>
              <w14:schemeClr w14:val="tx1"/>
            </w14:solidFill>
          </w14:textFill>
        </w:rPr>
        <w:t>图</w:t>
      </w:r>
    </w:p>
    <w:p>
      <w:pPr>
        <w:spacing w:line="360" w:lineRule="auto"/>
        <w:ind w:firstLine="0" w:firstLineChars="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资料来源：根据暴风集团年报整理</w:t>
      </w:r>
    </w:p>
    <w:p>
      <w:pPr>
        <w:spacing w:line="360" w:lineRule="auto"/>
        <w:ind w:firstLine="480"/>
        <w:rPr>
          <w:rFonts w:ascii="宋体" w:hAnsi="宋体"/>
          <w:color w:val="000000" w:themeColor="text1"/>
          <w:sz w:val="24"/>
          <w:szCs w:val="24"/>
          <w14:textFill>
            <w14:solidFill>
              <w14:schemeClr w14:val="tx1"/>
            </w14:solidFill>
          </w14:textFill>
        </w:rPr>
      </w:pPr>
      <w:r>
        <w:rPr>
          <w:rFonts w:ascii="宋体" w:hAnsi="宋体" w:hint="eastAsia"/>
          <w:color w:val="000000" w:themeColor="text1"/>
          <w:sz w:val="24"/>
          <w:szCs w:val="24"/>
          <w14:textFill>
            <w14:solidFill>
              <w14:schemeClr w14:val="tx1"/>
            </w14:solidFill>
          </w14:textFill>
        </w:rPr>
        <w:t>具体见图</w:t>
      </w:r>
      <w:r>
        <w:rPr>
          <w:rFonts w:ascii="宋体" w:hAnsi="宋体"/>
          <w:color w:val="000000" w:themeColor="text1"/>
          <w:sz w:val="24"/>
          <w:szCs w:val="24"/>
          <w14:textFill>
            <w14:solidFill>
              <w14:schemeClr w14:val="tx1"/>
            </w14:solidFill>
          </w14:textFill>
        </w:rPr>
        <w:t>3-1</w:t>
      </w:r>
      <w:r>
        <w:rPr>
          <w:rFonts w:ascii="宋体" w:hAnsi="宋体" w:hint="eastAsia"/>
          <w:color w:val="000000" w:themeColor="text1"/>
          <w:sz w:val="24"/>
          <w:szCs w:val="24"/>
          <w14:textFill>
            <w14:solidFill>
              <w14:schemeClr w14:val="tx1"/>
            </w14:solidFill>
          </w14:textFill>
        </w:rPr>
        <w:t>展示</w:t>
      </w:r>
      <w:r>
        <w:rPr>
          <w:rFonts w:ascii="宋体" w:hAnsi="宋体"/>
          <w:color w:val="000000" w:themeColor="text1"/>
          <w:sz w:val="24"/>
          <w:szCs w:val="24"/>
          <w14:textFill>
            <w14:solidFill>
              <w14:schemeClr w14:val="tx1"/>
            </w14:solidFill>
          </w14:textFill>
        </w:rPr>
        <w:t>，2015年</w:t>
      </w:r>
      <w:r>
        <w:rPr>
          <w:rFonts w:ascii="宋体" w:hAnsi="宋体" w:hint="eastAsia"/>
          <w:color w:val="000000" w:themeColor="text1"/>
          <w:sz w:val="24"/>
          <w:szCs w:val="24"/>
          <w14:textFill>
            <w14:solidFill>
              <w14:schemeClr w14:val="tx1"/>
            </w14:solidFill>
          </w14:textFill>
        </w:rPr>
        <w:t>暴风集团通过</w:t>
      </w:r>
      <w:r>
        <w:rPr>
          <w:rFonts w:ascii="宋体" w:hAnsi="宋体"/>
          <w:color w:val="000000" w:themeColor="text1"/>
          <w:sz w:val="24"/>
          <w:szCs w:val="24"/>
          <w14:textFill>
            <w14:solidFill>
              <w14:schemeClr w14:val="tx1"/>
            </w14:solidFill>
          </w14:textFill>
        </w:rPr>
        <w:t>广告</w:t>
      </w:r>
      <w:r>
        <w:rPr>
          <w:rFonts w:ascii="宋体" w:hAnsi="宋体" w:hint="eastAsia"/>
          <w:color w:val="000000" w:themeColor="text1"/>
          <w:sz w:val="24"/>
          <w:szCs w:val="24"/>
          <w14:textFill>
            <w14:solidFill>
              <w14:schemeClr w14:val="tx1"/>
            </w14:solidFill>
          </w14:textFill>
        </w:rPr>
        <w:t>所得收入占经营收入的比达到了</w:t>
      </w:r>
      <w:r>
        <w:rPr>
          <w:rFonts w:ascii="宋体" w:hAnsi="宋体"/>
          <w:color w:val="000000" w:themeColor="text1"/>
          <w:sz w:val="24"/>
          <w:szCs w:val="24"/>
          <w14:textFill>
            <w14:solidFill>
              <w14:schemeClr w14:val="tx1"/>
            </w14:solidFill>
          </w14:textFill>
        </w:rPr>
        <w:t>70.9%</w:t>
      </w:r>
      <w:r>
        <w:rPr>
          <w:rFonts w:ascii="宋体" w:hAnsi="宋体" w:hint="eastAsia"/>
          <w:color w:val="000000" w:themeColor="text1"/>
          <w:sz w:val="24"/>
          <w:szCs w:val="24"/>
          <w14:textFill>
            <w14:solidFill>
              <w14:schemeClr w14:val="tx1"/>
            </w14:solidFill>
          </w14:textFill>
        </w:rPr>
        <w:t>，因此我们可以大致的认为，通过提供视频播放服务并投放广告获得广告收入，就是</w:t>
      </w:r>
      <w:r>
        <w:rPr>
          <w:rFonts w:ascii="宋体" w:hAnsi="宋体"/>
          <w:color w:val="000000" w:themeColor="text1"/>
          <w:sz w:val="24"/>
          <w:szCs w:val="24"/>
          <w14:textFill>
            <w14:solidFill>
              <w14:schemeClr w14:val="tx1"/>
            </w14:solidFill>
          </w14:textFill>
        </w:rPr>
        <w:t>暴风集团2016年</w:t>
      </w:r>
      <w:r>
        <w:rPr>
          <w:rFonts w:ascii="宋体" w:hAnsi="宋体" w:hint="eastAsia"/>
          <w:color w:val="000000" w:themeColor="text1"/>
          <w:sz w:val="24"/>
          <w:szCs w:val="24"/>
          <w14:textFill>
            <w14:solidFill>
              <w14:schemeClr w14:val="tx1"/>
            </w14:solidFill>
          </w14:textFill>
        </w:rPr>
        <w:t>之前的主营业务</w:t>
      </w:r>
      <w:r>
        <w:rPr>
          <w:rFonts w:ascii="宋体" w:hAnsi="宋体"/>
          <w:color w:val="000000" w:themeColor="text1"/>
          <w:sz w:val="24"/>
          <w:szCs w:val="24"/>
          <w14:textFill>
            <w14:solidFill>
              <w14:schemeClr w14:val="tx1"/>
            </w14:solidFill>
          </w14:textFill>
        </w:rPr>
        <w:t>。随着暴风集团多元化</w:t>
      </w:r>
      <w:r>
        <w:rPr>
          <w:rFonts w:ascii="宋体" w:hAnsi="宋体" w:hint="eastAsia"/>
          <w:color w:val="000000" w:themeColor="text1"/>
          <w:sz w:val="24"/>
          <w:szCs w:val="24"/>
          <w14:textFill>
            <w14:solidFill>
              <w14:schemeClr w14:val="tx1"/>
            </w14:solidFill>
          </w14:textFill>
        </w:rPr>
        <w:t>战略的推进，其业务结构发生了较大变化。2016年，暴风集团管理层将暴风统帅财务报表合并到了集团报表中，而在实施多元化战略的这一年度当中，该集团来自互联网电视销售方面的收入大幅度提升，所以其主要收入来源从广告收入变为了终端收入</w:t>
      </w:r>
      <w:r>
        <w:rPr>
          <w:rFonts w:ascii="宋体" w:hAnsi="宋体"/>
          <w:color w:val="000000" w:themeColor="text1"/>
          <w:sz w:val="24"/>
          <w:szCs w:val="24"/>
          <w14:textFill>
            <w14:solidFill>
              <w14:schemeClr w14:val="tx1"/>
            </w14:solidFill>
          </w14:textFill>
        </w:rPr>
        <w:t>。</w:t>
      </w:r>
      <w:r>
        <w:rPr>
          <w:rFonts w:ascii="宋体" w:hAnsi="宋体" w:hint="eastAsia"/>
          <w:color w:val="000000" w:themeColor="text1"/>
          <w:sz w:val="24"/>
          <w:szCs w:val="24"/>
          <w14:textFill>
            <w14:solidFill>
              <w14:schemeClr w14:val="tx1"/>
            </w14:solidFill>
          </w14:textFill>
        </w:rPr>
        <w:t>而到了2018年，商品销售终端收入则成为了暴风集团收入的大头，即公司的总收入中有80%的收入来自终端产品销售收入。至此，该集团公司从互联网公司变为了以网络销售为主的公司。</w:t>
      </w:r>
    </w:p>
    <w:p>
      <w:pPr>
        <w:pStyle w:val="Heading3"/>
        <w:spacing w:before="240" w:after="240" w:line="360" w:lineRule="auto"/>
        <w:ind w:firstLine="482"/>
        <w:rPr>
          <w:rFonts w:ascii="黑体" w:eastAsia="黑体" w:hAnsi="黑体"/>
          <w:color w:val="000000" w:themeColor="text1"/>
          <w:szCs w:val="24"/>
          <w14:textFill>
            <w14:solidFill>
              <w14:schemeClr w14:val="tx1"/>
            </w14:solidFill>
          </w14:textFill>
        </w:rPr>
      </w:pPr>
      <w:bookmarkStart w:id="7" w:name="_Toc71164680"/>
      <w:r>
        <w:rPr>
          <w:rFonts w:ascii="黑体" w:eastAsia="黑体" w:hAnsi="黑体" w:cs="Times New Roman" w:hint="eastAsia"/>
          <w:color w:val="000000" w:themeColor="text1"/>
          <w:sz w:val="24"/>
          <w:szCs w:val="24"/>
          <w:lang w:val="en-US" w:eastAsia="zh-CN"/>
          <w14:textFill>
            <w14:solidFill>
              <w14:schemeClr w14:val="tx1"/>
            </w14:solidFill>
          </w14:textFill>
        </w:rPr>
        <w:t>1</w:t>
      </w:r>
      <w:r>
        <w:rPr>
          <w:rFonts w:ascii="黑体" w:eastAsia="黑体" w:hAnsi="黑体"/>
          <w:color w:val="000000" w:themeColor="text1"/>
          <w:sz w:val="24"/>
          <w:szCs w:val="24"/>
          <w14:textFill>
            <w14:solidFill>
              <w14:schemeClr w14:val="tx1"/>
            </w14:solidFill>
          </w14:textFill>
        </w:rPr>
        <w:t>.</w:t>
      </w:r>
      <w:r>
        <w:rPr>
          <w:rFonts w:ascii="黑体" w:eastAsia="黑体" w:hAnsi="黑体" w:cs="Times New Roman"/>
          <w:color w:val="000000" w:themeColor="text1"/>
          <w:sz w:val="24"/>
          <w:szCs w:val="24"/>
          <w14:textFill>
            <w14:solidFill>
              <w14:schemeClr w14:val="tx1"/>
            </w14:solidFill>
          </w14:textFill>
        </w:rPr>
        <w:t>1</w:t>
      </w:r>
      <w:r>
        <w:rPr>
          <w:rFonts w:ascii="黑体" w:eastAsia="黑体" w:hAnsi="黑体"/>
          <w:color w:val="000000" w:themeColor="text1"/>
          <w:sz w:val="24"/>
          <w:szCs w:val="24"/>
          <w14:textFill>
            <w14:solidFill>
              <w14:schemeClr w14:val="tx1"/>
            </w14:solidFill>
          </w14:textFill>
        </w:rPr>
        <w:t>.</w:t>
      </w:r>
      <w:r>
        <w:rPr>
          <w:rFonts w:ascii="黑体" w:eastAsia="黑体" w:hAnsi="黑体" w:cs="Times New Roman"/>
          <w:color w:val="000000" w:themeColor="text1"/>
          <w:sz w:val="24"/>
          <w:szCs w:val="24"/>
          <w14:textFill>
            <w14:solidFill>
              <w14:schemeClr w14:val="tx1"/>
            </w14:solidFill>
          </w14:textFill>
        </w:rPr>
        <w:t>2</w:t>
      </w:r>
      <w:r>
        <w:rPr>
          <w:rFonts w:ascii="黑体" w:eastAsia="黑体" w:hAnsi="黑体"/>
          <w:color w:val="000000" w:themeColor="text1"/>
          <w:sz w:val="24"/>
          <w:szCs w:val="24"/>
          <w14:textFill>
            <w14:solidFill>
              <w14:schemeClr w14:val="tx1"/>
            </w14:solidFill>
          </w14:textFill>
        </w:rPr>
        <w:t xml:space="preserve"> </w:t>
      </w:r>
      <w:r>
        <w:rPr>
          <w:rFonts w:ascii="黑体" w:eastAsia="黑体" w:hAnsi="黑体" w:hint="eastAsia"/>
          <w:color w:val="000000" w:themeColor="text1"/>
          <w:sz w:val="24"/>
          <w:szCs w:val="24"/>
          <w14:textFill>
            <w14:solidFill>
              <w14:schemeClr w14:val="tx1"/>
            </w14:solidFill>
          </w14:textFill>
        </w:rPr>
        <w:t>互联网视频行业发展状况简介</w:t>
      </w:r>
      <w:bookmarkEnd w:id="7"/>
    </w:p>
    <w:p>
      <w:pPr>
        <w:spacing w:line="360" w:lineRule="auto"/>
        <w:ind w:firstLine="480"/>
        <w:rPr>
          <w:rFonts w:ascii="宋体" w:hAnsi="宋体"/>
          <w:color w:val="000000" w:themeColor="text1"/>
          <w:sz w:val="24"/>
          <w:szCs w:val="24"/>
          <w14:textFill>
            <w14:solidFill>
              <w14:schemeClr w14:val="tx1"/>
            </w14:solidFill>
          </w14:textFill>
        </w:rPr>
        <w:sectPr>
          <w:type w:val="nextPage"/>
          <w:pgSz w:w="11906" w:h="16838"/>
          <w:pgMar w:top="1440" w:right="1800" w:bottom="1440" w:left="1800" w:header="851" w:footer="992" w:gutter="0"/>
          <w:pgNumType w:start="2"/>
          <w:cols w:num="1" w:space="425"/>
          <w:titlePg w:val="0"/>
          <w:docGrid w:type="lines" w:linePitch="312" w:charSpace="0"/>
        </w:sectPr>
      </w:pPr>
    </w:p>
    <w:p>
      <w:pPr>
        <w:spacing w:line="360" w:lineRule="auto"/>
        <w:ind w:firstLine="480"/>
        <w:rPr>
          <w:rFonts w:ascii="宋体" w:hAnsi="宋体"/>
          <w:color w:val="000000" w:themeColor="text1"/>
          <w:sz w:val="24"/>
          <w:szCs w:val="24"/>
          <w14:textFill>
            <w14:solidFill>
              <w14:schemeClr w14:val="tx1"/>
            </w14:solidFill>
          </w14:textFill>
        </w:rPr>
      </w:pPr>
      <w:r>
        <w:rPr>
          <w:rFonts w:ascii="宋体" w:hAnsi="宋体" w:hint="eastAsia"/>
          <w:color w:val="000000" w:themeColor="text1"/>
          <w:sz w:val="24"/>
          <w:szCs w:val="24"/>
          <w14:textFill>
            <w14:solidFill>
              <w14:schemeClr w14:val="tx1"/>
            </w14:solidFill>
          </w14:textFill>
        </w:rPr>
        <w:t>互联网视频的用户根据使用终端习惯的不同和对内容需求的不同，大致会通过视频播放软件和在线视频播放网站两种方式来观看视频。视频软件播放视频需要用户从网上下载相应的客户端软件，然后进行视频的播放操作。如果通过在线视频播放网站的话，则需要用户打开浏览器输入相应的视频播放网站网址，进入网站之后再使用内部的搜索引擎搜索自己想要观看的视频。在采用不同的方式时，用户的体验在一定程度上会有区别。</w:t>
      </w:r>
    </w:p>
    <w:p>
      <w:pPr>
        <w:spacing w:line="360" w:lineRule="auto"/>
        <w:ind w:firstLine="480"/>
        <w:rPr>
          <w:rFonts w:ascii="宋体" w:hAnsi="宋体"/>
          <w:color w:val="000000" w:themeColor="text1"/>
          <w:sz w:val="24"/>
          <w:szCs w:val="24"/>
          <w14:textFill>
            <w14:solidFill>
              <w14:schemeClr w14:val="tx1"/>
            </w14:solidFill>
          </w14:textFill>
        </w:rPr>
      </w:pPr>
      <w:r>
        <w:rPr>
          <w:rFonts w:ascii="宋体" w:hAnsi="宋体" w:hint="eastAsia"/>
          <w:color w:val="000000" w:themeColor="text1"/>
          <w:sz w:val="24"/>
          <w:szCs w:val="24"/>
          <w14:textFill>
            <w14:solidFill>
              <w14:schemeClr w14:val="tx1"/>
            </w14:solidFill>
          </w14:textFill>
        </w:rPr>
        <w:t>在没有上市前，暴风集团也是视频播放软件公司中的一员，用户可以通过使用暴风影音来免费播放视频资源，同时，暴风集团也通过吸引用户使用自己的软件来吸引广告商，从而在软件上加入广告，携手广告客户一起实现商业价值，暴风集团直接通过此渠道获取广告收入。随着3G、4G网络的发展，令网络视频行业发生了深刻变革。</w:t>
      </w:r>
    </w:p>
    <w:p>
      <w:pPr>
        <w:spacing w:line="360" w:lineRule="auto"/>
        <w:ind w:firstLine="0" w:firstLineChars="0"/>
        <w:jc w:val="center"/>
        <w:rPr>
          <w:rFonts w:ascii="宋体" w:hAnsi="宋体"/>
          <w:color w:val="000000" w:themeColor="text1"/>
          <w:szCs w:val="21"/>
          <w14:textFill>
            <w14:solidFill>
              <w14:schemeClr w14:val="tx1"/>
            </w14:solidFill>
          </w14:textFill>
        </w:rPr>
      </w:pPr>
      <w:r>
        <w:drawing>
          <wp:inline distT="0" distB="0" distL="0" distR="0">
            <wp:extent cx="5095875" cy="2819400"/>
            <wp:effectExtent l="4445" t="4445" r="5080" b="14605"/>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spacing w:line="360" w:lineRule="auto"/>
        <w:ind w:firstLine="0" w:firstLineChars="0"/>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图3-2 2013-2018年网络视频用户</w:t>
      </w:r>
      <w:r>
        <w:rPr>
          <w:rFonts w:ascii="宋体" w:hAnsi="宋体" w:hint="eastAsia"/>
          <w:color w:val="000000" w:themeColor="text1"/>
          <w:szCs w:val="21"/>
          <w14:textFill>
            <w14:solidFill>
              <w14:schemeClr w14:val="tx1"/>
            </w14:solidFill>
          </w14:textFill>
        </w:rPr>
        <w:t>规模、手机网络视频用户规模及其使用率</w:t>
      </w:r>
    </w:p>
    <w:p>
      <w:pPr>
        <w:spacing w:line="360" w:lineRule="auto"/>
        <w:ind w:firstLine="0" w:firstLineChars="0"/>
        <w:outlineLvl w:val="1"/>
        <w:rPr>
          <w:rFonts w:ascii="宋体" w:hAnsi="宋体"/>
          <w:color w:val="000000" w:themeColor="text1"/>
          <w:szCs w:val="21"/>
          <w14:textFill>
            <w14:solidFill>
              <w14:schemeClr w14:val="tx1"/>
            </w14:solidFill>
          </w14:textFill>
        </w:rPr>
      </w:pPr>
      <w:bookmarkStart w:id="8" w:name="_Toc27981"/>
      <w:r>
        <w:rPr>
          <w:rFonts w:ascii="宋体" w:hAnsi="宋体"/>
          <w:color w:val="000000" w:themeColor="text1"/>
          <w:szCs w:val="21"/>
          <w14:textFill>
            <w14:solidFill>
              <w14:schemeClr w14:val="tx1"/>
            </w14:solidFill>
          </w14:textFill>
        </w:rPr>
        <w:t>数据来源：</w:t>
      </w:r>
      <w:r>
        <w:rPr>
          <w:rFonts w:ascii="宋体" w:hAnsi="宋体" w:hint="eastAsia"/>
          <w:color w:val="000000" w:themeColor="text1"/>
          <w:szCs w:val="21"/>
          <w14:textFill>
            <w14:solidFill>
              <w14:schemeClr w14:val="tx1"/>
            </w14:solidFill>
          </w14:textFill>
        </w:rPr>
        <w:t>根据</w:t>
      </w:r>
      <w:r>
        <w:rPr>
          <w:rFonts w:ascii="宋体" w:hAnsi="宋体"/>
          <w:color w:val="000000" w:themeColor="text1"/>
          <w:szCs w:val="21"/>
          <w14:textFill>
            <w14:solidFill>
              <w14:schemeClr w14:val="tx1"/>
            </w14:solidFill>
          </w14:textFill>
        </w:rPr>
        <w:t>中国互联网网络信息中心</w:t>
      </w:r>
      <w:r>
        <w:rPr>
          <w:rFonts w:ascii="宋体" w:hAnsi="宋体" w:hint="eastAsia"/>
          <w:color w:val="000000" w:themeColor="text1"/>
          <w:szCs w:val="21"/>
          <w14:textFill>
            <w14:solidFill>
              <w14:schemeClr w14:val="tx1"/>
            </w14:solidFill>
          </w14:textFill>
        </w:rPr>
        <w:t>统计</w:t>
      </w:r>
      <w:r>
        <w:rPr>
          <w:rFonts w:ascii="宋体" w:hAnsi="宋体"/>
          <w:color w:val="000000" w:themeColor="text1"/>
          <w:szCs w:val="21"/>
          <w14:textFill>
            <w14:solidFill>
              <w14:schemeClr w14:val="tx1"/>
            </w14:solidFill>
          </w14:textFill>
        </w:rPr>
        <w:t>报告整理</w:t>
      </w:r>
      <w:bookmarkEnd w:id="8"/>
    </w:p>
    <w:p>
      <w:pPr>
        <w:spacing w:line="360" w:lineRule="auto"/>
        <w:ind w:firstLine="480"/>
        <w:rPr>
          <w:rFonts w:ascii="宋体" w:hAnsi="宋体"/>
          <w:color w:val="000000" w:themeColor="text1"/>
          <w:sz w:val="24"/>
          <w:szCs w:val="24"/>
          <w14:textFill>
            <w14:solidFill>
              <w14:schemeClr w14:val="tx1"/>
            </w14:solidFill>
          </w14:textFill>
        </w:rPr>
        <w:sectPr>
          <w:type w:val="nextPage"/>
          <w:pgSz w:w="11906" w:h="16838"/>
          <w:pgMar w:top="1440" w:right="1800" w:bottom="1440" w:left="1800" w:header="851" w:footer="992" w:gutter="0"/>
          <w:pgNumType w:start="3"/>
          <w:cols w:num="1" w:space="425"/>
          <w:titlePg w:val="0"/>
          <w:docGrid w:type="lines" w:linePitch="312" w:charSpace="0"/>
        </w:sectPr>
      </w:pPr>
      <w:r>
        <w:rPr>
          <w:rFonts w:ascii="宋体" w:hAnsi="宋体" w:hint="eastAsia"/>
          <w:color w:val="000000" w:themeColor="text1"/>
          <w:sz w:val="24"/>
          <w:szCs w:val="24"/>
          <w14:textFill>
            <w14:solidFill>
              <w14:schemeClr w14:val="tx1"/>
            </w14:solidFill>
          </w14:textFill>
        </w:rPr>
        <w:t>从</w:t>
      </w:r>
      <w:r>
        <w:rPr>
          <w:rFonts w:ascii="宋体" w:hAnsi="宋体"/>
          <w:color w:val="000000" w:themeColor="text1"/>
          <w:sz w:val="24"/>
          <w:szCs w:val="24"/>
          <w14:textFill>
            <w14:solidFill>
              <w14:schemeClr w14:val="tx1"/>
            </w14:solidFill>
          </w14:textFill>
        </w:rPr>
        <w:t>图3-2</w:t>
      </w:r>
      <w:r>
        <w:rPr>
          <w:rFonts w:ascii="宋体" w:hAnsi="宋体" w:hint="eastAsia"/>
          <w:color w:val="000000" w:themeColor="text1"/>
          <w:sz w:val="24"/>
          <w:szCs w:val="24"/>
          <w14:textFill>
            <w14:solidFill>
              <w14:schemeClr w14:val="tx1"/>
            </w14:solidFill>
          </w14:textFill>
        </w:rPr>
        <w:t>我们可以看出</w:t>
      </w:r>
      <w:r>
        <w:rPr>
          <w:rFonts w:ascii="宋体" w:hAnsi="宋体"/>
          <w:color w:val="000000" w:themeColor="text1"/>
          <w:sz w:val="24"/>
          <w:szCs w:val="24"/>
          <w14:textFill>
            <w14:solidFill>
              <w14:schemeClr w14:val="tx1"/>
            </w14:solidFill>
          </w14:textFill>
        </w:rPr>
        <w:t>，</w:t>
      </w:r>
      <w:r>
        <w:rPr>
          <w:rFonts w:ascii="宋体" w:hAnsi="宋体" w:hint="eastAsia"/>
          <w:color w:val="000000" w:themeColor="text1"/>
          <w:sz w:val="24"/>
          <w:szCs w:val="24"/>
          <w14:textFill>
            <w14:solidFill>
              <w14:schemeClr w14:val="tx1"/>
            </w14:solidFill>
          </w14:textFill>
        </w:rPr>
        <w:t>截至到</w:t>
      </w:r>
      <w:r>
        <w:rPr>
          <w:rFonts w:ascii="宋体" w:hAnsi="宋体"/>
          <w:color w:val="000000" w:themeColor="text1"/>
          <w:sz w:val="24"/>
          <w:szCs w:val="24"/>
          <w14:textFill>
            <w14:solidFill>
              <w14:schemeClr w14:val="tx1"/>
            </w14:solidFill>
          </w14:textFill>
        </w:rPr>
        <w:t>2014</w:t>
      </w:r>
      <w:r>
        <w:rPr>
          <w:rFonts w:ascii="宋体" w:hAnsi="宋体" w:hint="eastAsia"/>
          <w:color w:val="000000" w:themeColor="text1"/>
          <w:sz w:val="24"/>
          <w:szCs w:val="24"/>
          <w14:textFill>
            <w14:solidFill>
              <w14:schemeClr w14:val="tx1"/>
            </w14:solidFill>
          </w14:textFill>
        </w:rPr>
        <w:t>年底，网络视频用户的规模达到4</w:t>
      </w:r>
      <w:r>
        <w:rPr>
          <w:rFonts w:ascii="宋体" w:hAnsi="宋体"/>
          <w:color w:val="000000" w:themeColor="text1"/>
          <w:sz w:val="24"/>
          <w:szCs w:val="24"/>
          <w14:textFill>
            <w14:solidFill>
              <w14:schemeClr w14:val="tx1"/>
            </w14:solidFill>
          </w14:textFill>
        </w:rPr>
        <w:t>.3</w:t>
      </w:r>
      <w:r>
        <w:rPr>
          <w:rFonts w:ascii="宋体" w:hAnsi="宋体" w:hint="eastAsia"/>
          <w:color w:val="000000" w:themeColor="text1"/>
          <w:sz w:val="24"/>
          <w:szCs w:val="24"/>
          <w14:textFill>
            <w14:solidFill>
              <w14:schemeClr w14:val="tx1"/>
            </w14:solidFill>
          </w14:textFill>
        </w:rPr>
        <w:t>亿的水平，且已经有</w:t>
      </w:r>
      <w:r>
        <w:rPr>
          <w:rFonts w:ascii="宋体" w:hAnsi="宋体"/>
          <w:color w:val="000000" w:themeColor="text1"/>
          <w:sz w:val="24"/>
          <w:szCs w:val="24"/>
          <w14:textFill>
            <w14:solidFill>
              <w14:schemeClr w14:val="tx1"/>
            </w14:solidFill>
          </w14:textFill>
        </w:rPr>
        <w:t>66.7%</w:t>
      </w:r>
      <w:r>
        <w:rPr>
          <w:rFonts w:ascii="宋体" w:hAnsi="宋体" w:hint="eastAsia"/>
          <w:color w:val="000000" w:themeColor="text1"/>
          <w:sz w:val="24"/>
          <w:szCs w:val="24"/>
          <w14:textFill>
            <w14:solidFill>
              <w14:schemeClr w14:val="tx1"/>
            </w14:solidFill>
          </w14:textFill>
        </w:rPr>
        <w:t>的网民会使用网络来观看网络视频。相关数据的增长趋势未止步于此，截止到2018年底，网络视频用户的规模达到了</w:t>
      </w:r>
      <w:r>
        <w:rPr>
          <w:rFonts w:ascii="宋体" w:hAnsi="宋体"/>
          <w:color w:val="000000" w:themeColor="text1"/>
          <w:sz w:val="24"/>
          <w:szCs w:val="24"/>
          <w14:textFill>
            <w14:solidFill>
              <w14:schemeClr w14:val="tx1"/>
            </w14:solidFill>
          </w14:textFill>
        </w:rPr>
        <w:t>6.12亿人</w:t>
      </w:r>
      <w:r>
        <w:rPr>
          <w:rFonts w:ascii="宋体" w:hAnsi="宋体" w:hint="eastAsia"/>
          <w:color w:val="000000" w:themeColor="text1"/>
          <w:sz w:val="24"/>
          <w:szCs w:val="24"/>
          <w14:textFill>
            <w14:solidFill>
              <w14:schemeClr w14:val="tx1"/>
            </w14:solidFill>
          </w14:textFill>
        </w:rPr>
        <w:t>，网络视频的渗透率也保持在了7</w:t>
      </w:r>
      <w:r>
        <w:rPr>
          <w:rFonts w:ascii="宋体" w:hAnsi="宋体"/>
          <w:color w:val="000000" w:themeColor="text1"/>
          <w:sz w:val="24"/>
          <w:szCs w:val="24"/>
          <w14:textFill>
            <w14:solidFill>
              <w14:schemeClr w14:val="tx1"/>
            </w14:solidFill>
          </w14:textFill>
        </w:rPr>
        <w:t>2%</w:t>
      </w:r>
      <w:r>
        <w:rPr>
          <w:rFonts w:ascii="宋体" w:hAnsi="宋体" w:hint="eastAsia"/>
          <w:color w:val="000000" w:themeColor="text1"/>
          <w:sz w:val="24"/>
          <w:szCs w:val="24"/>
          <w14:textFill>
            <w14:solidFill>
              <w14:schemeClr w14:val="tx1"/>
            </w14:solidFill>
          </w14:textFill>
        </w:rPr>
        <w:t>左右的较高水平上。从这一系列数据不难发现，观看网络视频是用户浏览互联网时会主要使用的功能之一，具有着非常大的应用市场和商业前景。而在同时，也有一个非常明显的趋势，随着手机联网速度越来越快，尤其是在2</w:t>
      </w:r>
      <w:r>
        <w:rPr>
          <w:rFonts w:ascii="宋体" w:hAnsi="宋体"/>
          <w:color w:val="000000" w:themeColor="text1"/>
          <w:sz w:val="24"/>
          <w:szCs w:val="24"/>
          <w14:textFill>
            <w14:solidFill>
              <w14:schemeClr w14:val="tx1"/>
            </w14:solidFill>
          </w14:textFill>
        </w:rPr>
        <w:t>014</w:t>
      </w:r>
      <w:r>
        <w:rPr>
          <w:rFonts w:ascii="宋体" w:hAnsi="宋体" w:hint="eastAsia"/>
          <w:color w:val="000000" w:themeColor="text1"/>
          <w:sz w:val="24"/>
          <w:szCs w:val="24"/>
          <w14:textFill>
            <w14:solidFill>
              <w14:schemeClr w14:val="tx1"/>
            </w14:solidFill>
          </w14:textFill>
        </w:rPr>
        <w:t>年左右全国开始铺开4</w:t>
      </w:r>
      <w:r>
        <w:rPr>
          <w:rFonts w:ascii="宋体" w:hAnsi="宋体"/>
          <w:color w:val="000000" w:themeColor="text1"/>
          <w:sz w:val="24"/>
          <w:szCs w:val="24"/>
          <w14:textFill>
            <w14:solidFill>
              <w14:schemeClr w14:val="tx1"/>
            </w14:solidFill>
          </w14:textFill>
        </w:rPr>
        <w:t>G</w:t>
      </w:r>
    </w:p>
    <w:p>
      <w:pPr>
        <w:spacing w:line="360" w:lineRule="auto"/>
        <w:ind w:firstLine="480"/>
        <w:rPr>
          <w:rFonts w:ascii="宋体" w:hAnsi="宋体"/>
          <w:color w:val="000000" w:themeColor="text1"/>
          <w:sz w:val="24"/>
          <w:szCs w:val="24"/>
          <w14:textFill>
            <w14:solidFill>
              <w14:schemeClr w14:val="tx1"/>
            </w14:solidFill>
          </w14:textFill>
        </w:rPr>
      </w:pPr>
      <w:r>
        <w:rPr>
          <w:rFonts w:ascii="宋体" w:hAnsi="宋体" w:hint="eastAsia"/>
          <w:color w:val="000000" w:themeColor="text1"/>
          <w:sz w:val="24"/>
          <w:szCs w:val="24"/>
          <w14:textFill>
            <w14:solidFill>
              <w14:schemeClr w14:val="tx1"/>
            </w14:solidFill>
          </w14:textFill>
        </w:rPr>
        <w:t>网络之后，运用手机来观看网络视频的用户规模越来越大，同时，不仅是手机网络视频用户规模的绝对值在增长，网络视频在手机用户之间的渗透率也在飞速地上升，其增长率远超网络视频在网民间渗透率的增长率，由此可见，移动端的网络视频观看需求是一片蓝海，也具有相当高的商业前景和商业价值。</w:t>
      </w:r>
    </w:p>
    <w:p>
      <w:pPr>
        <w:spacing w:line="360" w:lineRule="auto"/>
        <w:ind w:firstLine="480"/>
        <w:rPr>
          <w:rFonts w:ascii="宋体" w:hAnsi="宋体"/>
          <w:color w:val="000000" w:themeColor="text1"/>
          <w:sz w:val="24"/>
          <w:szCs w:val="24"/>
          <w14:textFill>
            <w14:solidFill>
              <w14:schemeClr w14:val="tx1"/>
            </w14:solidFill>
          </w14:textFill>
        </w:rPr>
        <w:sectPr>
          <w:type w:val="nextPage"/>
          <w:pgSz w:w="11906" w:h="16838"/>
          <w:pgMar w:top="1440" w:right="1800" w:bottom="1440" w:left="1800" w:header="851" w:footer="992" w:gutter="0"/>
          <w:pgNumType w:start="4"/>
          <w:cols w:num="1" w:space="425"/>
          <w:titlePg w:val="0"/>
          <w:docGrid w:type="lines" w:linePitch="312" w:charSpace="0"/>
        </w:sectPr>
      </w:pPr>
      <w:r>
        <w:rPr>
          <w:rFonts w:ascii="宋体" w:hAnsi="宋体" w:hint="eastAsia"/>
          <w:color w:val="000000" w:themeColor="text1"/>
          <w:sz w:val="24"/>
          <w:szCs w:val="24"/>
          <w14:textFill>
            <w14:solidFill>
              <w14:schemeClr w14:val="tx1"/>
            </w14:solidFill>
          </w14:textFill>
        </w:rPr>
        <w:t>我们可以通过观察整个网络视频行业发展的状况发掘出以下几点特征：</w:t>
      </w:r>
      <w:r>
        <w:rPr>
          <w:rFonts w:ascii="宋体" w:hAnsi="宋体"/>
          <w:color w:val="000000" w:themeColor="text1"/>
          <w:sz w:val="24"/>
          <w:szCs w:val="24"/>
          <w14:textFill>
            <w14:solidFill>
              <w14:schemeClr w14:val="tx1"/>
            </w14:solidFill>
          </w14:textFill>
        </w:rPr>
        <w:t>（1）</w:t>
      </w:r>
      <w:r>
        <w:rPr>
          <w:rFonts w:ascii="宋体" w:hAnsi="宋体" w:hint="eastAsia"/>
          <w:color w:val="000000" w:themeColor="text1"/>
          <w:sz w:val="24"/>
          <w:szCs w:val="24"/>
          <w14:textFill>
            <w14:solidFill>
              <w14:schemeClr w14:val="tx1"/>
            </w14:solidFill>
          </w14:textFill>
        </w:rPr>
        <w:t>视频内容成为竞争核心。因为国家接连出台打击盗版的政策鼓励建立知识产权，所以网络视频行业获取视频资源必须是正版的视频资源，这势必就会导致内容版权采购方面的成本大幅度提高。在这样的背景下，许多在线视频播放网站运营商纷纷在电影、电视剧等影视版权上进行竞争，以高价获取“首播权”、“独家权”，企图用资金的优势获得版权的壁垒从而将一些行业内的小玩家挤出市场。甚至一些在线视频播放网站运营商干脆开始介入网剧、综艺的制作，打造热门自制资源。总的来说，互联网视频企业之间达成了高度的默契，认为内容的差异化才是吸引用户、留住用户的手段。同时，企业们也认为，吸纳了更多的客户，并且保持了用户的粘性之后，才可以增加会员收入以及广告收入。对于视频企业来讲，视频内容则是其核心竞争力。</w:t>
      </w:r>
      <w:r>
        <w:rPr>
          <w:rFonts w:ascii="宋体" w:hAnsi="宋体"/>
          <w:color w:val="000000" w:themeColor="text1"/>
          <w:sz w:val="24"/>
          <w:szCs w:val="24"/>
          <w14:textFill>
            <w14:solidFill>
              <w14:schemeClr w14:val="tx1"/>
            </w14:solidFill>
          </w14:textFill>
        </w:rPr>
        <w:t>（2）</w:t>
      </w:r>
      <w:r>
        <w:rPr>
          <w:rFonts w:ascii="宋体" w:hAnsi="宋体" w:hint="eastAsia"/>
          <w:color w:val="000000" w:themeColor="text1"/>
          <w:sz w:val="24"/>
          <w:szCs w:val="24"/>
          <w14:textFill>
            <w14:solidFill>
              <w14:schemeClr w14:val="tx1"/>
            </w14:solidFill>
          </w14:textFill>
        </w:rPr>
        <w:t>移动互联网视频领域正在崛起。首先，通过C</w:t>
      </w:r>
      <w:r>
        <w:rPr>
          <w:rFonts w:ascii="宋体" w:hAnsi="宋体"/>
          <w:color w:val="000000" w:themeColor="text1"/>
          <w:sz w:val="24"/>
          <w:szCs w:val="24"/>
          <w14:textFill>
            <w14:solidFill>
              <w14:schemeClr w14:val="tx1"/>
            </w14:solidFill>
          </w14:textFill>
        </w:rPr>
        <w:t>NNIC</w:t>
      </w:r>
      <w:r>
        <w:rPr>
          <w:rFonts w:ascii="宋体" w:hAnsi="宋体" w:hint="eastAsia"/>
          <w:color w:val="000000" w:themeColor="text1"/>
          <w:sz w:val="24"/>
          <w:szCs w:val="24"/>
          <w14:textFill>
            <w14:solidFill>
              <w14:schemeClr w14:val="tx1"/>
            </w14:solidFill>
          </w14:textFill>
        </w:rPr>
        <w:t>发布的报告我们可以看出，手机端网民观看视频的渗透率在飞速地上升。在2</w:t>
      </w:r>
      <w:r>
        <w:rPr>
          <w:rFonts w:ascii="宋体" w:hAnsi="宋体"/>
          <w:color w:val="000000" w:themeColor="text1"/>
          <w:sz w:val="24"/>
          <w:szCs w:val="24"/>
          <w14:textFill>
            <w14:solidFill>
              <w14:schemeClr w14:val="tx1"/>
            </w14:solidFill>
          </w14:textFill>
        </w:rPr>
        <w:t>G</w:t>
      </w:r>
      <w:r>
        <w:rPr>
          <w:rFonts w:ascii="宋体" w:hAnsi="宋体" w:hint="eastAsia"/>
          <w:color w:val="000000" w:themeColor="text1"/>
          <w:sz w:val="24"/>
          <w:szCs w:val="24"/>
          <w14:textFill>
            <w14:solidFill>
              <w14:schemeClr w14:val="tx1"/>
            </w14:solidFill>
          </w14:textFill>
        </w:rPr>
        <w:t>时代，用较慢的网速去观看长视频是不经济的事情，而随着4</w:t>
      </w:r>
      <w:r>
        <w:rPr>
          <w:rFonts w:ascii="宋体" w:hAnsi="宋体"/>
          <w:color w:val="000000" w:themeColor="text1"/>
          <w:sz w:val="24"/>
          <w:szCs w:val="24"/>
          <w14:textFill>
            <w14:solidFill>
              <w14:schemeClr w14:val="tx1"/>
            </w14:solidFill>
          </w14:textFill>
        </w:rPr>
        <w:t>G</w:t>
      </w:r>
      <w:r>
        <w:rPr>
          <w:rFonts w:ascii="宋体" w:hAnsi="宋体" w:hint="eastAsia"/>
          <w:color w:val="000000" w:themeColor="text1"/>
          <w:sz w:val="24"/>
          <w:szCs w:val="24"/>
          <w14:textFill>
            <w14:solidFill>
              <w14:schemeClr w14:val="tx1"/>
            </w14:solidFill>
          </w14:textFill>
        </w:rPr>
        <w:t>通信技术的成熟以及全面铺开，手机网络运营商收取流量费也在迅速下降，网民也开始更多地运用诸如手机、P</w:t>
      </w:r>
      <w:r>
        <w:rPr>
          <w:rFonts w:ascii="宋体" w:hAnsi="宋体"/>
          <w:color w:val="000000" w:themeColor="text1"/>
          <w:sz w:val="24"/>
          <w:szCs w:val="24"/>
          <w14:textFill>
            <w14:solidFill>
              <w14:schemeClr w14:val="tx1"/>
            </w14:solidFill>
          </w14:textFill>
        </w:rPr>
        <w:t>AD</w:t>
      </w:r>
      <w:r>
        <w:rPr>
          <w:rFonts w:ascii="宋体" w:hAnsi="宋体" w:hint="eastAsia"/>
          <w:color w:val="000000" w:themeColor="text1"/>
          <w:sz w:val="24"/>
          <w:szCs w:val="24"/>
          <w14:textFill>
            <w14:solidFill>
              <w14:schemeClr w14:val="tx1"/>
            </w14:solidFill>
          </w14:textFill>
        </w:rPr>
        <w:t>等轻巧的移动终端观看视频。视频播放软件运营商和在线视频播放网站运营商都同时开始布局移动终端，以前在P</w:t>
      </w:r>
      <w:r>
        <w:rPr>
          <w:rFonts w:ascii="宋体" w:hAnsi="宋体"/>
          <w:color w:val="000000" w:themeColor="text1"/>
          <w:sz w:val="24"/>
          <w:szCs w:val="24"/>
          <w14:textFill>
            <w14:solidFill>
              <w14:schemeClr w14:val="tx1"/>
            </w14:solidFill>
          </w14:textFill>
        </w:rPr>
        <w:t>C</w:t>
      </w:r>
      <w:r>
        <w:rPr>
          <w:rFonts w:ascii="宋体" w:hAnsi="宋体" w:hint="eastAsia"/>
          <w:color w:val="000000" w:themeColor="text1"/>
          <w:sz w:val="24"/>
          <w:szCs w:val="24"/>
          <w14:textFill>
            <w14:solidFill>
              <w14:schemeClr w14:val="tx1"/>
            </w14:solidFill>
          </w14:textFill>
        </w:rPr>
        <w:t>等终端方面的竞争渐渐地转移到移动终端上。（3）视频被赋予社交属性。也是随着技术的革新，视频的形式开始发生了重大的变化，相较于长视频没有社交属性这样一个特点，短视频运营商开始出现。短视频具有生动形象、互动性强的特点，拍一段短视频来分享自己的生活成为了一件非常自然的事。由于短视频的社交属性比长视频更强的缘故，短视频发展的速度呈指数级别的增长，截至2</w:t>
      </w:r>
      <w:r>
        <w:rPr>
          <w:rFonts w:ascii="宋体" w:hAnsi="宋体"/>
          <w:color w:val="000000" w:themeColor="text1"/>
          <w:sz w:val="24"/>
          <w:szCs w:val="24"/>
          <w14:textFill>
            <w14:solidFill>
              <w14:schemeClr w14:val="tx1"/>
            </w14:solidFill>
          </w14:textFill>
        </w:rPr>
        <w:t>020</w:t>
      </w:r>
      <w:r>
        <w:rPr>
          <w:rFonts w:ascii="宋体" w:hAnsi="宋体" w:hint="eastAsia"/>
          <w:color w:val="000000" w:themeColor="text1"/>
          <w:sz w:val="24"/>
          <w:szCs w:val="24"/>
          <w14:textFill>
            <w14:solidFill>
              <w14:schemeClr w14:val="tx1"/>
            </w14:solidFill>
          </w14:textFill>
        </w:rPr>
        <w:t>年1</w:t>
      </w:r>
      <w:r>
        <w:rPr>
          <w:rFonts w:ascii="宋体" w:hAnsi="宋体"/>
          <w:color w:val="000000" w:themeColor="text1"/>
          <w:sz w:val="24"/>
          <w:szCs w:val="24"/>
          <w14:textFill>
            <w14:solidFill>
              <w14:schemeClr w14:val="tx1"/>
            </w14:solidFill>
          </w14:textFill>
        </w:rPr>
        <w:t>2</w:t>
      </w:r>
      <w:r>
        <w:rPr>
          <w:rFonts w:ascii="宋体" w:hAnsi="宋体" w:hint="eastAsia"/>
          <w:color w:val="000000" w:themeColor="text1"/>
          <w:sz w:val="24"/>
          <w:szCs w:val="24"/>
          <w14:textFill>
            <w14:solidFill>
              <w14:schemeClr w14:val="tx1"/>
            </w14:solidFill>
          </w14:textFill>
        </w:rPr>
        <w:t>月8</w:t>
      </w:r>
      <w:r>
        <w:rPr>
          <w:rFonts w:ascii="宋体" w:hAnsi="宋体"/>
          <w:color w:val="000000" w:themeColor="text1"/>
          <w:sz w:val="24"/>
          <w:szCs w:val="24"/>
          <w14:textFill>
            <w14:solidFill>
              <w14:schemeClr w14:val="tx1"/>
            </w14:solidFill>
          </w14:textFill>
        </w:rPr>
        <w:t>8.3%</w:t>
      </w:r>
      <w:r>
        <w:rPr>
          <w:rFonts w:ascii="宋体" w:hAnsi="宋体" w:hint="eastAsia"/>
          <w:color w:val="000000" w:themeColor="text1"/>
          <w:sz w:val="24"/>
          <w:szCs w:val="24"/>
          <w14:textFill>
            <w14:solidFill>
              <w14:schemeClr w14:val="tx1"/>
            </w14:solidFill>
          </w14:textFill>
        </w:rPr>
        <w:t>的网民已经开始观看短视频。长视频和短视频运营商们的业务开始相互渗透，长视频运营商们纷纷加大平台中短视频内容的占比，鼓励优质短视频内容的产出，力图借助短视频的社交属性来提升用户的粘性；短视频运营商们在借助短视频的社交属性快速积累了大量的用户之后，也在积极地布局长视频内容，以此来提高用户的留存时间。所以，视频的形式也在发生着革命性的变化，视频更多地被赋予社交属性。</w:t>
      </w:r>
    </w:p>
    <w:p>
      <w:pPr>
        <w:pStyle w:val="Heading2"/>
        <w:spacing w:before="360" w:after="360" w:line="360" w:lineRule="auto"/>
        <w:ind w:firstLine="562"/>
        <w:rPr>
          <w:rFonts w:ascii="黑体" w:eastAsia="黑体" w:hAnsi="黑体"/>
          <w:color w:val="000000" w:themeColor="text1"/>
          <w:szCs w:val="28"/>
          <w14:textFill>
            <w14:solidFill>
              <w14:schemeClr w14:val="tx1"/>
            </w14:solidFill>
          </w14:textFill>
        </w:rPr>
      </w:pPr>
      <w:bookmarkStart w:id="9" w:name="_Toc71164681"/>
      <w:bookmarkStart w:id="10" w:name="_Toc29633"/>
      <w:r>
        <w:rPr>
          <w:rFonts w:ascii="黑体" w:eastAsia="黑体" w:hAnsi="黑体" w:cs="Times New Roman" w:hint="eastAsia"/>
          <w:color w:val="000000" w:themeColor="text1"/>
          <w:sz w:val="28"/>
          <w:szCs w:val="28"/>
          <w:lang w:val="en-US" w:eastAsia="zh-CN"/>
          <w14:textFill>
            <w14:solidFill>
              <w14:schemeClr w14:val="tx1"/>
            </w14:solidFill>
          </w14:textFill>
        </w:rPr>
        <w:t>1</w:t>
      </w:r>
      <w:r>
        <w:rPr>
          <w:rFonts w:ascii="黑体" w:eastAsia="黑体" w:hAnsi="黑体"/>
          <w:color w:val="000000" w:themeColor="text1"/>
          <w:sz w:val="28"/>
          <w:szCs w:val="28"/>
          <w14:textFill>
            <w14:solidFill>
              <w14:schemeClr w14:val="tx1"/>
            </w14:solidFill>
          </w14:textFill>
        </w:rPr>
        <w:t>.</w:t>
      </w:r>
      <w:r>
        <w:rPr>
          <w:rFonts w:ascii="黑体" w:eastAsia="黑体" w:hAnsi="黑体" w:cs="Times New Roman"/>
          <w:color w:val="000000" w:themeColor="text1"/>
          <w:sz w:val="28"/>
          <w:szCs w:val="28"/>
          <w14:textFill>
            <w14:solidFill>
              <w14:schemeClr w14:val="tx1"/>
            </w14:solidFill>
          </w14:textFill>
        </w:rPr>
        <w:t>2</w:t>
      </w:r>
      <w:r>
        <w:rPr>
          <w:rFonts w:ascii="黑体" w:eastAsia="黑体" w:hAnsi="黑体"/>
          <w:color w:val="000000" w:themeColor="text1"/>
          <w:sz w:val="28"/>
          <w:szCs w:val="28"/>
          <w14:textFill>
            <w14:solidFill>
              <w14:schemeClr w14:val="tx1"/>
            </w14:solidFill>
          </w14:textFill>
        </w:rPr>
        <w:t xml:space="preserve"> </w:t>
      </w:r>
      <w:r>
        <w:rPr>
          <w:rFonts w:ascii="黑体" w:eastAsia="黑体" w:hAnsi="黑体" w:hint="eastAsia"/>
          <w:color w:val="000000" w:themeColor="text1"/>
          <w:sz w:val="28"/>
          <w:szCs w:val="28"/>
          <w14:textFill>
            <w14:solidFill>
              <w14:schemeClr w14:val="tx1"/>
            </w14:solidFill>
          </w14:textFill>
        </w:rPr>
        <w:t>软件起家，用户盈利双丰收</w:t>
      </w:r>
      <w:bookmarkEnd w:id="9"/>
      <w:bookmarkEnd w:id="10"/>
    </w:p>
    <w:p>
      <w:pPr>
        <w:pStyle w:val="Heading3"/>
        <w:spacing w:before="240" w:after="240" w:line="360" w:lineRule="auto"/>
        <w:ind w:firstLine="482"/>
        <w:rPr>
          <w:rFonts w:ascii="黑体" w:eastAsia="黑体" w:hAnsi="黑体"/>
          <w:color w:val="000000" w:themeColor="text1"/>
          <w:szCs w:val="24"/>
          <w14:textFill>
            <w14:solidFill>
              <w14:schemeClr w14:val="tx1"/>
            </w14:solidFill>
          </w14:textFill>
        </w:rPr>
      </w:pPr>
      <w:bookmarkStart w:id="11" w:name="_Toc71164682"/>
      <w:r>
        <w:rPr>
          <w:rFonts w:ascii="黑体" w:eastAsia="黑体" w:hAnsi="黑体" w:cs="Times New Roman"/>
          <w:color w:val="000000" w:themeColor="text1"/>
          <w:sz w:val="24"/>
          <w:szCs w:val="24"/>
          <w14:textFill>
            <w14:solidFill>
              <w14:schemeClr w14:val="tx1"/>
            </w14:solidFill>
          </w14:textFill>
        </w:rPr>
        <w:t>3</w:t>
      </w:r>
      <w:r>
        <w:rPr>
          <w:rFonts w:ascii="黑体" w:eastAsia="黑体" w:hAnsi="黑体"/>
          <w:color w:val="000000" w:themeColor="text1"/>
          <w:sz w:val="24"/>
          <w:szCs w:val="24"/>
          <w14:textFill>
            <w14:solidFill>
              <w14:schemeClr w14:val="tx1"/>
            </w14:solidFill>
          </w14:textFill>
        </w:rPr>
        <w:t>.</w:t>
      </w:r>
      <w:r>
        <w:rPr>
          <w:rFonts w:ascii="黑体" w:eastAsia="黑体" w:hAnsi="黑体" w:cs="Times New Roman"/>
          <w:color w:val="000000" w:themeColor="text1"/>
          <w:sz w:val="24"/>
          <w:szCs w:val="24"/>
          <w14:textFill>
            <w14:solidFill>
              <w14:schemeClr w14:val="tx1"/>
            </w14:solidFill>
          </w14:textFill>
        </w:rPr>
        <w:t>2</w:t>
      </w:r>
      <w:r>
        <w:rPr>
          <w:rFonts w:ascii="黑体" w:eastAsia="黑体" w:hAnsi="黑体"/>
          <w:color w:val="000000" w:themeColor="text1"/>
          <w:sz w:val="24"/>
          <w:szCs w:val="24"/>
          <w14:textFill>
            <w14:solidFill>
              <w14:schemeClr w14:val="tx1"/>
            </w14:solidFill>
          </w14:textFill>
        </w:rPr>
        <w:t>.</w:t>
      </w:r>
      <w:r>
        <w:rPr>
          <w:rFonts w:ascii="黑体" w:eastAsia="黑体" w:hAnsi="黑体" w:cs="Times New Roman"/>
          <w:color w:val="000000" w:themeColor="text1"/>
          <w:sz w:val="24"/>
          <w:szCs w:val="24"/>
          <w14:textFill>
            <w14:solidFill>
              <w14:schemeClr w14:val="tx1"/>
            </w14:solidFill>
          </w14:textFill>
        </w:rPr>
        <w:t>1</w:t>
      </w:r>
      <w:r>
        <w:rPr>
          <w:rFonts w:ascii="黑体" w:eastAsia="黑体" w:hAnsi="黑体" w:hint="eastAsia"/>
          <w:color w:val="000000" w:themeColor="text1"/>
          <w:sz w:val="24"/>
          <w:szCs w:val="24"/>
          <w14:textFill>
            <w14:solidFill>
              <w14:schemeClr w14:val="tx1"/>
            </w14:solidFill>
          </w14:textFill>
        </w:rPr>
        <w:t xml:space="preserve"> P</w:t>
      </w:r>
      <w:r>
        <w:rPr>
          <w:rFonts w:ascii="黑体" w:eastAsia="黑体" w:hAnsi="黑体"/>
          <w:color w:val="000000" w:themeColor="text1"/>
          <w:sz w:val="24"/>
          <w:szCs w:val="24"/>
          <w14:textFill>
            <w14:solidFill>
              <w14:schemeClr w14:val="tx1"/>
            </w14:solidFill>
          </w14:textFill>
        </w:rPr>
        <w:t>C</w:t>
      </w:r>
      <w:r>
        <w:rPr>
          <w:rFonts w:ascii="黑体" w:eastAsia="黑体" w:hAnsi="黑体" w:hint="eastAsia"/>
          <w:color w:val="000000" w:themeColor="text1"/>
          <w:sz w:val="24"/>
          <w:szCs w:val="24"/>
          <w14:textFill>
            <w14:solidFill>
              <w14:schemeClr w14:val="tx1"/>
            </w14:solidFill>
          </w14:textFill>
        </w:rPr>
        <w:t>端吸引大量客户，依靠广告赚取第一桶金</w:t>
      </w:r>
      <w:bookmarkEnd w:id="11"/>
    </w:p>
    <w:p>
      <w:pPr>
        <w:spacing w:line="360" w:lineRule="auto"/>
        <w:ind w:firstLine="480"/>
        <w:rPr>
          <w:rFonts w:ascii="宋体" w:hAnsi="宋体"/>
          <w:color w:val="000000" w:themeColor="text1"/>
          <w:sz w:val="24"/>
          <w:szCs w:val="24"/>
          <w14:textFill>
            <w14:solidFill>
              <w14:schemeClr w14:val="tx1"/>
            </w14:solidFill>
          </w14:textFill>
        </w:rPr>
      </w:pPr>
      <w:r>
        <w:rPr>
          <w:rFonts w:ascii="宋体" w:hAnsi="宋体" w:hint="eastAsia"/>
          <w:color w:val="000000" w:themeColor="text1"/>
          <w:sz w:val="24"/>
          <w:szCs w:val="24"/>
          <w14:textFill>
            <w14:solidFill>
              <w14:schemeClr w14:val="tx1"/>
            </w14:solidFill>
          </w14:textFill>
        </w:rPr>
        <w:t>长期以来，暴风集团都是视频播放软件界的佼佼者，暴风集团旗下的“暴风影音”是一款家喻户晓的视频播放软件。暴风集团的业务模式就是为客户提供免费的视频播放服务，从而吸引广告商选择在自己的软件上投放广告，从而获得广告收入。暴风集团持续的对自己的产品进行更新迭代，并以电脑端为基础，向多个终端扩展，已经形成了本地、在线、多终端的服务网络，可以覆盖用户不同情境下观看视频的需求。</w:t>
      </w:r>
    </w:p>
    <w:p>
      <w:pPr>
        <w:spacing w:line="360" w:lineRule="auto"/>
        <w:ind w:firstLine="480"/>
        <w:rPr>
          <w:rFonts w:ascii="宋体" w:hAnsi="宋体"/>
          <w:color w:val="000000" w:themeColor="text1"/>
          <w:sz w:val="24"/>
          <w:szCs w:val="24"/>
          <w14:textFill>
            <w14:solidFill>
              <w14:schemeClr w14:val="tx1"/>
            </w14:solidFill>
          </w14:textFill>
        </w:rPr>
      </w:pPr>
      <w:r>
        <w:rPr>
          <w:rFonts w:ascii="宋体" w:hAnsi="宋体" w:hint="eastAsia"/>
          <w:color w:val="000000" w:themeColor="text1"/>
          <w:sz w:val="24"/>
          <w:szCs w:val="24"/>
          <w14:textFill>
            <w14:solidFill>
              <w14:schemeClr w14:val="tx1"/>
            </w14:solidFill>
          </w14:textFill>
        </w:rPr>
        <w:t>随着2</w:t>
      </w:r>
      <w:r>
        <w:rPr>
          <w:rFonts w:ascii="宋体" w:hAnsi="宋体"/>
          <w:color w:val="000000" w:themeColor="text1"/>
          <w:sz w:val="24"/>
          <w:szCs w:val="24"/>
          <w14:textFill>
            <w14:solidFill>
              <w14:schemeClr w14:val="tx1"/>
            </w14:solidFill>
          </w14:textFill>
        </w:rPr>
        <w:t>1</w:t>
      </w:r>
      <w:r>
        <w:rPr>
          <w:rFonts w:ascii="宋体" w:hAnsi="宋体" w:hint="eastAsia"/>
          <w:color w:val="000000" w:themeColor="text1"/>
          <w:sz w:val="24"/>
          <w:szCs w:val="24"/>
          <w14:textFill>
            <w14:solidFill>
              <w14:schemeClr w14:val="tx1"/>
            </w14:solidFill>
          </w14:textFill>
        </w:rPr>
        <w:t>世纪初中国互联网的高速蓬勃发展，中国互联网用户的视频观看习惯从电视等传统的媒体渠道逐步的向互联网新媒体进行转移。倚赖于良好的软件体验以及先进的视频技术，暴风影音精准卡位了互联网视频播放的浪潮，用户规模开始呈现爆发式的增长，并且培养了用户的使用黏性。根据第三方咨询公司艾瑞的数据资料显示，在2</w:t>
      </w:r>
      <w:r>
        <w:rPr>
          <w:rFonts w:ascii="宋体" w:hAnsi="宋体"/>
          <w:color w:val="000000" w:themeColor="text1"/>
          <w:sz w:val="24"/>
          <w:szCs w:val="24"/>
          <w14:textFill>
            <w14:solidFill>
              <w14:schemeClr w14:val="tx1"/>
            </w14:solidFill>
          </w14:textFill>
        </w:rPr>
        <w:t>014</w:t>
      </w:r>
      <w:r>
        <w:rPr>
          <w:rFonts w:ascii="宋体" w:hAnsi="宋体" w:hint="eastAsia"/>
          <w:color w:val="000000" w:themeColor="text1"/>
          <w:sz w:val="24"/>
          <w:szCs w:val="24"/>
          <w14:textFill>
            <w14:solidFill>
              <w14:schemeClr w14:val="tx1"/>
            </w14:solidFill>
          </w14:textFill>
        </w:rPr>
        <w:t>年1</w:t>
      </w:r>
      <w:r>
        <w:rPr>
          <w:rFonts w:ascii="宋体" w:hAnsi="宋体"/>
          <w:color w:val="000000" w:themeColor="text1"/>
          <w:sz w:val="24"/>
          <w:szCs w:val="24"/>
          <w14:textFill>
            <w14:solidFill>
              <w14:schemeClr w14:val="tx1"/>
            </w14:solidFill>
          </w14:textFill>
        </w:rPr>
        <w:t>2</w:t>
      </w:r>
      <w:r>
        <w:rPr>
          <w:rFonts w:ascii="宋体" w:hAnsi="宋体" w:hint="eastAsia"/>
          <w:color w:val="000000" w:themeColor="text1"/>
          <w:sz w:val="24"/>
          <w:szCs w:val="24"/>
          <w14:textFill>
            <w14:solidFill>
              <w14:schemeClr w14:val="tx1"/>
            </w14:solidFill>
          </w14:textFill>
        </w:rPr>
        <w:t>月时，暴风集团主打产品暴风影音电脑端的每日平均有效使用时间和每日平均覆盖人数分别位列视频行业的第一和第三，用户粘性极强；而在移动端，暴风无线同样拥有较多的客户，在每日平均使用时间和每日平均覆盖人数上位列行业的第四和第九，数据比电脑端稍逊一筹。</w:t>
      </w:r>
    </w:p>
    <w:p>
      <w:pPr>
        <w:spacing w:line="360" w:lineRule="auto"/>
        <w:ind w:firstLine="480"/>
        <w:rPr>
          <w:rFonts w:ascii="宋体" w:hAnsi="宋体"/>
          <w:color w:val="000000" w:themeColor="text1"/>
          <w:sz w:val="24"/>
          <w:szCs w:val="24"/>
          <w14:textFill>
            <w14:solidFill>
              <w14:schemeClr w14:val="tx1"/>
            </w14:solidFill>
          </w14:textFill>
        </w:rPr>
      </w:pPr>
      <w:r>
        <w:rPr>
          <w:rFonts w:ascii="宋体" w:hAnsi="宋体" w:hint="eastAsia"/>
          <w:color w:val="000000" w:themeColor="text1"/>
          <w:sz w:val="24"/>
          <w:szCs w:val="24"/>
          <w14:textFill>
            <w14:solidFill>
              <w14:schemeClr w14:val="tx1"/>
            </w14:solidFill>
          </w14:textFill>
        </w:rPr>
        <w:t>用户数量以及用户使用时间都表明了暴风集团在视频播放行业已经占据了一席之地，龙头地位为暴风集团旗下“暴风影音”系列的产品附加了极大的商业价值，而互联网广告的优点也很突出：“受众广泛”、“传达迅速”、“形式丰富”。一切的一切都使得广告商的订单纷至沓来，据暴风集团公开报告可知，暴风集团的广告大客户集中了麦当劳、宝洁等一众快消、快餐界龙头，也不乏三星、联想这样的硬件生产商，许多国内外知名的企业都在暴风集团的软件上投放广告。</w:t>
      </w:r>
    </w:p>
    <w:p>
      <w:pPr>
        <w:spacing w:line="360" w:lineRule="auto"/>
        <w:ind w:firstLine="480"/>
        <w:rPr>
          <w:rFonts w:ascii="宋体" w:hAnsi="宋体"/>
          <w:color w:val="000000" w:themeColor="text1"/>
          <w:sz w:val="24"/>
          <w:szCs w:val="24"/>
          <w14:textFill>
            <w14:solidFill>
              <w14:schemeClr w14:val="tx1"/>
            </w14:solidFill>
          </w14:textFill>
        </w:rPr>
        <w:sectPr>
          <w:type w:val="nextPage"/>
          <w:pgSz w:w="11906" w:h="16838"/>
          <w:pgMar w:top="1440" w:right="1800" w:bottom="1440" w:left="1800" w:header="851" w:footer="992" w:gutter="0"/>
          <w:pgNumType w:start="5"/>
          <w:cols w:num="1" w:space="425"/>
          <w:titlePg w:val="0"/>
          <w:docGrid w:type="lines" w:linePitch="312" w:charSpace="0"/>
        </w:sectPr>
      </w:pPr>
      <w:r>
        <w:rPr>
          <w:rFonts w:ascii="宋体" w:hAnsi="宋体" w:hint="eastAsia"/>
          <w:color w:val="000000" w:themeColor="text1"/>
          <w:sz w:val="24"/>
          <w:szCs w:val="24"/>
          <w14:textFill>
            <w14:solidFill>
              <w14:schemeClr w14:val="tx1"/>
            </w14:solidFill>
          </w14:textFill>
        </w:rPr>
        <w:t>也正是依赖于“服务免费+投放广告”的模式，彼时的暴风集团收入多来自于投放广告，主营业务构成具体如下图3</w:t>
      </w:r>
      <w:r>
        <w:rPr>
          <w:rFonts w:ascii="宋体" w:hAnsi="宋体"/>
          <w:color w:val="000000" w:themeColor="text1"/>
          <w:sz w:val="24"/>
          <w:szCs w:val="24"/>
          <w14:textFill>
            <w14:solidFill>
              <w14:schemeClr w14:val="tx1"/>
            </w14:solidFill>
          </w14:textFill>
        </w:rPr>
        <w:t>-3</w:t>
      </w:r>
      <w:r>
        <w:rPr>
          <w:rFonts w:ascii="宋体" w:hAnsi="宋体" w:hint="eastAsia"/>
          <w:color w:val="000000" w:themeColor="text1"/>
          <w:sz w:val="24"/>
          <w:szCs w:val="24"/>
          <w14:textFill>
            <w14:solidFill>
              <w14:schemeClr w14:val="tx1"/>
            </w14:solidFill>
          </w14:textFill>
        </w:rPr>
        <w:t>所示：</w:t>
      </w:r>
    </w:p>
    <w:p>
      <w:pPr>
        <w:spacing w:line="360" w:lineRule="auto"/>
        <w:ind w:firstLine="0" w:firstLineChars="0"/>
        <w:jc w:val="center"/>
        <w:rPr>
          <w:rFonts w:ascii="宋体" w:hAnsi="宋体"/>
          <w:color w:val="000000" w:themeColor="text1"/>
          <w:sz w:val="24"/>
          <w:szCs w:val="24"/>
          <w14:textFill>
            <w14:solidFill>
              <w14:schemeClr w14:val="tx1"/>
            </w14:solidFill>
          </w14:textFill>
        </w:rPr>
      </w:pPr>
      <w:r>
        <w:drawing>
          <wp:inline distT="0" distB="0" distL="0" distR="0">
            <wp:extent cx="5027295" cy="2343150"/>
            <wp:effectExtent l="5080" t="4445" r="15875" b="1460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360" w:lineRule="auto"/>
        <w:ind w:firstLine="0" w:firstLineChars="0"/>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图3-3 暴风集团</w:t>
      </w:r>
      <w:r>
        <w:rPr>
          <w:rFonts w:ascii="宋体" w:hAnsi="宋体" w:hint="eastAsia"/>
          <w:color w:val="000000" w:themeColor="text1"/>
          <w:szCs w:val="21"/>
          <w14:textFill>
            <w14:solidFill>
              <w14:schemeClr w14:val="tx1"/>
            </w14:solidFill>
          </w14:textFill>
        </w:rPr>
        <w:t>上市前</w:t>
      </w:r>
      <w:r>
        <w:rPr>
          <w:rFonts w:ascii="宋体" w:hAnsi="宋体"/>
          <w:color w:val="000000" w:themeColor="text1"/>
          <w:szCs w:val="21"/>
          <w14:textFill>
            <w14:solidFill>
              <w14:schemeClr w14:val="tx1"/>
            </w14:solidFill>
          </w14:textFill>
        </w:rPr>
        <w:t>业务构成</w:t>
      </w:r>
      <w:r>
        <w:rPr>
          <w:rFonts w:ascii="宋体" w:hAnsi="宋体" w:hint="eastAsia"/>
          <w:color w:val="000000" w:themeColor="text1"/>
          <w:szCs w:val="21"/>
          <w14:textFill>
            <w14:solidFill>
              <w14:schemeClr w14:val="tx1"/>
            </w14:solidFill>
          </w14:textFill>
        </w:rPr>
        <w:t>比例</w:t>
      </w:r>
      <w:r>
        <w:rPr>
          <w:rFonts w:ascii="宋体" w:hAnsi="宋体"/>
          <w:color w:val="000000" w:themeColor="text1"/>
          <w:szCs w:val="21"/>
          <w14:textFill>
            <w14:solidFill>
              <w14:schemeClr w14:val="tx1"/>
            </w14:solidFill>
          </w14:textFill>
        </w:rPr>
        <w:t>图</w:t>
      </w:r>
    </w:p>
    <w:p>
      <w:pPr>
        <w:spacing w:line="360" w:lineRule="auto"/>
        <w:ind w:firstLine="0" w:firstLineChars="0"/>
        <w:rPr>
          <w:rFonts w:ascii="宋体" w:hAnsi="宋体"/>
          <w:color w:val="000000" w:themeColor="text1"/>
          <w:szCs w:val="21"/>
          <w14:textFill>
            <w14:solidFill>
              <w14:schemeClr w14:val="tx1"/>
            </w14:solidFill>
          </w14:textFill>
        </w:rPr>
      </w:pPr>
      <w:r>
        <w:rPr>
          <w:rFonts w:ascii="宋体" w:hAnsi="宋体" w:hint="eastAsia"/>
          <w:color w:val="000000" w:themeColor="text1"/>
          <w:szCs w:val="21"/>
          <w14:textFill>
            <w14:solidFill>
              <w14:schemeClr w14:val="tx1"/>
            </w14:solidFill>
          </w14:textFill>
        </w:rPr>
        <w:t>资料来源：暴风集团招股说明书</w:t>
      </w:r>
    </w:p>
    <w:p>
      <w:pPr>
        <w:spacing w:line="360" w:lineRule="auto"/>
        <w:ind w:firstLine="480"/>
        <w:rPr>
          <w:rFonts w:ascii="宋体" w:hAnsi="宋体"/>
          <w:color w:val="000000" w:themeColor="text1"/>
          <w:sz w:val="24"/>
          <w:szCs w:val="24"/>
          <w14:textFill>
            <w14:solidFill>
              <w14:schemeClr w14:val="tx1"/>
            </w14:solidFill>
          </w14:textFill>
        </w:rPr>
      </w:pPr>
      <w:r>
        <w:rPr>
          <w:rFonts w:ascii="宋体" w:hAnsi="宋体" w:hint="eastAsia"/>
          <w:color w:val="000000" w:themeColor="text1"/>
          <w:sz w:val="24"/>
          <w:szCs w:val="24"/>
          <w14:textFill>
            <w14:solidFill>
              <w14:schemeClr w14:val="tx1"/>
            </w14:solidFill>
          </w14:textFill>
        </w:rPr>
        <w:t>彼时的暴风集团，业务构成中的绝大部分都是广告收入，销售商品只占微乎其微的很小一部分，所以可以认为暴风集团还是一家纯粹的为客户提供视频播放服务并赚取广告商广告收入的企业。</w:t>
      </w:r>
    </w:p>
    <w:p>
      <w:pPr>
        <w:pStyle w:val="Heading3"/>
        <w:spacing w:before="240" w:after="240" w:line="360" w:lineRule="auto"/>
        <w:ind w:firstLine="482"/>
        <w:rPr>
          <w:rFonts w:ascii="黑体" w:eastAsia="黑体" w:hAnsi="黑体"/>
          <w:color w:val="000000" w:themeColor="text1"/>
          <w:szCs w:val="24"/>
          <w14:textFill>
            <w14:solidFill>
              <w14:schemeClr w14:val="tx1"/>
            </w14:solidFill>
          </w14:textFill>
        </w:rPr>
      </w:pPr>
      <w:bookmarkStart w:id="12" w:name="_Toc71164683"/>
      <w:r>
        <w:rPr>
          <w:rFonts w:ascii="黑体" w:eastAsia="黑体" w:hAnsi="黑体" w:cs="Times New Roman"/>
          <w:color w:val="000000" w:themeColor="text1"/>
          <w:sz w:val="24"/>
          <w:szCs w:val="24"/>
          <w14:textFill>
            <w14:solidFill>
              <w14:schemeClr w14:val="tx1"/>
            </w14:solidFill>
          </w14:textFill>
        </w:rPr>
        <w:t>3</w:t>
      </w:r>
      <w:r>
        <w:rPr>
          <w:rFonts w:ascii="黑体" w:eastAsia="黑体" w:hAnsi="黑体"/>
          <w:color w:val="000000" w:themeColor="text1"/>
          <w:sz w:val="24"/>
          <w:szCs w:val="24"/>
          <w14:textFill>
            <w14:solidFill>
              <w14:schemeClr w14:val="tx1"/>
            </w14:solidFill>
          </w14:textFill>
        </w:rPr>
        <w:t>.</w:t>
      </w:r>
      <w:r>
        <w:rPr>
          <w:rFonts w:ascii="黑体" w:eastAsia="黑体" w:hAnsi="黑体" w:cs="Times New Roman"/>
          <w:color w:val="000000" w:themeColor="text1"/>
          <w:sz w:val="24"/>
          <w:szCs w:val="24"/>
          <w14:textFill>
            <w14:solidFill>
              <w14:schemeClr w14:val="tx1"/>
            </w14:solidFill>
          </w14:textFill>
        </w:rPr>
        <w:t>2</w:t>
      </w:r>
      <w:r>
        <w:rPr>
          <w:rFonts w:ascii="黑体" w:eastAsia="黑体" w:hAnsi="黑体"/>
          <w:color w:val="000000" w:themeColor="text1"/>
          <w:sz w:val="24"/>
          <w:szCs w:val="24"/>
          <w14:textFill>
            <w14:solidFill>
              <w14:schemeClr w14:val="tx1"/>
            </w14:solidFill>
          </w14:textFill>
        </w:rPr>
        <w:t>.</w:t>
      </w:r>
      <w:r>
        <w:rPr>
          <w:rFonts w:ascii="黑体" w:eastAsia="黑体" w:hAnsi="黑体" w:cs="Times New Roman"/>
          <w:color w:val="000000" w:themeColor="text1"/>
          <w:sz w:val="24"/>
          <w:szCs w:val="24"/>
          <w14:textFill>
            <w14:solidFill>
              <w14:schemeClr w14:val="tx1"/>
            </w14:solidFill>
          </w14:textFill>
        </w:rPr>
        <w:t xml:space="preserve">2 </w:t>
      </w:r>
      <w:r>
        <w:rPr>
          <w:rFonts w:ascii="黑体" w:eastAsia="黑体" w:hAnsi="黑体" w:hint="eastAsia"/>
          <w:color w:val="000000" w:themeColor="text1"/>
          <w:sz w:val="24"/>
          <w:szCs w:val="24"/>
          <w14:textFill>
            <w14:solidFill>
              <w14:schemeClr w14:val="tx1"/>
            </w14:solidFill>
          </w14:textFill>
        </w:rPr>
        <w:t>打磨技术，控制成本，盈利能力遥遥领先</w:t>
      </w:r>
      <w:bookmarkEnd w:id="12"/>
    </w:p>
    <w:p>
      <w:pPr>
        <w:spacing w:line="360" w:lineRule="auto"/>
        <w:ind w:firstLine="480"/>
        <w:rPr>
          <w:rFonts w:ascii="宋体" w:hAnsi="宋体"/>
          <w:color w:val="000000" w:themeColor="text1"/>
          <w:sz w:val="24"/>
          <w:szCs w:val="24"/>
          <w14:textFill>
            <w14:solidFill>
              <w14:schemeClr w14:val="tx1"/>
            </w14:solidFill>
          </w14:textFill>
        </w:rPr>
      </w:pPr>
      <w:r>
        <w:rPr>
          <w:rFonts w:ascii="宋体" w:hAnsi="宋体" w:hint="eastAsia"/>
          <w:color w:val="000000" w:themeColor="text1"/>
          <w:sz w:val="24"/>
          <w:szCs w:val="24"/>
          <w14:textFill>
            <w14:solidFill>
              <w14:schemeClr w14:val="tx1"/>
            </w14:solidFill>
          </w14:textFill>
        </w:rPr>
        <w:t>通过选取与暴风集团经营比较有关的收入以及成本指标（图3</w:t>
      </w:r>
      <w:r>
        <w:rPr>
          <w:rFonts w:ascii="宋体" w:hAnsi="宋体"/>
          <w:color w:val="000000" w:themeColor="text1"/>
          <w:sz w:val="24"/>
          <w:szCs w:val="24"/>
          <w14:textFill>
            <w14:solidFill>
              <w14:schemeClr w14:val="tx1"/>
            </w14:solidFill>
          </w14:textFill>
        </w:rPr>
        <w:t>-4</w:t>
      </w:r>
      <w:r>
        <w:rPr>
          <w:rFonts w:ascii="宋体" w:hAnsi="宋体" w:hint="eastAsia"/>
          <w:color w:val="000000" w:themeColor="text1"/>
          <w:sz w:val="24"/>
          <w:szCs w:val="24"/>
          <w14:textFill>
            <w14:solidFill>
              <w14:schemeClr w14:val="tx1"/>
            </w14:solidFill>
          </w14:textFill>
        </w:rPr>
        <w:t>），暴风集团的收入和成本在2</w:t>
      </w:r>
      <w:r>
        <w:rPr>
          <w:rFonts w:ascii="宋体" w:hAnsi="宋体"/>
          <w:color w:val="000000" w:themeColor="text1"/>
          <w:sz w:val="24"/>
          <w:szCs w:val="24"/>
          <w14:textFill>
            <w14:solidFill>
              <w14:schemeClr w14:val="tx1"/>
            </w14:solidFill>
          </w14:textFill>
        </w:rPr>
        <w:t>013</w:t>
      </w:r>
      <w:r>
        <w:rPr>
          <w:rFonts w:ascii="宋体" w:hAnsi="宋体" w:hint="eastAsia"/>
          <w:color w:val="000000" w:themeColor="text1"/>
          <w:sz w:val="24"/>
          <w:szCs w:val="24"/>
          <w14:textFill>
            <w14:solidFill>
              <w14:schemeClr w14:val="tx1"/>
            </w14:solidFill>
          </w14:textFill>
        </w:rPr>
        <w:t>年时曾经有过较为快速的一次增长，且成本的增长幅度明显超过营业收入，但在2</w:t>
      </w:r>
      <w:r>
        <w:rPr>
          <w:rFonts w:ascii="宋体" w:hAnsi="宋体"/>
          <w:color w:val="000000" w:themeColor="text1"/>
          <w:sz w:val="24"/>
          <w:szCs w:val="24"/>
          <w14:textFill>
            <w14:solidFill>
              <w14:schemeClr w14:val="tx1"/>
            </w14:solidFill>
          </w14:textFill>
        </w:rPr>
        <w:t>014</w:t>
      </w:r>
      <w:r>
        <w:rPr>
          <w:rFonts w:ascii="宋体" w:hAnsi="宋体" w:hint="eastAsia"/>
          <w:color w:val="000000" w:themeColor="text1"/>
          <w:sz w:val="24"/>
          <w:szCs w:val="24"/>
          <w14:textFill>
            <w14:solidFill>
              <w14:schemeClr w14:val="tx1"/>
            </w14:solidFill>
          </w14:textFill>
        </w:rPr>
        <w:t>年暴风集团的收入成本各项指标又趋于稳定。虽然收入和成本的指标存在着一定的波折，但是暴风集团的毛利率一直维持在7</w:t>
      </w:r>
      <w:r>
        <w:rPr>
          <w:rFonts w:ascii="宋体" w:hAnsi="宋体"/>
          <w:color w:val="000000" w:themeColor="text1"/>
          <w:sz w:val="24"/>
          <w:szCs w:val="24"/>
          <w14:textFill>
            <w14:solidFill>
              <w14:schemeClr w14:val="tx1"/>
            </w14:solidFill>
          </w14:textFill>
        </w:rPr>
        <w:t>0%</w:t>
      </w:r>
      <w:r>
        <w:rPr>
          <w:rFonts w:ascii="宋体" w:hAnsi="宋体" w:hint="eastAsia"/>
          <w:color w:val="000000" w:themeColor="text1"/>
          <w:sz w:val="24"/>
          <w:szCs w:val="24"/>
          <w14:textFill>
            <w14:solidFill>
              <w14:schemeClr w14:val="tx1"/>
            </w14:solidFill>
          </w14:textFill>
        </w:rPr>
        <w:t>以上的水平。</w:t>
      </w:r>
    </w:p>
    <w:p>
      <w:pPr>
        <w:spacing w:line="360" w:lineRule="auto"/>
        <w:ind w:firstLine="0" w:firstLineChars="0"/>
        <w:jc w:val="center"/>
        <w:rPr>
          <w:rFonts w:ascii="宋体" w:hAnsi="宋体"/>
          <w:color w:val="000000" w:themeColor="text1"/>
          <w:sz w:val="24"/>
          <w:szCs w:val="24"/>
          <w14:textFill>
            <w14:solidFill>
              <w14:schemeClr w14:val="tx1"/>
            </w14:solidFill>
          </w14:textFill>
        </w:rPr>
        <w:sectPr>
          <w:type w:val="nextPage"/>
          <w:pgSz w:w="11906" w:h="16838"/>
          <w:pgMar w:top="1440" w:right="1800" w:bottom="1440" w:left="1800" w:header="851" w:footer="992" w:gutter="0"/>
          <w:pgNumType w:start="6"/>
          <w:cols w:num="1" w:space="425"/>
          <w:titlePg w:val="0"/>
          <w:docGrid w:type="lines" w:linePitch="312" w:charSpace="0"/>
        </w:sectPr>
      </w:pPr>
      <w:r>
        <w:drawing>
          <wp:inline distT="0" distB="0" distL="0" distR="0">
            <wp:extent cx="5274310" cy="2609215"/>
            <wp:effectExtent l="4445" t="4445" r="17145" b="1524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360" w:lineRule="auto"/>
        <w:ind w:firstLine="420"/>
        <w:jc w:val="center"/>
        <w:rPr>
          <w:rFonts w:ascii="宋体" w:hAnsi="宋体"/>
          <w:color w:val="000000" w:themeColor="text1"/>
          <w:szCs w:val="21"/>
          <w14:textFill>
            <w14:solidFill>
              <w14:schemeClr w14:val="tx1"/>
            </w14:solidFill>
          </w14:textFill>
        </w:rPr>
      </w:pPr>
      <w:r>
        <w:rPr>
          <w:rFonts w:ascii="宋体" w:hAnsi="宋体" w:hint="eastAsia"/>
          <w:color w:val="000000" w:themeColor="text1"/>
          <w:szCs w:val="21"/>
          <w14:textFill>
            <w14:solidFill>
              <w14:schemeClr w14:val="tx1"/>
            </w14:solidFill>
          </w14:textFill>
        </w:rPr>
        <w:t>图</w:t>
      </w:r>
      <w:r>
        <w:rPr>
          <w:rFonts w:ascii="宋体" w:hAnsi="宋体"/>
          <w:color w:val="000000" w:themeColor="text1"/>
          <w:szCs w:val="21"/>
          <w14:textFill>
            <w14:solidFill>
              <w14:schemeClr w14:val="tx1"/>
            </w14:solidFill>
          </w14:textFill>
        </w:rPr>
        <w:t xml:space="preserve">3-4 </w:t>
      </w:r>
      <w:r>
        <w:rPr>
          <w:rFonts w:ascii="宋体" w:hAnsi="宋体" w:hint="eastAsia"/>
          <w:color w:val="000000" w:themeColor="text1"/>
          <w:szCs w:val="21"/>
          <w14:textFill>
            <w14:solidFill>
              <w14:schemeClr w14:val="tx1"/>
            </w14:solidFill>
          </w14:textFill>
        </w:rPr>
        <w:t>暴风集团上市前主要收入、主要成本和毛利率分析</w:t>
      </w:r>
    </w:p>
    <w:p>
      <w:pPr>
        <w:spacing w:line="360" w:lineRule="auto"/>
        <w:ind w:firstLine="0" w:firstLineChars="0"/>
        <w:rPr>
          <w:rFonts w:ascii="宋体" w:hAnsi="宋体"/>
          <w:color w:val="000000" w:themeColor="text1"/>
          <w:szCs w:val="21"/>
          <w14:textFill>
            <w14:solidFill>
              <w14:schemeClr w14:val="tx1"/>
            </w14:solidFill>
          </w14:textFill>
        </w:rPr>
      </w:pPr>
      <w:r>
        <w:rPr>
          <w:rFonts w:ascii="宋体" w:hAnsi="宋体" w:hint="eastAsia"/>
          <w:color w:val="000000" w:themeColor="text1"/>
          <w:szCs w:val="21"/>
          <w14:textFill>
            <w14:solidFill>
              <w14:schemeClr w14:val="tx1"/>
            </w14:solidFill>
          </w14:textFill>
        </w:rPr>
        <w:t>资料来源：暴风集团招股说明书</w:t>
      </w:r>
    </w:p>
    <w:p>
      <w:pPr>
        <w:spacing w:line="360" w:lineRule="auto"/>
        <w:ind w:firstLine="480"/>
        <w:rPr>
          <w:rFonts w:ascii="宋体" w:hAnsi="宋体"/>
          <w:color w:val="000000" w:themeColor="text1"/>
          <w:sz w:val="24"/>
          <w:szCs w:val="24"/>
          <w14:textFill>
            <w14:solidFill>
              <w14:schemeClr w14:val="tx1"/>
            </w14:solidFill>
          </w14:textFill>
        </w:rPr>
      </w:pPr>
      <w:r>
        <w:rPr>
          <w:rFonts w:ascii="宋体" w:hAnsi="宋体" w:hint="eastAsia"/>
          <w:color w:val="000000" w:themeColor="text1"/>
          <w:sz w:val="24"/>
          <w:szCs w:val="24"/>
          <w14:textFill>
            <w14:solidFill>
              <w14:schemeClr w14:val="tx1"/>
            </w14:solidFill>
          </w14:textFill>
        </w:rPr>
        <w:t>单看绝对水平，7</w:t>
      </w:r>
      <w:r>
        <w:rPr>
          <w:rFonts w:ascii="宋体" w:hAnsi="宋体"/>
          <w:color w:val="000000" w:themeColor="text1"/>
          <w:sz w:val="24"/>
          <w:szCs w:val="24"/>
          <w14:textFill>
            <w14:solidFill>
              <w14:schemeClr w14:val="tx1"/>
            </w14:solidFill>
          </w14:textFill>
        </w:rPr>
        <w:t>0%</w:t>
      </w:r>
      <w:r>
        <w:rPr>
          <w:rFonts w:ascii="宋体" w:hAnsi="宋体" w:hint="eastAsia"/>
          <w:color w:val="000000" w:themeColor="text1"/>
          <w:sz w:val="24"/>
          <w:szCs w:val="24"/>
          <w14:textFill>
            <w14:solidFill>
              <w14:schemeClr w14:val="tx1"/>
            </w14:solidFill>
          </w14:textFill>
        </w:rPr>
        <w:t>已经是一个非常高的水平，如果进行行业内的横向对比的话，则更可以说明暴风集团原主营业务模式以及公司经营的优秀程度。</w:t>
      </w:r>
    </w:p>
    <w:p>
      <w:pPr>
        <w:spacing w:line="360" w:lineRule="auto"/>
        <w:ind w:firstLine="480"/>
        <w:rPr>
          <w:rFonts w:ascii="宋体" w:hAnsi="宋体"/>
          <w:color w:val="000000" w:themeColor="text1"/>
          <w:sz w:val="24"/>
          <w:szCs w:val="24"/>
          <w14:textFill>
            <w14:solidFill>
              <w14:schemeClr w14:val="tx1"/>
            </w14:solidFill>
          </w14:textFill>
        </w:rPr>
      </w:pPr>
      <w:r>
        <w:rPr>
          <w:rFonts w:ascii="宋体" w:hAnsi="宋体" w:hint="eastAsia"/>
          <w:color w:val="000000" w:themeColor="text1"/>
          <w:sz w:val="24"/>
          <w:szCs w:val="24"/>
          <w14:textFill>
            <w14:solidFill>
              <w14:schemeClr w14:val="tx1"/>
            </w14:solidFill>
          </w14:textFill>
        </w:rPr>
        <w:t>在图3</w:t>
      </w:r>
      <w:r>
        <w:rPr>
          <w:rFonts w:ascii="宋体" w:hAnsi="宋体"/>
          <w:color w:val="000000" w:themeColor="text1"/>
          <w:sz w:val="24"/>
          <w:szCs w:val="24"/>
          <w14:textFill>
            <w14:solidFill>
              <w14:schemeClr w14:val="tx1"/>
            </w14:solidFill>
          </w14:textFill>
        </w:rPr>
        <w:t>-5</w:t>
      </w:r>
      <w:r>
        <w:rPr>
          <w:rFonts w:ascii="宋体" w:hAnsi="宋体" w:hint="eastAsia"/>
          <w:color w:val="000000" w:themeColor="text1"/>
          <w:sz w:val="24"/>
          <w:szCs w:val="24"/>
          <w14:textFill>
            <w14:solidFill>
              <w14:schemeClr w14:val="tx1"/>
            </w14:solidFill>
          </w14:textFill>
        </w:rPr>
        <w:t>中，本文选取了视频行业非常具有代表性的企业，譬如同样是经营着视频播放软件“迅雷看看”的迅雷，以及当时在线视频网站界非常知名的“优酷土豆”，从三家公司的对比中，我们可以看出，暴风集团的主营业务毛利率不仅比做在线视频网站的优酷土豆高出一大截，甚至相比于同样也做视频播放软件的迅雷也高出很多。说明暴风集团上市前在其所在行业的经营绩效相当的优秀，达到了远超同业的水平。</w:t>
      </w:r>
    </w:p>
    <w:p>
      <w:pPr>
        <w:spacing w:line="360" w:lineRule="auto"/>
        <w:ind w:firstLine="0" w:firstLineChars="0"/>
        <w:jc w:val="center"/>
        <w:rPr>
          <w:rFonts w:ascii="宋体" w:hAnsi="宋体"/>
          <w:color w:val="000000" w:themeColor="text1"/>
          <w:sz w:val="24"/>
          <w:szCs w:val="24"/>
          <w14:textFill>
            <w14:solidFill>
              <w14:schemeClr w14:val="tx1"/>
            </w14:solidFill>
          </w14:textFill>
        </w:rPr>
      </w:pPr>
      <w:r>
        <w:drawing>
          <wp:inline distT="0" distB="0" distL="0" distR="0">
            <wp:extent cx="5124450" cy="2495550"/>
            <wp:effectExtent l="4445" t="4445" r="14605" b="14605"/>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360" w:lineRule="auto"/>
        <w:ind w:firstLine="420"/>
        <w:jc w:val="center"/>
        <w:rPr>
          <w:rFonts w:ascii="宋体" w:hAnsi="宋体"/>
          <w:color w:val="000000" w:themeColor="text1"/>
          <w:szCs w:val="21"/>
          <w14:textFill>
            <w14:solidFill>
              <w14:schemeClr w14:val="tx1"/>
            </w14:solidFill>
          </w14:textFill>
        </w:rPr>
      </w:pPr>
      <w:r>
        <w:rPr>
          <w:rFonts w:ascii="宋体" w:hAnsi="宋体" w:hint="eastAsia"/>
          <w:color w:val="000000" w:themeColor="text1"/>
          <w:szCs w:val="21"/>
          <w14:textFill>
            <w14:solidFill>
              <w14:schemeClr w14:val="tx1"/>
            </w14:solidFill>
          </w14:textFill>
        </w:rPr>
        <w:t>图3</w:t>
      </w:r>
      <w:r>
        <w:rPr>
          <w:rFonts w:ascii="宋体" w:hAnsi="宋体"/>
          <w:color w:val="000000" w:themeColor="text1"/>
          <w:szCs w:val="21"/>
          <w14:textFill>
            <w14:solidFill>
              <w14:schemeClr w14:val="tx1"/>
            </w14:solidFill>
          </w14:textFill>
        </w:rPr>
        <w:t xml:space="preserve">-5 </w:t>
      </w:r>
      <w:r>
        <w:rPr>
          <w:rFonts w:ascii="宋体" w:hAnsi="宋体" w:hint="eastAsia"/>
          <w:color w:val="000000" w:themeColor="text1"/>
          <w:szCs w:val="21"/>
          <w14:textFill>
            <w14:solidFill>
              <w14:schemeClr w14:val="tx1"/>
            </w14:solidFill>
          </w14:textFill>
        </w:rPr>
        <w:t>暴风集团、优酷土豆、迅雷毛利率对比</w:t>
      </w:r>
    </w:p>
    <w:p>
      <w:pPr>
        <w:spacing w:line="360" w:lineRule="auto"/>
        <w:ind w:firstLine="0" w:firstLineChars="0"/>
        <w:jc w:val="left"/>
        <w:outlineLvl w:val="0"/>
        <w:rPr>
          <w:rFonts w:ascii="宋体" w:hAnsi="宋体"/>
          <w:color w:val="000000" w:themeColor="text1"/>
          <w:szCs w:val="21"/>
          <w14:textFill>
            <w14:solidFill>
              <w14:schemeClr w14:val="tx1"/>
            </w14:solidFill>
          </w14:textFill>
        </w:rPr>
      </w:pPr>
      <w:bookmarkStart w:id="13" w:name="_Toc29117"/>
      <w:r>
        <w:rPr>
          <w:rFonts w:ascii="宋体" w:hAnsi="宋体" w:hint="eastAsia"/>
          <w:color w:val="000000" w:themeColor="text1"/>
          <w:szCs w:val="21"/>
          <w14:textFill>
            <w14:solidFill>
              <w14:schemeClr w14:val="tx1"/>
            </w14:solidFill>
          </w14:textFill>
        </w:rPr>
        <w:t>资料来源：相关上市公司报告整理</w:t>
      </w:r>
      <w:bookmarkEnd w:id="13"/>
    </w:p>
    <w:p>
      <w:pPr>
        <w:spacing w:line="360" w:lineRule="auto"/>
        <w:ind w:firstLine="480"/>
        <w:jc w:val="left"/>
        <w:rPr>
          <w:rFonts w:ascii="宋体" w:hAnsi="宋体"/>
          <w:color w:val="000000" w:themeColor="text1"/>
          <w:sz w:val="24"/>
          <w:szCs w:val="24"/>
          <w14:textFill>
            <w14:solidFill>
              <w14:schemeClr w14:val="tx1"/>
            </w14:solidFill>
          </w14:textFill>
        </w:rPr>
      </w:pPr>
      <w:r>
        <w:rPr>
          <w:rFonts w:ascii="宋体" w:hAnsi="宋体" w:hint="eastAsia"/>
          <w:color w:val="000000" w:themeColor="text1"/>
          <w:sz w:val="24"/>
          <w:szCs w:val="24"/>
          <w14:textFill>
            <w14:solidFill>
              <w14:schemeClr w14:val="tx1"/>
            </w14:solidFill>
          </w14:textFill>
        </w:rPr>
        <w:t>互联网视频播放行业提供的视频播放服务差异性并不是很大，各家视频播放器提供的播放服务仅在客户体验上可能存在微小的差异，想要获得更好的客户体验，必须在视频压缩，传输等环节进行技术的开发和研究，而这势必也会要加大带宽采购方面的成本。视频播放内容方面的同质化现象就更加严重，仅在时效性上和丰富程度上可能存在着一定的差异，而想更快更多地获得内容版权，势必也会加大版权采购方面的支出。那么暴风集团是如何在竞争很强的视频播放行业脱颖而出的呢？暴风集团是如何做到在吸引如此多的客户的同时，毛利率仍然可以达到同行们无法企及的水平的呢？通过表3</w:t>
      </w:r>
      <w:r>
        <w:rPr>
          <w:rFonts w:ascii="宋体" w:hAnsi="宋体"/>
          <w:color w:val="000000" w:themeColor="text1"/>
          <w:sz w:val="24"/>
          <w:szCs w:val="24"/>
          <w14:textFill>
            <w14:solidFill>
              <w14:schemeClr w14:val="tx1"/>
            </w14:solidFill>
          </w14:textFill>
        </w:rPr>
        <w:t>-1</w:t>
      </w:r>
      <w:r>
        <w:rPr>
          <w:rFonts w:ascii="宋体" w:hAnsi="宋体" w:hint="eastAsia"/>
          <w:color w:val="000000" w:themeColor="text1"/>
          <w:sz w:val="24"/>
          <w:szCs w:val="24"/>
          <w14:textFill>
            <w14:solidFill>
              <w14:schemeClr w14:val="tx1"/>
            </w14:solidFill>
          </w14:textFill>
        </w:rPr>
        <w:t>我们可以细细看一下暴风集团的营业成本构成：</w:t>
      </w:r>
      <w:r>
        <w:rPr>
          <w:rFonts w:ascii="宋体" w:hAnsi="宋体"/>
          <w:color w:val="000000" w:themeColor="text1"/>
          <w:sz w:val="24"/>
          <w:szCs w:val="24"/>
          <w14:textFill>
            <w14:solidFill>
              <w14:schemeClr w14:val="tx1"/>
            </w14:solidFill>
          </w14:textFill>
        </w:rPr>
        <w:br/>
      </w:r>
      <w:r>
        <w:rPr>
          <w:rFonts w:ascii="宋体" w:hAnsi="宋体"/>
          <w:color w:val="000000" w:themeColor="text1"/>
          <w:sz w:val="24"/>
          <w:szCs w:val="24"/>
          <w14:textFill>
            <w14:solidFill>
              <w14:schemeClr w14:val="tx1"/>
            </w14:solidFill>
          </w14:textFill>
        </w:rPr>
        <w:br/>
      </w:r>
    </w:p>
    <w:p>
      <w:pPr>
        <w:widowControl/>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https://d.book118.com/246135011134010051</w:t>
        </w:r>
      </w:hyperlink>
    </w:p>
    <w:p>
      <w:pPr>
        <w:spacing w:line="360" w:lineRule="auto"/>
        <w:ind w:firstLine="480"/>
        <w:jc w:val="left"/>
        <w:rPr>
          <w:rFonts w:ascii="宋体" w:hAnsi="宋体"/>
          <w:color w:val="000000" w:themeColor="text1"/>
          <w:sz w:val="24"/>
          <w:szCs w:val="24"/>
          <w14:textFill>
            <w14:solidFill>
              <w14:schemeClr w14:val="tx1"/>
            </w14:solidFill>
          </w14:textFill>
        </w:rPr>
      </w:pPr>
    </w:p>
    <w:sectPr>
      <w:type w:val="nextPage"/>
      <w:pgSz w:w="11906" w:h="16838"/>
      <w:pgMar w:top="1440" w:right="1800" w:bottom="1440" w:left="1800" w:header="851" w:footer="992" w:gutter="0"/>
      <w:pgNumType w:start="7"/>
      <w:cols w:num="1" w:space="425"/>
      <w:titlePg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ind w:firstLine="420"/>
      </w:pPr>
      <w:r>
        <w:separator/>
      </w:r>
    </w:p>
  </w:footnote>
  <w:footnote w:type="continuationSeparator" w:id="1">
    <w:p>
      <w:pPr>
        <w:ind w:firstLine="42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E920EA4"/>
    <w:multiLevelType w:val="multilevel"/>
    <w:tmpl w:val="AE920EA4"/>
    <w:lvl w:ilvl="0">
      <w:start w:val="1"/>
      <w:numFmt w:val="chineseCountingThousand"/>
      <w:pStyle w:val="Heading1"/>
      <w:suff w:val="nothing"/>
      <w:lvlText w:val="第%1章"/>
      <w:lvlJc w:val="left"/>
      <w:pPr>
        <w:ind w:left="0" w:firstLine="0"/>
      </w:pPr>
      <w:rPr>
        <w:rFonts w:ascii="黑体" w:eastAsia="黑体" w:hAnsi="黑体" w:hint="eastAsia"/>
        <w:b/>
        <w:bCs/>
        <w:sz w:val="24"/>
        <w:szCs w:val="24"/>
      </w:rPr>
    </w:lvl>
    <w:lvl w:ilvl="1">
      <w:start w:val="1"/>
      <w:numFmt w:val="none"/>
      <w:pStyle w:val="Heading2"/>
      <w:suff w:val="nothing"/>
      <w:lvlJc w:val="left"/>
      <w:pPr>
        <w:ind w:left="0" w:firstLine="0"/>
      </w:pPr>
      <w:rPr>
        <w:rFonts w:hint="eastAsia"/>
      </w:rPr>
    </w:lvl>
    <w:lvl w:ilvl="2">
      <w:start w:val="1"/>
      <w:numFmt w:val="none"/>
      <w:pStyle w:val="Heading3"/>
      <w:suff w:val="nothing"/>
      <w:lvlJc w:val="left"/>
      <w:pPr>
        <w:ind w:left="0" w:firstLine="0"/>
      </w:pPr>
      <w:rPr>
        <w:rFonts w:hint="eastAsia"/>
      </w:rPr>
    </w:lvl>
    <w:lvl w:ilvl="3">
      <w:start w:val="1"/>
      <w:numFmt w:val="none"/>
      <w:pStyle w:val="Heading4"/>
      <w:suff w:val="nothing"/>
      <w:lvlJc w:val="left"/>
      <w:pPr>
        <w:ind w:left="0" w:firstLine="0"/>
      </w:pPr>
      <w:rPr>
        <w:rFonts w:hint="eastAsia"/>
      </w:rPr>
    </w:lvl>
    <w:lvl w:ilvl="4">
      <w:start w:val="1"/>
      <w:numFmt w:val="none"/>
      <w:pStyle w:val="Heading5"/>
      <w:suff w:val="nothing"/>
      <w:lvlJc w:val="left"/>
      <w:pPr>
        <w:ind w:left="0" w:firstLine="0"/>
      </w:pPr>
      <w:rPr>
        <w:rFonts w:hint="eastAsia"/>
      </w:rPr>
    </w:lvl>
    <w:lvl w:ilvl="5">
      <w:start w:val="1"/>
      <w:numFmt w:val="none"/>
      <w:pStyle w:val="Heading6"/>
      <w:suff w:val="nothing"/>
      <w:lvlJc w:val="left"/>
      <w:pPr>
        <w:ind w:left="0" w:firstLine="0"/>
      </w:pPr>
      <w:rPr>
        <w:rFonts w:hint="eastAsia"/>
      </w:rPr>
    </w:lvl>
    <w:lvl w:ilvl="6">
      <w:start w:val="1"/>
      <w:numFmt w:val="none"/>
      <w:pStyle w:val="Heading7"/>
      <w:suff w:val="nothing"/>
      <w:lvlJc w:val="left"/>
      <w:pPr>
        <w:ind w:left="0" w:firstLine="0"/>
      </w:pPr>
      <w:rPr>
        <w:rFonts w:hint="eastAsia"/>
      </w:rPr>
    </w:lvl>
    <w:lvl w:ilvl="7">
      <w:start w:val="1"/>
      <w:numFmt w:val="none"/>
      <w:pStyle w:val="Heading8"/>
      <w:suff w:val="nothing"/>
      <w:lvlJc w:val="left"/>
      <w:pPr>
        <w:ind w:left="0" w:firstLine="0"/>
      </w:pPr>
      <w:rPr>
        <w:rFonts w:hint="eastAsia"/>
      </w:rPr>
    </w:lvl>
    <w:lvl w:ilvl="8">
      <w:start w:val="1"/>
      <w:numFmt w:val="none"/>
      <w:pStyle w:val="Heading9"/>
      <w:suff w:val="nothing"/>
      <w:lvlJc w:val="left"/>
      <w:pPr>
        <w:ind w:left="0" w:firstLine="0"/>
      </w:pPr>
      <w:rPr>
        <w:rFonts w:hint="eastAsia"/>
      </w:rPr>
    </w:lvl>
  </w:abstractNum>
  <w:abstractNum w:abstractNumId="1">
    <w:nsid w:val="61803BEE"/>
    <w:multiLevelType w:val="multilevel"/>
    <w:tmpl w:val="61803BEE"/>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BD0094"/>
    <w:rsid w:val="02BC09FE"/>
    <w:rsid w:val="051839E7"/>
    <w:rsid w:val="053310B5"/>
    <w:rsid w:val="0B71375A"/>
    <w:rsid w:val="1172082E"/>
    <w:rsid w:val="13112122"/>
    <w:rsid w:val="16973D90"/>
    <w:rsid w:val="1B8575B5"/>
    <w:rsid w:val="1BE87CFE"/>
    <w:rsid w:val="21711776"/>
    <w:rsid w:val="282B2EEB"/>
    <w:rsid w:val="294475F9"/>
    <w:rsid w:val="2E264EA3"/>
    <w:rsid w:val="2E424AD5"/>
    <w:rsid w:val="33AA7C41"/>
    <w:rsid w:val="34BD0094"/>
    <w:rsid w:val="36BF2BD1"/>
    <w:rsid w:val="39E27166"/>
    <w:rsid w:val="3E0717EC"/>
    <w:rsid w:val="412E5957"/>
    <w:rsid w:val="41D91A1B"/>
    <w:rsid w:val="464448CD"/>
    <w:rsid w:val="46CB5080"/>
    <w:rsid w:val="47A158C8"/>
    <w:rsid w:val="4D460F4C"/>
    <w:rsid w:val="4F2A2C03"/>
    <w:rsid w:val="512E185C"/>
    <w:rsid w:val="515E42DC"/>
    <w:rsid w:val="58554A79"/>
    <w:rsid w:val="5BB92995"/>
    <w:rsid w:val="5EF65F55"/>
    <w:rsid w:val="5FDD6574"/>
    <w:rsid w:val="5FF715DE"/>
    <w:rsid w:val="614B7936"/>
    <w:rsid w:val="61CF5125"/>
    <w:rsid w:val="63760BB1"/>
    <w:rsid w:val="64595BBE"/>
    <w:rsid w:val="64755BBA"/>
    <w:rsid w:val="6A382EEB"/>
    <w:rsid w:val="703E3B0B"/>
    <w:rsid w:val="7D72519A"/>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qFormat="1"/>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3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ind w:firstLine="200" w:firstLineChars="200"/>
      <w:jc w:val="both"/>
    </w:pPr>
    <w:rPr>
      <w:rFonts w:eastAsia="宋体" w:asciiTheme="minorHAnsi" w:hAnsiTheme="minorHAnsi" w:cstheme="minorBidi"/>
      <w:kern w:val="2"/>
      <w:sz w:val="21"/>
      <w:szCs w:val="22"/>
      <w:lang w:val="en-US" w:eastAsia="zh-CN" w:bidi="ar-SA"/>
    </w:rPr>
  </w:style>
  <w:style w:type="paragraph" w:styleId="Heading1">
    <w:name w:val="heading 1"/>
    <w:basedOn w:val="Normal"/>
    <w:next w:val="Normal"/>
    <w:autoRedefine/>
    <w:qFormat/>
    <w:pPr>
      <w:keepNext/>
      <w:keepLines/>
      <w:numPr>
        <w:ilvl w:val="0"/>
        <w:numId w:val="1"/>
      </w:numPr>
      <w:spacing w:beforeLines="0" w:beforeAutospacing="0" w:afterLines="0" w:afterAutospacing="0" w:line="360" w:lineRule="auto"/>
      <w:ind w:firstLine="0"/>
      <w:outlineLvl w:val="0"/>
    </w:pPr>
    <w:rPr>
      <w:rFonts w:asciiTheme="minorAscii" w:hAnsiTheme="minorAscii"/>
      <w:b/>
      <w:kern w:val="44"/>
      <w:sz w:val="32"/>
    </w:rPr>
  </w:style>
  <w:style w:type="paragraph" w:styleId="Heading2">
    <w:name w:val="heading 2"/>
    <w:basedOn w:val="Normal"/>
    <w:next w:val="Normal"/>
    <w:link w:val="2Char"/>
    <w:autoRedefine/>
    <w:semiHidden/>
    <w:unhideWhenUsed/>
    <w:qFormat/>
    <w:pPr>
      <w:keepNext/>
      <w:keepLines/>
      <w:numPr>
        <w:ilvl w:val="1"/>
        <w:numId w:val="1"/>
      </w:numPr>
      <w:spacing w:line="360" w:lineRule="auto"/>
      <w:outlineLvl w:val="1"/>
    </w:pPr>
    <w:rPr>
      <w:rFonts w:asciiTheme="majorAscii" w:eastAsiaTheme="majorEastAsia" w:hAnsiTheme="majorAscii" w:cstheme="majorBidi"/>
      <w:b/>
      <w:bCs/>
      <w:sz w:val="28"/>
      <w:szCs w:val="32"/>
    </w:rPr>
  </w:style>
  <w:style w:type="paragraph" w:styleId="Heading3">
    <w:name w:val="heading 3"/>
    <w:basedOn w:val="Normal"/>
    <w:next w:val="Normal"/>
    <w:autoRedefine/>
    <w:semiHidden/>
    <w:unhideWhenUsed/>
    <w:qFormat/>
    <w:pPr>
      <w:keepNext/>
      <w:keepLines/>
      <w:numPr>
        <w:ilvl w:val="2"/>
        <w:numId w:val="1"/>
      </w:numPr>
      <w:spacing w:line="360" w:lineRule="auto"/>
      <w:ind w:firstLine="0"/>
      <w:outlineLvl w:val="2"/>
    </w:pPr>
    <w:rPr>
      <w:rFonts w:asciiTheme="minorAscii" w:hAnsiTheme="minorAscii"/>
      <w:b/>
      <w:sz w:val="24"/>
    </w:rPr>
  </w:style>
  <w:style w:type="paragraph" w:styleId="Heading4">
    <w:name w:val="heading 4"/>
    <w:basedOn w:val="Normal"/>
    <w:next w:val="Normal"/>
    <w:autoRedefine/>
    <w:semiHidden/>
    <w:unhideWhenUsed/>
    <w:qFormat/>
    <w:pPr>
      <w:keepNext/>
      <w:keepLines/>
      <w:numPr>
        <w:ilvl w:val="3"/>
        <w:numId w:val="1"/>
      </w:numPr>
      <w:spacing w:before="280" w:beforeLines="0" w:beforeAutospacing="0" w:after="290" w:afterLines="0" w:afterAutospacing="0" w:line="372" w:lineRule="auto"/>
      <w:ind w:firstLine="0"/>
      <w:outlineLvl w:val="3"/>
    </w:pPr>
    <w:rPr>
      <w:rFonts w:ascii="Arial" w:eastAsia="黑体" w:hAnsi="Arial"/>
      <w:b/>
      <w:sz w:val="28"/>
    </w:rPr>
  </w:style>
  <w:style w:type="paragraph" w:styleId="Heading5">
    <w:name w:val="heading 5"/>
    <w:basedOn w:val="Normal"/>
    <w:next w:val="Normal"/>
    <w:autoRedefine/>
    <w:semiHidden/>
    <w:unhideWhenUsed/>
    <w:qFormat/>
    <w:pPr>
      <w:keepNext/>
      <w:keepLines/>
      <w:numPr>
        <w:ilvl w:val="4"/>
        <w:numId w:val="1"/>
      </w:numPr>
      <w:spacing w:before="280" w:beforeLines="0" w:beforeAutospacing="0" w:after="290" w:afterLines="0" w:afterAutospacing="0" w:line="372" w:lineRule="auto"/>
      <w:ind w:firstLine="0"/>
      <w:outlineLvl w:val="4"/>
    </w:pPr>
    <w:rPr>
      <w:b/>
      <w:sz w:val="28"/>
    </w:rPr>
  </w:style>
  <w:style w:type="paragraph" w:styleId="Heading6">
    <w:name w:val="heading 6"/>
    <w:basedOn w:val="Normal"/>
    <w:next w:val="Normal"/>
    <w:autoRedefine/>
    <w:semiHidden/>
    <w:unhideWhenUsed/>
    <w:qFormat/>
    <w:pPr>
      <w:keepNext/>
      <w:keepLines/>
      <w:numPr>
        <w:ilvl w:val="5"/>
        <w:numId w:val="1"/>
      </w:numPr>
      <w:spacing w:before="240" w:beforeLines="0" w:beforeAutospacing="0" w:after="64" w:afterLines="0" w:afterAutospacing="0" w:line="317" w:lineRule="auto"/>
      <w:ind w:firstLine="0"/>
      <w:outlineLvl w:val="5"/>
    </w:pPr>
    <w:rPr>
      <w:rFonts w:ascii="Arial" w:eastAsia="黑体" w:hAnsi="Arial"/>
      <w:b/>
      <w:sz w:val="24"/>
    </w:rPr>
  </w:style>
  <w:style w:type="paragraph" w:styleId="Heading7">
    <w:name w:val="heading 7"/>
    <w:basedOn w:val="Normal"/>
    <w:next w:val="Normal"/>
    <w:autoRedefine/>
    <w:semiHidden/>
    <w:unhideWhenUsed/>
    <w:qFormat/>
    <w:pPr>
      <w:keepNext/>
      <w:keepLines/>
      <w:numPr>
        <w:ilvl w:val="6"/>
        <w:numId w:val="1"/>
      </w:numPr>
      <w:spacing w:before="240" w:beforeLines="0" w:beforeAutospacing="0" w:after="64" w:afterLines="0" w:afterAutospacing="0" w:line="317" w:lineRule="auto"/>
      <w:ind w:firstLine="0"/>
      <w:outlineLvl w:val="6"/>
    </w:pPr>
    <w:rPr>
      <w:b/>
      <w:sz w:val="24"/>
    </w:rPr>
  </w:style>
  <w:style w:type="paragraph" w:styleId="Heading8">
    <w:name w:val="heading 8"/>
    <w:basedOn w:val="Normal"/>
    <w:next w:val="Normal"/>
    <w:autoRedefine/>
    <w:semiHidden/>
    <w:unhideWhenUsed/>
    <w:qFormat/>
    <w:pPr>
      <w:keepNext/>
      <w:keepLines/>
      <w:numPr>
        <w:ilvl w:val="7"/>
        <w:numId w:val="1"/>
      </w:numPr>
      <w:spacing w:before="240" w:beforeLines="0" w:beforeAutospacing="0" w:after="64" w:afterLines="0" w:afterAutospacing="0" w:line="317" w:lineRule="auto"/>
      <w:ind w:firstLine="0"/>
      <w:outlineLvl w:val="7"/>
    </w:pPr>
    <w:rPr>
      <w:rFonts w:ascii="Arial" w:eastAsia="黑体" w:hAnsi="Arial"/>
      <w:sz w:val="24"/>
    </w:rPr>
  </w:style>
  <w:style w:type="paragraph" w:styleId="Heading9">
    <w:name w:val="heading 9"/>
    <w:basedOn w:val="Normal"/>
    <w:next w:val="Normal"/>
    <w:autoRedefine/>
    <w:semiHidden/>
    <w:unhideWhenUsed/>
    <w:qFormat/>
    <w:pPr>
      <w:keepNext/>
      <w:keepLines/>
      <w:numPr>
        <w:ilvl w:val="8"/>
        <w:numId w:val="1"/>
      </w:numPr>
      <w:spacing w:before="240" w:beforeLines="0" w:beforeAutospacing="0" w:after="64" w:afterLines="0" w:afterAutospacing="0" w:line="317" w:lineRule="auto"/>
      <w:ind w:firstLine="0"/>
      <w:outlineLvl w:val="8"/>
    </w:pPr>
    <w:rPr>
      <w:rFonts w:ascii="Arial" w:eastAsia="黑体" w:hAnsi="Arial"/>
      <w:sz w:val="21"/>
    </w:rPr>
  </w:style>
  <w:style w:type="character" w:default="1" w:styleId="DefaultParagraphFont">
    <w:name w:val="Default Paragraph Font"/>
    <w:autoRedefine/>
    <w:uiPriority w:val="1"/>
    <w:semiHidden/>
    <w:unhideWhenUsed/>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Index8">
    <w:name w:val="index 8"/>
    <w:basedOn w:val="Normal"/>
    <w:next w:val="Normal"/>
    <w:autoRedefine/>
    <w:qFormat/>
    <w:pPr>
      <w:ind w:left="1400" w:leftChars="1400"/>
    </w:pPr>
  </w:style>
  <w:style w:type="paragraph" w:styleId="BodyText">
    <w:name w:val="Body Text"/>
    <w:basedOn w:val="Normal"/>
    <w:autoRedefine/>
    <w:qFormat/>
    <w:pPr>
      <w:spacing w:after="120" w:afterLines="0" w:afterAutospacing="0"/>
    </w:p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样式1"/>
    <w:basedOn w:val="Normal"/>
    <w:autoRedefine/>
    <w:qFormat/>
    <w:pPr>
      <w:spacing w:line="360" w:lineRule="auto"/>
      <w:ind w:firstLine="420"/>
    </w:pPr>
    <w:rPr>
      <w:rFonts w:asciiTheme="minorAscii" w:eastAsiaTheme="minorEastAsia" w:hAnsiTheme="minorAscii" w:cstheme="minorBidi"/>
      <w:sz w:val="24"/>
      <w:szCs w:val="24"/>
    </w:rPr>
  </w:style>
  <w:style w:type="paragraph" w:customStyle="1" w:styleId="a">
    <w:name w:val="读后感"/>
    <w:basedOn w:val="Normal"/>
    <w:autoRedefine/>
    <w:qFormat/>
    <w:pPr>
      <w:spacing w:line="360" w:lineRule="auto"/>
      <w:ind w:firstLine="420"/>
    </w:pPr>
    <w:rPr>
      <w:rFonts w:ascii="Calibri" w:eastAsia="楷体" w:hAnsi="Calibri" w:cs="宋体"/>
      <w:sz w:val="24"/>
    </w:rPr>
  </w:style>
  <w:style w:type="character" w:customStyle="1" w:styleId="2Char">
    <w:name w:val="标题 2 Char"/>
    <w:basedOn w:val="DefaultParagraphFont"/>
    <w:link w:val="Heading2"/>
    <w:autoRedefine/>
    <w:qFormat/>
    <w:rPr>
      <w:rFonts w:asciiTheme="majorAscii" w:eastAsiaTheme="majorEastAsia" w:hAnsiTheme="majorAscii" w:cstheme="majorBidi"/>
      <w:b/>
      <w:bCs/>
      <w:sz w:val="28"/>
      <w:szCs w:val="32"/>
    </w:rPr>
  </w:style>
  <w:style w:type="paragraph" w:customStyle="1" w:styleId="a0">
    <w:name w:val="刷楷体"/>
    <w:basedOn w:val="Normal"/>
    <w:next w:val="BodyText"/>
    <w:autoRedefine/>
    <w:qFormat/>
    <w:pPr>
      <w:spacing w:line="360" w:lineRule="auto"/>
      <w:ind w:firstLine="420"/>
    </w:pPr>
    <w:rPr>
      <w:rFonts w:ascii="Calibri" w:eastAsia="楷体" w:hAnsi="Calibri" w:cs="Times New Roman" w:hint="eastAsia"/>
      <w:sz w:val="24"/>
      <w:szCs w:val="22"/>
    </w:rPr>
  </w:style>
  <w:style w:type="paragraph" w:styleId="ListParagraph">
    <w:name w:val="List Paragraph"/>
    <w:basedOn w:val="Normal"/>
    <w:autoRedefine/>
    <w:uiPriority w:val="34"/>
    <w:qFormat/>
    <w:pPr>
      <w:ind w:firstLine="420"/>
    </w:pPr>
  </w:style>
  <w:style w:type="paragraph" w:customStyle="1" w:styleId="WPSOffice1">
    <w:name w:val="WPSOffice手动目录 1"/>
    <w:pPr>
      <w:ind w:leftChars="0"/>
    </w:pPr>
    <w:rPr>
      <w:sz w:val="20"/>
      <w:szCs w:val="20"/>
    </w:rPr>
  </w:style>
  <w:style w:type="paragraph" w:customStyle="1" w:styleId="WPSOffice2">
    <w:name w:val="WPSOffice手动目录 2"/>
    <w:pPr>
      <w:ind w:leftChars="20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chart" Target="charts/chart5.xml" /><Relationship Id="rId11" Type="http://schemas.openxmlformats.org/officeDocument/2006/relationships/hyperlink" Target="https://d.book118.com/246135011134010051"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endnotes" Target="endnot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hart" Target="charts/chart1.xml" /><Relationship Id="rId7" Type="http://schemas.openxmlformats.org/officeDocument/2006/relationships/chart" Target="charts/chart2.xml" /><Relationship Id="rId8" Type="http://schemas.openxmlformats.org/officeDocument/2006/relationships/chart" Target="charts/chart3.xml" /><Relationship Id="rId9" Type="http://schemas.openxmlformats.org/officeDocument/2006/relationships/chart" Target="charts/chart4.xml" /></Relationships>
</file>

<file path=word/charts/_rels/chart1.xml.rels><?xml version="1.0" encoding="utf-8" standalone="yes"?><Relationships xmlns="http://schemas.openxmlformats.org/package/2006/relationships"><Relationship Id="rId1" Type="http://schemas.openxmlformats.org/officeDocument/2006/relationships/oleObject" Target="file:///C:\Users\meligua\Desktop\&#26032;&#24314;%20Microsoft%20Excel%20&#24037;&#20316;&#34920;%20(2).xlsx" TargetMode="External" /><Relationship Id="rId2" Type="http://schemas.openxmlformats.org/officeDocument/2006/relationships/themeOverride" Target="../theme/themeOverride1.xml" /><Relationship Id="rId3" Type="http://schemas.microsoft.com/office/2011/relationships/chartColorStyle" Target="chart/colors1.xml" /><Relationship Id="rId4" Type="http://schemas.microsoft.com/office/2011/relationships/chartStyle" Target="chart/style1.xml" /></Relationships>
</file>

<file path=word/charts/_rels/chart2.xml.rels><?xml version="1.0" encoding="utf-8" standalone="yes"?><Relationships xmlns="http://schemas.openxmlformats.org/package/2006/relationships"><Relationship Id="rId1" Type="http://schemas.openxmlformats.org/officeDocument/2006/relationships/oleObject" Target="file:///C:\Users\meligua\Desktop\&#26032;&#24314;%20Microsoft%20Excel%20&#24037;&#20316;&#34920;%20(2).xlsx" TargetMode="External" /><Relationship Id="rId2" Type="http://schemas.openxmlformats.org/officeDocument/2006/relationships/themeOverride" Target="../theme/themeOverride2.xml" /><Relationship Id="rId3" Type="http://schemas.microsoft.com/office/2011/relationships/chartColorStyle" Target="chart/colors2.xml" /><Relationship Id="rId4" Type="http://schemas.microsoft.com/office/2011/relationships/chartStyle" Target="chart/style2.xml" /></Relationships>
</file>

<file path=word/charts/_rels/chart3.xml.rels><?xml version="1.0" encoding="utf-8" standalone="yes"?><Relationships xmlns="http://schemas.openxmlformats.org/package/2006/relationships"><Relationship Id="rId1" Type="http://schemas.openxmlformats.org/officeDocument/2006/relationships/oleObject" Target="file:///C:\Users\meligua\Desktop\&#26032;&#24314;%20Microsoft%20Excel%20&#24037;&#20316;&#34920;%20(2).xlsx" TargetMode="External" /><Relationship Id="rId2" Type="http://schemas.openxmlformats.org/officeDocument/2006/relationships/themeOverride" Target="../theme/themeOverride3.xml" /><Relationship Id="rId3" Type="http://schemas.microsoft.com/office/2011/relationships/chartColorStyle" Target="chart/colors3.xml" /><Relationship Id="rId4" Type="http://schemas.microsoft.com/office/2011/relationships/chartStyle" Target="chart/style3.xml" /></Relationships>
</file>

<file path=word/charts/_rels/chart4.xml.rels><?xml version="1.0" encoding="utf-8" standalone="yes"?><Relationships xmlns="http://schemas.openxmlformats.org/package/2006/relationships"><Relationship Id="rId1" Type="http://schemas.openxmlformats.org/officeDocument/2006/relationships/oleObject" Target="file:///C:\Users\meligua\Desktop\&#26032;&#24314;%20Microsoft%20Excel%20&#24037;&#20316;&#34920;%20(2).xlsx" TargetMode="External" /><Relationship Id="rId2" Type="http://schemas.openxmlformats.org/officeDocument/2006/relationships/themeOverride" Target="../theme/themeOverride4.xml" /><Relationship Id="rId3" Type="http://schemas.microsoft.com/office/2011/relationships/chartColorStyle" Target="chart/colors4.xml" /><Relationship Id="rId4" Type="http://schemas.microsoft.com/office/2011/relationships/chartStyle" Target="chart/style4.xml" /></Relationships>
</file>

<file path=word/charts/_rels/chart5.xml.rels><?xml version="1.0" encoding="utf-8" standalone="yes"?><Relationships xmlns="http://schemas.openxmlformats.org/package/2006/relationships"><Relationship Id="rId1" Type="http://schemas.openxmlformats.org/officeDocument/2006/relationships/oleObject" Target="file:///C:\Users\meligua\Desktop\&#26032;&#24314;%20Microsoft%20Excel%20&#24037;&#20316;&#34920;%20(2).xlsx" TargetMode="External" /><Relationship Id="rId2" Type="http://schemas.openxmlformats.org/officeDocument/2006/relationships/themeOverride" Target="../theme/themeOverride5.xml" /><Relationship Id="rId3" Type="http://schemas.microsoft.com/office/2011/relationships/chartColorStyle" Target="chart/colors5.xml" /><Relationship Id="rId4" Type="http://schemas.microsoft.com/office/2011/relationships/chartStyle" Target="chart/style5.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ln w="9525">
        <a:solidFill>
          <a:schemeClr val="tx1">
            <a:lumMod val="15000"/>
            <a:lumOff val="85000"/>
          </a:schemeClr>
        </a:solidFill>
        <a:round/>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areaChart>
        <c:grouping val="stacked"/>
        <c:varyColors val="0"/>
        <c:ser>
          <c:idx val="0"/>
          <c:order val="0"/>
          <c:tx>
            <c:strRef>
              <c:f>Sheet1!$AH$43</c:f>
              <c:strCache>
                <c:ptCount val="1"/>
                <c:pt idx="0">
                  <c:v>广告业务收入</c:v>
                </c:pt>
              </c:strCache>
            </c:strRef>
          </c:tx>
          <c:spPr>
            <a:solidFill>
              <a:schemeClr val="accent1"/>
            </a:solidFill>
            <a:ln>
              <a:noFill/>
            </a:ln>
            <a:effectLst/>
          </c:spPr>
          <c:dLbls>
            <c:delete val="1"/>
            <c:showLegendKey val="0"/>
            <c:showVal val="0"/>
            <c:showCatName val="0"/>
            <c:showSerName val="0"/>
            <c:showPercent val="0"/>
            <c:showBubbleSize val="0"/>
          </c:dLbls>
          <c:cat>
            <c:numRef>
              <c:f>Sheet1!$AI$42:$AM$42</c:f>
              <c:numCache>
                <c:formatCode>General</c:formatCode>
                <c:ptCount val="5"/>
                <c:pt idx="0">
                  <c:v>2014</c:v>
                </c:pt>
                <c:pt idx="1">
                  <c:v>2015</c:v>
                </c:pt>
                <c:pt idx="2">
                  <c:v>2016</c:v>
                </c:pt>
                <c:pt idx="3">
                  <c:v>2017</c:v>
                </c:pt>
                <c:pt idx="4">
                  <c:v>2018</c:v>
                </c:pt>
              </c:numCache>
            </c:numRef>
          </c:cat>
          <c:val>
            <c:numRef>
              <c:f>Sheet1!$AI$43:$AM$43</c:f>
              <c:numCache>
                <c:formatCode>General</c:formatCode>
                <c:ptCount val="5"/>
                <c:pt idx="0">
                  <c:v>0.887195376144014</c:v>
                </c:pt>
                <c:pt idx="1">
                  <c:v>0.708967594740889</c:v>
                </c:pt>
                <c:pt idx="2">
                  <c:v>0.351431685176103</c:v>
                </c:pt>
                <c:pt idx="3">
                  <c:v>0.223323130929847</c:v>
                </c:pt>
                <c:pt idx="4">
                  <c:v>0.126199417787561</c:v>
                </c:pt>
              </c:numCache>
            </c:numRef>
          </c:val>
        </c:ser>
        <c:ser>
          <c:idx val="1"/>
          <c:order val="1"/>
          <c:tx>
            <c:strRef>
              <c:f>Sheet1!$AH$44</c:f>
              <c:strCache>
                <c:ptCount val="1"/>
                <c:pt idx="0">
                  <c:v>销售商品收入</c:v>
                </c:pt>
              </c:strCache>
            </c:strRef>
          </c:tx>
          <c:spPr>
            <a:solidFill>
              <a:schemeClr val="accent2"/>
            </a:solidFill>
            <a:ln>
              <a:noFill/>
            </a:ln>
            <a:effectLst/>
          </c:spPr>
          <c:dLbls>
            <c:delete val="1"/>
            <c:showLegendKey val="0"/>
            <c:showVal val="0"/>
            <c:showCatName val="0"/>
            <c:showSerName val="0"/>
            <c:showPercent val="0"/>
            <c:showBubbleSize val="0"/>
          </c:dLbls>
          <c:cat>
            <c:numRef>
              <c:f>Sheet1!$AI$42:$AM$42</c:f>
              <c:numCache>
                <c:formatCode>General</c:formatCode>
                <c:ptCount val="5"/>
                <c:pt idx="0">
                  <c:v>2014</c:v>
                </c:pt>
                <c:pt idx="1">
                  <c:v>2015</c:v>
                </c:pt>
                <c:pt idx="2">
                  <c:v>2016</c:v>
                </c:pt>
                <c:pt idx="3">
                  <c:v>2017</c:v>
                </c:pt>
                <c:pt idx="4">
                  <c:v>2018</c:v>
                </c:pt>
              </c:numCache>
            </c:numRef>
          </c:cat>
          <c:val>
            <c:numRef>
              <c:f>Sheet1!$AI$44:$AM$44</c:f>
              <c:numCache>
                <c:formatCode>General</c:formatCode>
                <c:ptCount val="5"/>
                <c:pt idx="0">
                  <c:v>0.013342627169245</c:v>
                </c:pt>
                <c:pt idx="1">
                  <c:v>0.201735994928465</c:v>
                </c:pt>
                <c:pt idx="2">
                  <c:v>0.556755827499566</c:v>
                </c:pt>
                <c:pt idx="3">
                  <c:v>0.670197907689171</c:v>
                </c:pt>
                <c:pt idx="4">
                  <c:v>0.799967274287084</c:v>
                </c:pt>
              </c:numCache>
            </c:numRef>
          </c:val>
        </c:ser>
        <c:ser>
          <c:idx val="2"/>
          <c:order val="2"/>
          <c:tx>
            <c:strRef>
              <c:f>Sheet1!$AH$45</c:f>
              <c:strCache>
                <c:ptCount val="1"/>
                <c:pt idx="0">
                  <c:v>视频点播收入</c:v>
                </c:pt>
              </c:strCache>
            </c:strRef>
          </c:tx>
          <c:spPr>
            <a:solidFill>
              <a:schemeClr val="accent3"/>
            </a:solidFill>
            <a:ln>
              <a:noFill/>
            </a:ln>
            <a:effectLst/>
          </c:spPr>
          <c:dLbls>
            <c:delete val="1"/>
            <c:showLegendKey val="0"/>
            <c:showVal val="0"/>
            <c:showCatName val="0"/>
            <c:showSerName val="0"/>
            <c:showPercent val="0"/>
            <c:showBubbleSize val="0"/>
          </c:dLbls>
          <c:cat>
            <c:numRef>
              <c:f>Sheet1!$AI$42:$AM$42</c:f>
              <c:numCache>
                <c:formatCode>General</c:formatCode>
                <c:ptCount val="5"/>
                <c:pt idx="0">
                  <c:v>2014</c:v>
                </c:pt>
                <c:pt idx="1">
                  <c:v>2015</c:v>
                </c:pt>
                <c:pt idx="2">
                  <c:v>2016</c:v>
                </c:pt>
                <c:pt idx="3">
                  <c:v>2017</c:v>
                </c:pt>
                <c:pt idx="4">
                  <c:v>2018</c:v>
                </c:pt>
              </c:numCache>
            </c:numRef>
          </c:cat>
          <c:val>
            <c:numRef>
              <c:f>Sheet1!$AI$45:$AM$45</c:f>
              <c:numCache>
                <c:formatCode>General</c:formatCode>
                <c:ptCount val="5"/>
                <c:pt idx="0">
                  <c:v>0.00377674286610921</c:v>
                </c:pt>
                <c:pt idx="1">
                  <c:v>0.0329025676948467</c:v>
                </c:pt>
                <c:pt idx="2">
                  <c:v>0.0474120570329698</c:v>
                </c:pt>
                <c:pt idx="3">
                  <c:v>0.0597956546241682</c:v>
                </c:pt>
                <c:pt idx="4">
                  <c:v>0.0370986951775539</c:v>
                </c:pt>
              </c:numCache>
            </c:numRef>
          </c:val>
        </c:ser>
        <c:ser>
          <c:idx val="3"/>
          <c:order val="3"/>
          <c:tx>
            <c:strRef>
              <c:f>Sheet1!$AH$46</c:f>
              <c:strCache>
                <c:ptCount val="1"/>
                <c:pt idx="0">
                  <c:v>管理费收入</c:v>
                </c:pt>
              </c:strCache>
            </c:strRef>
          </c:tx>
          <c:spPr>
            <a:solidFill>
              <a:schemeClr val="accent4"/>
            </a:solidFill>
            <a:ln>
              <a:noFill/>
            </a:ln>
            <a:effectLst/>
          </c:spPr>
          <c:dLbls>
            <c:delete val="1"/>
            <c:showLegendKey val="0"/>
            <c:showVal val="0"/>
            <c:showCatName val="0"/>
            <c:showSerName val="0"/>
            <c:showPercent val="0"/>
            <c:showBubbleSize val="0"/>
          </c:dLbls>
          <c:cat>
            <c:numRef>
              <c:f>Sheet1!$AI$42:$AM$42</c:f>
              <c:numCache>
                <c:formatCode>General</c:formatCode>
                <c:ptCount val="5"/>
                <c:pt idx="0">
                  <c:v>2014</c:v>
                </c:pt>
                <c:pt idx="1">
                  <c:v>2015</c:v>
                </c:pt>
                <c:pt idx="2">
                  <c:v>2016</c:v>
                </c:pt>
                <c:pt idx="3">
                  <c:v>2017</c:v>
                </c:pt>
                <c:pt idx="4">
                  <c:v>2018</c:v>
                </c:pt>
              </c:numCache>
            </c:numRef>
          </c:cat>
          <c:val>
            <c:numRef>
              <c:f>Sheet1!$AI$46:$AM$46</c:f>
              <c:numCache>
                <c:formatCode>General</c:formatCode>
                <c:ptCount val="5"/>
                <c:pt idx="0">
                  <c:v>0</c:v>
                </c:pt>
                <c:pt idx="1" formatCode="@">
                  <c:v>0</c:v>
                </c:pt>
                <c:pt idx="2">
                  <c:v>0.0303675802982598</c:v>
                </c:pt>
                <c:pt idx="3">
                  <c:v>0.0332780566792148</c:v>
                </c:pt>
                <c:pt idx="4">
                  <c:v>0.0156229784906525</c:v>
                </c:pt>
              </c:numCache>
            </c:numRef>
          </c:val>
        </c:ser>
        <c:ser>
          <c:idx val="4"/>
          <c:order val="4"/>
          <c:tx>
            <c:strRef>
              <c:f>Sheet1!$AH$47</c:f>
              <c:strCache>
                <c:ptCount val="1"/>
                <c:pt idx="0">
                  <c:v>软件推广收入</c:v>
                </c:pt>
              </c:strCache>
            </c:strRef>
          </c:tx>
          <c:spPr>
            <a:solidFill>
              <a:schemeClr val="accent5"/>
            </a:solidFill>
            <a:ln>
              <a:noFill/>
            </a:ln>
            <a:effectLst/>
          </c:spPr>
          <c:dLbls>
            <c:delete val="1"/>
            <c:showLegendKey val="0"/>
            <c:showVal val="0"/>
            <c:showCatName val="0"/>
            <c:showSerName val="0"/>
            <c:showPercent val="0"/>
            <c:showBubbleSize val="0"/>
          </c:dLbls>
          <c:cat>
            <c:numRef>
              <c:f>Sheet1!$AI$42:$AM$42</c:f>
              <c:numCache>
                <c:formatCode>General</c:formatCode>
                <c:ptCount val="5"/>
                <c:pt idx="0">
                  <c:v>2014</c:v>
                </c:pt>
                <c:pt idx="1">
                  <c:v>2015</c:v>
                </c:pt>
                <c:pt idx="2">
                  <c:v>2016</c:v>
                </c:pt>
                <c:pt idx="3">
                  <c:v>2017</c:v>
                </c:pt>
                <c:pt idx="4">
                  <c:v>2018</c:v>
                </c:pt>
              </c:numCache>
            </c:numRef>
          </c:cat>
          <c:val>
            <c:numRef>
              <c:f>Sheet1!$AI$47:$AM$47</c:f>
              <c:numCache>
                <c:formatCode>General</c:formatCode>
                <c:ptCount val="5"/>
                <c:pt idx="0">
                  <c:v>0.0955588963190092</c:v>
                </c:pt>
                <c:pt idx="1">
                  <c:v>0.0562674836247002</c:v>
                </c:pt>
                <c:pt idx="2">
                  <c:v>0.00898401061244524</c:v>
                </c:pt>
                <c:pt idx="3">
                  <c:v>0.00390167258702679</c:v>
                </c:pt>
                <c:pt idx="4">
                  <c:v>0.00455906094951065</c:v>
                </c:pt>
              </c:numCache>
            </c:numRef>
          </c:val>
        </c:ser>
        <c:ser>
          <c:idx val="5"/>
          <c:order val="5"/>
          <c:tx>
            <c:strRef>
              <c:f>Sheet1!$AH$48</c:f>
              <c:strCache>
                <c:ptCount val="1"/>
                <c:pt idx="0">
                  <c:v>其他收入</c:v>
                </c:pt>
              </c:strCache>
            </c:strRef>
          </c:tx>
          <c:spPr>
            <a:solidFill>
              <a:schemeClr val="accent6"/>
            </a:solidFill>
            <a:ln>
              <a:noFill/>
            </a:ln>
            <a:effectLst/>
          </c:spPr>
          <c:dLbls>
            <c:delete val="1"/>
            <c:showLegendKey val="0"/>
            <c:showVal val="0"/>
            <c:showCatName val="0"/>
            <c:showSerName val="0"/>
            <c:showPercent val="0"/>
            <c:showBubbleSize val="0"/>
          </c:dLbls>
          <c:cat>
            <c:numRef>
              <c:f>Sheet1!$AI$42:$AM$42</c:f>
              <c:numCache>
                <c:formatCode>General</c:formatCode>
                <c:ptCount val="5"/>
                <c:pt idx="0">
                  <c:v>2014</c:v>
                </c:pt>
                <c:pt idx="1">
                  <c:v>2015</c:v>
                </c:pt>
                <c:pt idx="2">
                  <c:v>2016</c:v>
                </c:pt>
                <c:pt idx="3">
                  <c:v>2017</c:v>
                </c:pt>
                <c:pt idx="4">
                  <c:v>2018</c:v>
                </c:pt>
              </c:numCache>
            </c:numRef>
          </c:cat>
          <c:val>
            <c:numRef>
              <c:f>Sheet1!$AI$48:$AM$48</c:f>
              <c:numCache>
                <c:formatCode>General</c:formatCode>
                <c:ptCount val="5"/>
                <c:pt idx="0">
                  <c:v>0.000124803925782575</c:v>
                </c:pt>
                <c:pt idx="1">
                  <c:v>0.000126359011099658</c:v>
                </c:pt>
                <c:pt idx="2">
                  <c:v>0.00504883938065579</c:v>
                </c:pt>
                <c:pt idx="3">
                  <c:v>0.00950357749057219</c:v>
                </c:pt>
                <c:pt idx="4">
                  <c:v>0.0165525733076379</c:v>
                </c:pt>
              </c:numCache>
            </c:numRef>
          </c:val>
        </c:ser>
        <c:dLbls>
          <c:showLegendKey val="0"/>
          <c:showVal val="0"/>
          <c:showCatName val="0"/>
          <c:showSerName val="0"/>
          <c:showPercent val="0"/>
          <c:showBubbleSize val="0"/>
        </c:dLbls>
        <c:axId val="1712113935"/>
        <c:axId val="1712116431"/>
      </c:areaChart>
      <c:catAx>
        <c:axId val="1712113935"/>
        <c:scaling>
          <c:orientation val="minMax"/>
        </c:scaling>
        <c:delete val="0"/>
        <c:axPos val="b"/>
        <c:numFmt formatCode="General" sourceLinked="1"/>
        <c:majorTickMark val="out"/>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12116431"/>
        <c:crosses val="autoZero"/>
        <c:auto val="1"/>
        <c:lblAlgn val="ctr"/>
        <c:lblOffset val="100"/>
        <c:noMultiLvlLbl val="0"/>
      </c:catAx>
      <c:valAx>
        <c:axId val="1712116431"/>
        <c:scaling>
          <c:orientation val="minMax"/>
          <c:max val="1"/>
        </c:scaling>
        <c:delete val="0"/>
        <c:axPos val="l"/>
        <c:majorGridlines>
          <c:spPr>
            <a:ln w="9525">
              <a:solidFill>
                <a:schemeClr val="tx1">
                  <a:lumMod val="15000"/>
                  <a:lumOff val="85000"/>
                </a:schemeClr>
              </a:solidFill>
              <a:round/>
            </a:ln>
            <a:effectLst/>
          </c:spPr>
        </c:majorGridlines>
        <c:numFmt formatCode="General" sourceLinked="1"/>
        <c:majorTickMark val="none"/>
        <c:minorTickMark val="none"/>
        <c:tickLblPos val="nextTo"/>
        <c:spPr>
          <a:noFill/>
          <a:ln w="12700">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12113935"/>
        <c:crosses val="autoZero"/>
        <c:crossBetween val="midCat"/>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宋体" panose="02010600030101010101" charset="-122"/>
              <a:ea typeface="宋体" panose="02010600030101010101" charset="-122"/>
              <a:cs typeface="+mn-cs"/>
            </a:defRPr>
          </a:pPr>
        </a:p>
      </c:txPr>
    </c:legend>
    <c:plotVisOnly val="1"/>
    <c:dispBlanksAs val="zero"/>
    <c:showDLblsOverMax val="0"/>
  </c:chart>
  <c:spPr>
    <a:solidFill>
      <a:schemeClr val="bg1"/>
    </a:solidFill>
    <a:ln w="9525">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Sheet2!$D$7</c:f>
              <c:strCache>
                <c:ptCount val="1"/>
                <c:pt idx="0">
                  <c:v>网络视频用户规模（万人）</c:v>
                </c:pt>
              </c:strCache>
            </c:strRef>
          </c:tx>
          <c:spPr>
            <a:solidFill>
              <a:schemeClr val="accent1"/>
            </a:solidFill>
            <a:ln>
              <a:noFill/>
            </a:ln>
            <a:effectLst/>
          </c:spPr>
          <c:invertIfNegative val="0"/>
          <c:dLbls>
            <c:delete val="1"/>
            <c:showLegendKey val="0"/>
            <c:showVal val="0"/>
            <c:showCatName val="0"/>
            <c:showSerName val="0"/>
            <c:showPercent val="0"/>
            <c:showBubbleSize val="0"/>
          </c:dLbls>
          <c:cat>
            <c:numRef>
              <c:f>Sheet2!$C$8:$C$13</c:f>
              <c:numCache>
                <c:formatCode>General</c:formatCode>
                <c:ptCount val="6"/>
                <c:pt idx="0">
                  <c:v>2013</c:v>
                </c:pt>
                <c:pt idx="1">
                  <c:v>2014</c:v>
                </c:pt>
                <c:pt idx="2">
                  <c:v>2015</c:v>
                </c:pt>
                <c:pt idx="3">
                  <c:v>2016</c:v>
                </c:pt>
                <c:pt idx="4">
                  <c:v>2017</c:v>
                </c:pt>
                <c:pt idx="5">
                  <c:v>2018</c:v>
                </c:pt>
              </c:numCache>
            </c:numRef>
          </c:cat>
          <c:val>
            <c:numRef>
              <c:f>Sheet2!$D$8:$D$13</c:f>
              <c:numCache>
                <c:formatCode>General</c:formatCode>
                <c:ptCount val="6"/>
                <c:pt idx="0">
                  <c:v>42820</c:v>
                </c:pt>
                <c:pt idx="1">
                  <c:v>43298</c:v>
                </c:pt>
                <c:pt idx="2">
                  <c:v>50391</c:v>
                </c:pt>
                <c:pt idx="3">
                  <c:v>54455</c:v>
                </c:pt>
                <c:pt idx="4">
                  <c:v>57892</c:v>
                </c:pt>
                <c:pt idx="5">
                  <c:v>61201</c:v>
                </c:pt>
              </c:numCache>
            </c:numRef>
          </c:val>
        </c:ser>
        <c:ser>
          <c:idx val="1"/>
          <c:order val="1"/>
          <c:tx>
            <c:strRef>
              <c:f>Sheet2!$E$7</c:f>
              <c:strCache>
                <c:ptCount val="1"/>
                <c:pt idx="0">
                  <c:v>手机网络视频用户规模（万人）</c:v>
                </c:pt>
              </c:strCache>
            </c:strRef>
          </c:tx>
          <c:spPr>
            <a:solidFill>
              <a:schemeClr val="accent2"/>
            </a:solidFill>
            <a:ln>
              <a:noFill/>
            </a:ln>
            <a:effectLst/>
          </c:spPr>
          <c:invertIfNegative val="0"/>
          <c:dLbls>
            <c:delete val="1"/>
            <c:showLegendKey val="0"/>
            <c:showVal val="0"/>
            <c:showCatName val="0"/>
            <c:showSerName val="0"/>
            <c:showPercent val="0"/>
            <c:showBubbleSize val="0"/>
          </c:dLbls>
          <c:cat>
            <c:numRef>
              <c:f>Sheet2!$C$8:$C$13</c:f>
              <c:numCache>
                <c:formatCode>General</c:formatCode>
                <c:ptCount val="6"/>
                <c:pt idx="0">
                  <c:v>2013</c:v>
                </c:pt>
                <c:pt idx="1">
                  <c:v>2014</c:v>
                </c:pt>
                <c:pt idx="2">
                  <c:v>2015</c:v>
                </c:pt>
                <c:pt idx="3">
                  <c:v>2016</c:v>
                </c:pt>
                <c:pt idx="4">
                  <c:v>2017</c:v>
                </c:pt>
                <c:pt idx="5">
                  <c:v>2018</c:v>
                </c:pt>
              </c:numCache>
            </c:numRef>
          </c:cat>
          <c:val>
            <c:numRef>
              <c:f>Sheet2!$E$8:$E$13</c:f>
              <c:numCache>
                <c:formatCode>General</c:formatCode>
                <c:ptCount val="6"/>
                <c:pt idx="0">
                  <c:v>24669</c:v>
                </c:pt>
                <c:pt idx="1">
                  <c:v>31280</c:v>
                </c:pt>
                <c:pt idx="2">
                  <c:v>40508</c:v>
                </c:pt>
                <c:pt idx="3">
                  <c:v>49987</c:v>
                </c:pt>
                <c:pt idx="4">
                  <c:v>54857</c:v>
                </c:pt>
                <c:pt idx="5">
                  <c:v>58958</c:v>
                </c:pt>
              </c:numCache>
            </c:numRef>
          </c:val>
        </c:ser>
        <c:dLbls>
          <c:showLegendKey val="0"/>
          <c:showVal val="0"/>
          <c:showCatName val="0"/>
          <c:showSerName val="0"/>
          <c:showPercent val="0"/>
          <c:showBubbleSize val="0"/>
        </c:dLbls>
        <c:gapWidth val="219"/>
        <c:overlap val="-27"/>
        <c:axId val="460519583"/>
        <c:axId val="460500447"/>
      </c:barChart>
      <c:lineChart>
        <c:grouping val="standard"/>
        <c:varyColors val="0"/>
        <c:ser>
          <c:idx val="2"/>
          <c:order val="2"/>
          <c:tx>
            <c:strRef>
              <c:f>Sheet2!$F$7</c:f>
              <c:strCache>
                <c:ptCount val="1"/>
                <c:pt idx="0">
                  <c:v>网络视频使用率（占网民比例）</c:v>
                </c:pt>
              </c:strCache>
            </c:strRef>
          </c:tx>
          <c:spPr>
            <a:ln w="28575" cap="rnd">
              <a:solidFill>
                <a:schemeClr val="accent3"/>
              </a:solidFill>
              <a:round/>
            </a:ln>
            <a:effectLst/>
          </c:spPr>
          <c:marker>
            <c:symbol val="none"/>
          </c:marker>
          <c:dLbls>
            <c:delete val="1"/>
            <c:showLegendKey val="0"/>
            <c:showVal val="0"/>
            <c:showCatName val="0"/>
            <c:showSerName val="0"/>
            <c:showPercent val="0"/>
            <c:showBubbleSize val="0"/>
          </c:dLbls>
          <c:val>
            <c:numRef>
              <c:f>Sheet2!$F$8:$F$13</c:f>
              <c:numCache>
                <c:formatCode>0.00%</c:formatCode>
                <c:ptCount val="6"/>
                <c:pt idx="0">
                  <c:v>0.693</c:v>
                </c:pt>
                <c:pt idx="1">
                  <c:v>0.667</c:v>
                </c:pt>
                <c:pt idx="2">
                  <c:v>0.732</c:v>
                </c:pt>
                <c:pt idx="3">
                  <c:v>0.745</c:v>
                </c:pt>
                <c:pt idx="4">
                  <c:v>0.75</c:v>
                </c:pt>
                <c:pt idx="5">
                  <c:v>0.739</c:v>
                </c:pt>
              </c:numCache>
            </c:numRef>
          </c:val>
          <c:smooth val="0"/>
        </c:ser>
        <c:ser>
          <c:idx val="3"/>
          <c:order val="3"/>
          <c:tx>
            <c:strRef>
              <c:f>Sheet2!$G$7</c:f>
              <c:strCache>
                <c:ptCount val="1"/>
                <c:pt idx="0">
                  <c:v>手机网络视频使用率（占手机网民比例）</c:v>
                </c:pt>
              </c:strCache>
            </c:strRef>
          </c:tx>
          <c:spPr>
            <a:ln w="28575" cap="rnd">
              <a:solidFill>
                <a:schemeClr val="accent4"/>
              </a:solidFill>
              <a:round/>
            </a:ln>
            <a:effectLst/>
          </c:spPr>
          <c:marker>
            <c:symbol val="none"/>
          </c:marker>
          <c:dLbls>
            <c:delete val="1"/>
            <c:showLegendKey val="0"/>
            <c:showVal val="0"/>
            <c:showCatName val="0"/>
            <c:showSerName val="0"/>
            <c:showPercent val="0"/>
            <c:showBubbleSize val="0"/>
          </c:dLbls>
          <c:val>
            <c:numRef>
              <c:f>Sheet2!$G$8:$G$13</c:f>
              <c:numCache>
                <c:formatCode>0.00%</c:formatCode>
                <c:ptCount val="6"/>
                <c:pt idx="0">
                  <c:v>0.493</c:v>
                </c:pt>
                <c:pt idx="1">
                  <c:v>0.562</c:v>
                </c:pt>
                <c:pt idx="2">
                  <c:v>0.654</c:v>
                </c:pt>
                <c:pt idx="3">
                  <c:v>0.719</c:v>
                </c:pt>
                <c:pt idx="4">
                  <c:v>0.729</c:v>
                </c:pt>
                <c:pt idx="5">
                  <c:v>0.722</c:v>
                </c:pt>
              </c:numCache>
            </c:numRef>
          </c:val>
          <c:smooth val="0"/>
        </c:ser>
        <c:dLbls>
          <c:showLegendKey val="0"/>
          <c:showVal val="0"/>
          <c:showCatName val="0"/>
          <c:showSerName val="0"/>
          <c:showPercent val="0"/>
          <c:showBubbleSize val="0"/>
        </c:dLbls>
        <c:marker val="0"/>
        <c:smooth val="0"/>
        <c:axId val="460510015"/>
        <c:axId val="460500863"/>
      </c:lineChart>
      <c:catAx>
        <c:axId val="460519583"/>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60500447"/>
        <c:crosses val="autoZero"/>
        <c:auto val="1"/>
        <c:lblAlgn val="ctr"/>
        <c:lblOffset val="100"/>
        <c:noMultiLvlLbl val="0"/>
      </c:catAx>
      <c:valAx>
        <c:axId val="460500447"/>
        <c:scaling>
          <c:orientation val="minMax"/>
        </c:scaling>
        <c:delete val="0"/>
        <c:axPos val="l"/>
        <c:majorGridlines>
          <c:spPr>
            <a:ln w="9525">
              <a:solidFill>
                <a:schemeClr val="tx1">
                  <a:lumMod val="15000"/>
                  <a:lumOff val="85000"/>
                </a:schemeClr>
              </a:solidFill>
              <a:round/>
            </a:ln>
            <a:effectLst/>
          </c:spPr>
        </c:majorGridlines>
        <c:numFmt formatCode="General" sourceLinked="1"/>
        <c:majorTickMark val="none"/>
        <c:minorTickMark val="none"/>
        <c:tickLblPos val="nextTo"/>
        <c:spPr>
          <a:noFill/>
          <a:ln w="12700">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60519583"/>
        <c:crosses val="autoZero"/>
        <c:crossBetween val="between"/>
      </c:valAx>
      <c:catAx>
        <c:axId val="460510015"/>
        <c:scaling>
          <c:orientation val="minMax"/>
        </c:scaling>
        <c:delete val="1"/>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60500863"/>
        <c:crosses val="autoZero"/>
        <c:auto val="1"/>
        <c:lblAlgn val="ctr"/>
        <c:lblOffset val="100"/>
        <c:noMultiLvlLbl val="0"/>
      </c:catAx>
      <c:valAx>
        <c:axId val="460500863"/>
        <c:scaling>
          <c:orientation val="minMax"/>
        </c:scaling>
        <c:delete val="0"/>
        <c:axPos val="r"/>
        <c:numFmt formatCode="0.00%" sourceLinked="1"/>
        <c:majorTickMark val="none"/>
        <c:minorTickMark val="none"/>
        <c:tickLblPos val="nextTo"/>
        <c:spPr>
          <a:noFill/>
          <a:ln w="12700">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60510015"/>
        <c:crosses val="max"/>
        <c:crossBetween val="between"/>
      </c:valAx>
      <c:dTable>
        <c:showHorzBorder val="0"/>
        <c:showVertBorder val="1"/>
        <c:showOutline val="1"/>
        <c:showKeys val="1"/>
        <c:spPr>
          <a:noFill/>
          <a:ln w="9525">
            <a:solidFill>
              <a:schemeClr val="tx1">
                <a:lumMod val="15000"/>
                <a:lumOff val="85000"/>
              </a:schemeClr>
            </a:solidFill>
            <a:round/>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宋体" panose="02010600030101010101" charset="-122"/>
                <a:ea typeface="宋体" panose="02010600030101010101" charset="-122"/>
                <a:cs typeface="+mn-cs"/>
              </a:defRPr>
            </a:pPr>
          </a:p>
        </c:txPr>
      </c:dTable>
      <c:spPr>
        <a:noFill/>
        <a:ln>
          <a:noFill/>
        </a:ln>
        <a:effectLst/>
      </c:spPr>
    </c:plotArea>
    <c:plotVisOnly val="1"/>
    <c:dispBlanksAs val="gap"/>
    <c:showDLblsOverMax val="0"/>
  </c:chart>
  <c:spPr>
    <a:solidFill>
      <a:schemeClr val="bg1"/>
    </a:solidFill>
    <a:ln w="9525">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Sheet1!$C$88</c:f>
              <c:strCache>
                <c:ptCount val="1"/>
                <c:pt idx="0">
                  <c:v>广告收入(万元)</c:v>
                </c:pt>
              </c:strCache>
            </c:strRef>
          </c:tx>
          <c:spPr>
            <a:ln w="28575" cap="rnd">
              <a:solidFill>
                <a:schemeClr val="accent1"/>
              </a:solidFill>
              <a:round/>
            </a:ln>
            <a:effectLst/>
          </c:spPr>
          <c:marker>
            <c:symbol val="none"/>
          </c:marker>
          <c:dLbls>
            <c:delete val="1"/>
            <c:showLegendKey val="0"/>
            <c:showVal val="0"/>
            <c:showCatName val="0"/>
            <c:showSerName val="0"/>
            <c:showPercent val="0"/>
            <c:showBubbleSize val="0"/>
          </c:dLbls>
          <c:cat>
            <c:strRef>
              <c:f>Sheet1!$B$89:$B$91</c:f>
              <c:strCache>
                <c:ptCount val="3"/>
                <c:pt idx="0">
                  <c:v>2012年</c:v>
                </c:pt>
                <c:pt idx="1">
                  <c:v>2013年</c:v>
                </c:pt>
                <c:pt idx="2">
                  <c:v>2014年</c:v>
                </c:pt>
              </c:strCache>
            </c:strRef>
          </c:cat>
          <c:val>
            <c:numRef>
              <c:f>Sheet1!$C$89:$C$91</c:f>
              <c:numCache>
                <c:formatCode>0.00_ </c:formatCode>
                <c:ptCount val="3"/>
                <c:pt idx="0">
                  <c:v>22512.95</c:v>
                </c:pt>
                <c:pt idx="1">
                  <c:v>30997.92</c:v>
                </c:pt>
                <c:pt idx="2">
                  <c:v>34264.05</c:v>
                </c:pt>
              </c:numCache>
            </c:numRef>
          </c:val>
          <c:smooth val="0"/>
        </c:ser>
        <c:ser>
          <c:idx val="1"/>
          <c:order val="1"/>
          <c:tx>
            <c:strRef>
              <c:f>Sheet1!$D$88</c:f>
              <c:strCache>
                <c:ptCount val="1"/>
                <c:pt idx="0">
                  <c:v>软件推广收入(万元)</c:v>
                </c:pt>
              </c:strCache>
            </c:strRef>
          </c:tx>
          <c:spPr>
            <a:ln w="28575" cap="rnd">
              <a:solidFill>
                <a:schemeClr val="accent2"/>
              </a:solidFill>
              <a:round/>
            </a:ln>
            <a:effectLst/>
          </c:spPr>
          <c:marker>
            <c:symbol val="none"/>
          </c:marker>
          <c:dLbls>
            <c:delete val="1"/>
            <c:showLegendKey val="0"/>
            <c:showVal val="0"/>
            <c:showCatName val="0"/>
            <c:showSerName val="0"/>
            <c:showPercent val="0"/>
            <c:showBubbleSize val="0"/>
          </c:dLbls>
          <c:cat>
            <c:strRef>
              <c:f>Sheet1!$B$89:$B$91</c:f>
              <c:strCache>
                <c:ptCount val="3"/>
                <c:pt idx="0">
                  <c:v>2012年</c:v>
                </c:pt>
                <c:pt idx="1">
                  <c:v>2013年</c:v>
                </c:pt>
                <c:pt idx="2">
                  <c:v>2014年</c:v>
                </c:pt>
              </c:strCache>
            </c:strRef>
          </c:cat>
          <c:val>
            <c:numRef>
              <c:f>Sheet1!$D$89:$D$91</c:f>
              <c:numCache>
                <c:formatCode>0.00_ </c:formatCode>
                <c:ptCount val="3"/>
                <c:pt idx="0">
                  <c:v>2627.91</c:v>
                </c:pt>
                <c:pt idx="1">
                  <c:v>1421.35</c:v>
                </c:pt>
                <c:pt idx="2">
                  <c:v>3690.54</c:v>
                </c:pt>
              </c:numCache>
            </c:numRef>
          </c:val>
          <c:smooth val="0"/>
        </c:ser>
        <c:ser>
          <c:idx val="2"/>
          <c:order val="2"/>
          <c:tx>
            <c:strRef>
              <c:f>Sheet1!$E$88</c:f>
              <c:strCache>
                <c:ptCount val="1"/>
                <c:pt idx="0">
                  <c:v>销售商品(万元)</c:v>
                </c:pt>
              </c:strCache>
            </c:strRef>
          </c:tx>
          <c:spPr>
            <a:ln w="28575" cap="rnd">
              <a:solidFill>
                <a:schemeClr val="accent3"/>
              </a:solidFill>
              <a:round/>
            </a:ln>
            <a:effectLst/>
          </c:spPr>
          <c:marker>
            <c:symbol val="none"/>
          </c:marker>
          <c:dLbls>
            <c:delete val="1"/>
            <c:showLegendKey val="0"/>
            <c:showVal val="0"/>
            <c:showCatName val="0"/>
            <c:showSerName val="0"/>
            <c:showPercent val="0"/>
            <c:showBubbleSize val="0"/>
          </c:dLbls>
          <c:cat>
            <c:strRef>
              <c:f>Sheet1!$B$89:$B$91</c:f>
              <c:strCache>
                <c:ptCount val="3"/>
                <c:pt idx="0">
                  <c:v>2012年</c:v>
                </c:pt>
                <c:pt idx="1">
                  <c:v>2013年</c:v>
                </c:pt>
                <c:pt idx="2">
                  <c:v>2014年</c:v>
                </c:pt>
              </c:strCache>
            </c:strRef>
          </c:cat>
          <c:val>
            <c:numRef>
              <c:f>Sheet1!$E$89:$E$91</c:f>
              <c:numCache>
                <c:formatCode>0.00_ </c:formatCode>
                <c:ptCount val="3"/>
                <c:pt idx="0">
                  <c:v>0</c:v>
                </c:pt>
                <c:pt idx="1">
                  <c:v>0</c:v>
                </c:pt>
                <c:pt idx="2">
                  <c:v>515.3</c:v>
                </c:pt>
              </c:numCache>
            </c:numRef>
          </c:val>
          <c:smooth val="0"/>
        </c:ser>
        <c:ser>
          <c:idx val="3"/>
          <c:order val="3"/>
          <c:tx>
            <c:strRef>
              <c:f>Sheet1!$F$88</c:f>
              <c:strCache>
                <c:ptCount val="1"/>
                <c:pt idx="0">
                  <c:v>其他收入(万元)</c:v>
                </c:pt>
              </c:strCache>
            </c:strRef>
          </c:tx>
          <c:spPr>
            <a:ln w="28575" cap="rnd">
              <a:solidFill>
                <a:schemeClr val="accent4"/>
              </a:solidFill>
              <a:round/>
            </a:ln>
            <a:effectLst/>
          </c:spPr>
          <c:marker>
            <c:symbol val="none"/>
          </c:marker>
          <c:dLbls>
            <c:delete val="1"/>
            <c:showLegendKey val="0"/>
            <c:showVal val="0"/>
            <c:showCatName val="0"/>
            <c:showSerName val="0"/>
            <c:showPercent val="0"/>
            <c:showBubbleSize val="0"/>
          </c:dLbls>
          <c:cat>
            <c:strRef>
              <c:f>Sheet1!$B$89:$B$91</c:f>
              <c:strCache>
                <c:ptCount val="3"/>
                <c:pt idx="0">
                  <c:v>2012年</c:v>
                </c:pt>
                <c:pt idx="1">
                  <c:v>2013年</c:v>
                </c:pt>
                <c:pt idx="2">
                  <c:v>2014年</c:v>
                </c:pt>
              </c:strCache>
            </c:strRef>
          </c:cat>
          <c:val>
            <c:numRef>
              <c:f>Sheet1!$F$89:$F$91</c:f>
              <c:numCache>
                <c:formatCode>0.00_ </c:formatCode>
                <c:ptCount val="3"/>
                <c:pt idx="0">
                  <c:v>13.16</c:v>
                </c:pt>
                <c:pt idx="1">
                  <c:v>57.67</c:v>
                </c:pt>
                <c:pt idx="2">
                  <c:v>150.68</c:v>
                </c:pt>
              </c:numCache>
            </c:numRef>
          </c:val>
          <c:smooth val="0"/>
        </c:ser>
        <c:dLbls>
          <c:showLegendKey val="0"/>
          <c:showVal val="0"/>
          <c:showCatName val="0"/>
          <c:showSerName val="0"/>
          <c:showPercent val="0"/>
          <c:showBubbleSize val="0"/>
        </c:dLbls>
        <c:marker val="0"/>
        <c:smooth val="0"/>
        <c:axId val="784837071"/>
        <c:axId val="784837903"/>
      </c:lineChart>
      <c:catAx>
        <c:axId val="784837071"/>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84837903"/>
        <c:crosses val="autoZero"/>
        <c:auto val="1"/>
        <c:lblAlgn val="ctr"/>
        <c:lblOffset val="100"/>
        <c:noMultiLvlLbl val="0"/>
      </c:catAx>
      <c:valAx>
        <c:axId val="784837903"/>
        <c:scaling>
          <c:orientation val="minMax"/>
          <c:max val="35000"/>
        </c:scaling>
        <c:delete val="0"/>
        <c:axPos val="l"/>
        <c:majorGridlines>
          <c:spPr>
            <a:ln w="9525">
              <a:solidFill>
                <a:schemeClr val="tx1">
                  <a:lumMod val="15000"/>
                  <a:lumOff val="85000"/>
                </a:schemeClr>
              </a:solidFill>
              <a:round/>
            </a:ln>
            <a:effectLst/>
          </c:spPr>
        </c:majorGridlines>
        <c:numFmt formatCode="0.00_ " sourceLinked="1"/>
        <c:majorTickMark val="none"/>
        <c:minorTickMark val="none"/>
        <c:tickLblPos val="nextTo"/>
        <c:spPr>
          <a:noFill/>
          <a:ln w="12700">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8483707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Sheet1!$B$114</c:f>
              <c:strCache>
                <c:ptCount val="1"/>
                <c:pt idx="0">
                  <c:v>营业收入（万元）</c:v>
                </c:pt>
              </c:strCache>
            </c:strRef>
          </c:tx>
          <c:spPr>
            <a:solidFill>
              <a:schemeClr val="accent1"/>
            </a:solidFill>
            <a:ln>
              <a:noFill/>
            </a:ln>
            <a:effectLst/>
          </c:spPr>
          <c:invertIfNegative val="0"/>
          <c:dLbls>
            <c:delete val="1"/>
            <c:showLegendKey val="0"/>
            <c:showVal val="0"/>
            <c:showCatName val="0"/>
            <c:showSerName val="0"/>
            <c:showPercent val="0"/>
            <c:showBubbleSize val="0"/>
          </c:dLbls>
          <c:cat>
            <c:strRef>
              <c:f>Sheet1!$C$113:$E$113</c:f>
              <c:strCache>
                <c:ptCount val="3"/>
                <c:pt idx="0">
                  <c:v>2014年</c:v>
                </c:pt>
                <c:pt idx="1">
                  <c:v>2013年</c:v>
                </c:pt>
                <c:pt idx="2">
                  <c:v>2012年</c:v>
                </c:pt>
              </c:strCache>
            </c:strRef>
          </c:cat>
          <c:val>
            <c:numRef>
              <c:f>Sheet1!$C$114:$E$114</c:f>
              <c:numCache>
                <c:formatCode>0.00_ </c:formatCode>
                <c:ptCount val="3"/>
                <c:pt idx="0">
                  <c:v>38620.58</c:v>
                </c:pt>
                <c:pt idx="1">
                  <c:v>32467.94</c:v>
                </c:pt>
                <c:pt idx="2">
                  <c:v>25154.02</c:v>
                </c:pt>
              </c:numCache>
            </c:numRef>
          </c:val>
        </c:ser>
        <c:ser>
          <c:idx val="1"/>
          <c:order val="1"/>
          <c:tx>
            <c:strRef>
              <c:f>Sheet1!$B$115</c:f>
              <c:strCache>
                <c:ptCount val="1"/>
                <c:pt idx="0">
                  <c:v>营业成本（万元）</c:v>
                </c:pt>
              </c:strCache>
            </c:strRef>
          </c:tx>
          <c:spPr>
            <a:solidFill>
              <a:schemeClr val="accent2"/>
            </a:solidFill>
            <a:ln>
              <a:noFill/>
            </a:ln>
            <a:effectLst/>
          </c:spPr>
          <c:invertIfNegative val="0"/>
          <c:dLbls>
            <c:delete val="1"/>
            <c:showLegendKey val="0"/>
            <c:showVal val="0"/>
            <c:showCatName val="0"/>
            <c:showSerName val="0"/>
            <c:showPercent val="0"/>
            <c:showBubbleSize val="0"/>
          </c:dLbls>
          <c:cat>
            <c:strRef>
              <c:f>Sheet1!$C$113:$E$113</c:f>
              <c:strCache>
                <c:ptCount val="3"/>
                <c:pt idx="0">
                  <c:v>2014年</c:v>
                </c:pt>
                <c:pt idx="1">
                  <c:v>2013年</c:v>
                </c:pt>
                <c:pt idx="2">
                  <c:v>2012年</c:v>
                </c:pt>
              </c:strCache>
            </c:strRef>
          </c:cat>
          <c:val>
            <c:numRef>
              <c:f>Sheet1!$C$115:$E$115</c:f>
              <c:numCache>
                <c:formatCode>0.00_ </c:formatCode>
                <c:ptCount val="3"/>
                <c:pt idx="0">
                  <c:v>9828.58</c:v>
                </c:pt>
                <c:pt idx="1">
                  <c:v>9267</c:v>
                </c:pt>
                <c:pt idx="2">
                  <c:v>6320.76</c:v>
                </c:pt>
              </c:numCache>
            </c:numRef>
          </c:val>
        </c:ser>
        <c:ser>
          <c:idx val="2"/>
          <c:order val="2"/>
          <c:tx>
            <c:strRef>
              <c:f>Sheet1!$B$116</c:f>
              <c:strCache>
                <c:ptCount val="1"/>
                <c:pt idx="0">
                  <c:v>销售费用（万元）</c:v>
                </c:pt>
              </c:strCache>
            </c:strRef>
          </c:tx>
          <c:spPr>
            <a:solidFill>
              <a:schemeClr val="accent3"/>
            </a:solidFill>
            <a:ln>
              <a:noFill/>
            </a:ln>
            <a:effectLst/>
          </c:spPr>
          <c:invertIfNegative val="0"/>
          <c:dLbls>
            <c:delete val="1"/>
            <c:showLegendKey val="0"/>
            <c:showVal val="0"/>
            <c:showCatName val="0"/>
            <c:showSerName val="0"/>
            <c:showPercent val="0"/>
            <c:showBubbleSize val="0"/>
          </c:dLbls>
          <c:cat>
            <c:strRef>
              <c:f>Sheet1!$C$113:$E$113</c:f>
              <c:strCache>
                <c:ptCount val="3"/>
                <c:pt idx="0">
                  <c:v>2014年</c:v>
                </c:pt>
                <c:pt idx="1">
                  <c:v>2013年</c:v>
                </c:pt>
                <c:pt idx="2">
                  <c:v>2012年</c:v>
                </c:pt>
              </c:strCache>
            </c:strRef>
          </c:cat>
          <c:val>
            <c:numRef>
              <c:f>Sheet1!$C$116:$E$116</c:f>
              <c:numCache>
                <c:formatCode>0.00_ </c:formatCode>
                <c:ptCount val="3"/>
                <c:pt idx="0">
                  <c:v>13486.23</c:v>
                </c:pt>
                <c:pt idx="1">
                  <c:v>11533.54</c:v>
                </c:pt>
                <c:pt idx="2">
                  <c:v>5999.67</c:v>
                </c:pt>
              </c:numCache>
            </c:numRef>
          </c:val>
        </c:ser>
        <c:ser>
          <c:idx val="3"/>
          <c:order val="3"/>
          <c:tx>
            <c:strRef>
              <c:f>Sheet1!$B$117</c:f>
              <c:strCache>
                <c:ptCount val="1"/>
                <c:pt idx="0">
                  <c:v>管理费用（万元）</c:v>
                </c:pt>
              </c:strCache>
            </c:strRef>
          </c:tx>
          <c:spPr>
            <a:solidFill>
              <a:schemeClr val="accent4"/>
            </a:solidFill>
            <a:ln>
              <a:noFill/>
            </a:ln>
            <a:effectLst/>
          </c:spPr>
          <c:invertIfNegative val="0"/>
          <c:dLbls>
            <c:delete val="1"/>
            <c:showLegendKey val="0"/>
            <c:showVal val="0"/>
            <c:showCatName val="0"/>
            <c:showSerName val="0"/>
            <c:showPercent val="0"/>
            <c:showBubbleSize val="0"/>
          </c:dLbls>
          <c:cat>
            <c:strRef>
              <c:f>Sheet1!$C$113:$E$113</c:f>
              <c:strCache>
                <c:ptCount val="3"/>
                <c:pt idx="0">
                  <c:v>2014年</c:v>
                </c:pt>
                <c:pt idx="1">
                  <c:v>2013年</c:v>
                </c:pt>
                <c:pt idx="2">
                  <c:v>2012年</c:v>
                </c:pt>
              </c:strCache>
            </c:strRef>
          </c:cat>
          <c:val>
            <c:numRef>
              <c:f>Sheet1!$C$117:$E$117</c:f>
              <c:numCache>
                <c:formatCode>0.00_ </c:formatCode>
                <c:ptCount val="3"/>
                <c:pt idx="0">
                  <c:v>10508.04</c:v>
                </c:pt>
                <c:pt idx="1">
                  <c:v>7054.41</c:v>
                </c:pt>
                <c:pt idx="2">
                  <c:v>6304.52</c:v>
                </c:pt>
              </c:numCache>
            </c:numRef>
          </c:val>
        </c:ser>
        <c:dLbls>
          <c:showLegendKey val="0"/>
          <c:showVal val="0"/>
          <c:showCatName val="0"/>
          <c:showSerName val="0"/>
          <c:showPercent val="0"/>
          <c:showBubbleSize val="0"/>
        </c:dLbls>
        <c:gapWidth val="219"/>
        <c:overlap val="-27"/>
        <c:axId val="930087295"/>
        <c:axId val="930089791"/>
      </c:barChart>
      <c:lineChart>
        <c:grouping val="standard"/>
        <c:varyColors val="0"/>
        <c:ser>
          <c:idx val="4"/>
          <c:order val="4"/>
          <c:tx>
            <c:strRef>
              <c:f>Sheet1!$B$118</c:f>
              <c:strCache>
                <c:ptCount val="1"/>
                <c:pt idx="0">
                  <c:v>毛利率</c:v>
                </c:pt>
              </c:strCache>
            </c:strRef>
          </c:tx>
          <c:spPr>
            <a:ln w="28575" cap="rnd">
              <a:solidFill>
                <a:schemeClr val="accent5"/>
              </a:solidFill>
              <a:round/>
            </a:ln>
            <a:effectLst/>
          </c:spPr>
          <c:marker>
            <c:symbol val="none"/>
          </c:marker>
          <c:dLbls>
            <c:delete val="1"/>
            <c:showLegendKey val="0"/>
            <c:showVal val="0"/>
            <c:showCatName val="0"/>
            <c:showSerName val="0"/>
            <c:showPercent val="0"/>
            <c:showBubbleSize val="0"/>
          </c:dLbls>
          <c:cat>
            <c:strRef>
              <c:f>Sheet1!$C$113:$E$113</c:f>
              <c:strCache>
                <c:ptCount val="3"/>
                <c:pt idx="0">
                  <c:v>2014年</c:v>
                </c:pt>
                <c:pt idx="1">
                  <c:v>2013年</c:v>
                </c:pt>
                <c:pt idx="2">
                  <c:v>2012年</c:v>
                </c:pt>
              </c:strCache>
            </c:strRef>
          </c:cat>
          <c:val>
            <c:numRef>
              <c:f>Sheet1!$C$118:$E$118</c:f>
              <c:numCache>
                <c:formatCode>0.00%</c:formatCode>
                <c:ptCount val="3"/>
                <c:pt idx="0">
                  <c:v>0.745509259570933</c:v>
                </c:pt>
                <c:pt idx="1">
                  <c:v>0.714579982592058</c:v>
                </c:pt>
                <c:pt idx="2">
                  <c:v>0.748717699993878</c:v>
                </c:pt>
              </c:numCache>
            </c:numRef>
          </c:val>
          <c:smooth val="0"/>
        </c:ser>
        <c:dLbls>
          <c:showLegendKey val="0"/>
          <c:showVal val="0"/>
          <c:showCatName val="0"/>
          <c:showSerName val="0"/>
          <c:showPercent val="0"/>
          <c:showBubbleSize val="0"/>
        </c:dLbls>
        <c:marker val="0"/>
        <c:smooth val="0"/>
        <c:axId val="930078559"/>
        <c:axId val="930072319"/>
      </c:lineChart>
      <c:catAx>
        <c:axId val="930087295"/>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30089791"/>
        <c:crosses val="autoZero"/>
        <c:auto val="1"/>
        <c:lblAlgn val="ctr"/>
        <c:lblOffset val="100"/>
        <c:noMultiLvlLbl val="0"/>
      </c:catAx>
      <c:valAx>
        <c:axId val="930089791"/>
        <c:scaling>
          <c:orientation val="minMax"/>
        </c:scaling>
        <c:delete val="0"/>
        <c:axPos val="l"/>
        <c:majorGridlines>
          <c:spPr>
            <a:ln w="9525">
              <a:solidFill>
                <a:schemeClr val="tx1">
                  <a:lumMod val="15000"/>
                  <a:lumOff val="85000"/>
                </a:schemeClr>
              </a:solidFill>
              <a:round/>
            </a:ln>
            <a:effectLst/>
          </c:spPr>
        </c:majorGridlines>
        <c:numFmt formatCode="0.00_ " sourceLinked="1"/>
        <c:majorTickMark val="none"/>
        <c:minorTickMark val="none"/>
        <c:tickLblPos val="nextTo"/>
        <c:spPr>
          <a:noFill/>
          <a:ln w="12700">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30087295"/>
        <c:crosses val="autoZero"/>
        <c:crossBetween val="between"/>
      </c:valAx>
      <c:catAx>
        <c:axId val="930078559"/>
        <c:scaling>
          <c:orientation val="minMax"/>
        </c:scaling>
        <c:delete val="1"/>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30072319"/>
        <c:crosses val="autoZero"/>
        <c:auto val="1"/>
        <c:lblAlgn val="ctr"/>
        <c:lblOffset val="100"/>
        <c:noMultiLvlLbl val="0"/>
      </c:catAx>
      <c:valAx>
        <c:axId val="930072319"/>
        <c:scaling>
          <c:orientation val="minMax"/>
          <c:min val="0"/>
        </c:scaling>
        <c:delete val="0"/>
        <c:axPos val="r"/>
        <c:numFmt formatCode="0.00%" sourceLinked="1"/>
        <c:majorTickMark val="none"/>
        <c:minorTickMark val="none"/>
        <c:tickLblPos val="nextTo"/>
        <c:spPr>
          <a:noFill/>
          <a:ln w="12700">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30078559"/>
        <c:crosses val="max"/>
        <c:crossBetween val="between"/>
      </c:valAx>
      <c:dTable>
        <c:showHorzBorder val="1"/>
        <c:showVertBorder val="1"/>
        <c:showOutline val="1"/>
        <c:showKeys val="1"/>
        <c:spPr>
          <a:noFill/>
          <a:ln w="9525">
            <a:solidFill>
              <a:schemeClr val="tx1">
                <a:lumMod val="15000"/>
                <a:lumOff val="85000"/>
              </a:schemeClr>
            </a:solidFill>
            <a:round/>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dTable>
      <c:spPr>
        <a:noFill/>
        <a:ln>
          <a:noFill/>
        </a:ln>
        <a:effectLst/>
      </c:spPr>
    </c:plotArea>
    <c:plotVisOnly val="1"/>
    <c:dispBlanksAs val="gap"/>
    <c:showDLblsOverMax val="0"/>
  </c:chart>
  <c:spPr>
    <a:solidFill>
      <a:schemeClr val="bg1"/>
    </a:solidFill>
    <a:ln w="9525">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Sheet1!$D$128</c:f>
              <c:strCache>
                <c:ptCount val="1"/>
                <c:pt idx="0">
                  <c:v>暴风集团</c:v>
                </c:pt>
              </c:strCache>
            </c:strRef>
          </c:tx>
          <c:spPr>
            <a:ln w="28575" cap="rnd">
              <a:solidFill>
                <a:schemeClr val="accent1"/>
              </a:solidFill>
              <a:round/>
            </a:ln>
            <a:effectLst/>
          </c:spPr>
          <c:marker>
            <c:symbol val="none"/>
          </c:marker>
          <c:dLbls>
            <c:delete val="1"/>
            <c:showLegendKey val="0"/>
            <c:showVal val="0"/>
            <c:showCatName val="0"/>
            <c:showSerName val="0"/>
            <c:showPercent val="0"/>
            <c:showBubbleSize val="0"/>
          </c:dLbls>
          <c:cat>
            <c:strRef>
              <c:f>Sheet1!$C$129:$C$131</c:f>
              <c:strCache>
                <c:ptCount val="3"/>
                <c:pt idx="0">
                  <c:v>2012年</c:v>
                </c:pt>
                <c:pt idx="1">
                  <c:v>2013年</c:v>
                </c:pt>
                <c:pt idx="2">
                  <c:v>2014年</c:v>
                </c:pt>
              </c:strCache>
            </c:strRef>
          </c:cat>
          <c:val>
            <c:numRef>
              <c:f>Sheet1!$D$129:$D$131</c:f>
              <c:numCache>
                <c:formatCode>0.00%</c:formatCode>
                <c:ptCount val="3"/>
                <c:pt idx="0">
                  <c:v>0.7487</c:v>
                </c:pt>
                <c:pt idx="1">
                  <c:v>0.7147</c:v>
                </c:pt>
                <c:pt idx="2">
                  <c:v>0.7455</c:v>
                </c:pt>
              </c:numCache>
            </c:numRef>
          </c:val>
          <c:smooth val="0"/>
        </c:ser>
        <c:ser>
          <c:idx val="1"/>
          <c:order val="1"/>
          <c:tx>
            <c:strRef>
              <c:f>Sheet1!$E$128</c:f>
              <c:strCache>
                <c:ptCount val="1"/>
                <c:pt idx="0">
                  <c:v>优酷土豆</c:v>
                </c:pt>
              </c:strCache>
            </c:strRef>
          </c:tx>
          <c:spPr>
            <a:ln w="28575" cap="rnd">
              <a:solidFill>
                <a:schemeClr val="accent2"/>
              </a:solidFill>
              <a:round/>
            </a:ln>
            <a:effectLst/>
          </c:spPr>
          <c:marker>
            <c:symbol val="none"/>
          </c:marker>
          <c:dLbls>
            <c:delete val="1"/>
            <c:showLegendKey val="0"/>
            <c:showVal val="0"/>
            <c:showCatName val="0"/>
            <c:showSerName val="0"/>
            <c:showPercent val="0"/>
            <c:showBubbleSize val="0"/>
          </c:dLbls>
          <c:cat>
            <c:strRef>
              <c:f>Sheet1!$C$129:$C$131</c:f>
              <c:strCache>
                <c:ptCount val="3"/>
                <c:pt idx="0">
                  <c:v>2012年</c:v>
                </c:pt>
                <c:pt idx="1">
                  <c:v>2013年</c:v>
                </c:pt>
                <c:pt idx="2">
                  <c:v>2014年</c:v>
                </c:pt>
              </c:strCache>
            </c:strRef>
          </c:cat>
          <c:val>
            <c:numRef>
              <c:f>Sheet1!$E$129:$E$131</c:f>
              <c:numCache>
                <c:formatCode>0.00%</c:formatCode>
                <c:ptCount val="3"/>
                <c:pt idx="0">
                  <c:v>0.1649</c:v>
                </c:pt>
                <c:pt idx="1">
                  <c:v>0.1787</c:v>
                </c:pt>
                <c:pt idx="2">
                  <c:v>0.195</c:v>
                </c:pt>
              </c:numCache>
            </c:numRef>
          </c:val>
          <c:smooth val="0"/>
        </c:ser>
        <c:ser>
          <c:idx val="2"/>
          <c:order val="2"/>
          <c:tx>
            <c:strRef>
              <c:f>Sheet1!$F$128</c:f>
              <c:strCache>
                <c:ptCount val="1"/>
                <c:pt idx="0">
                  <c:v>迅雷</c:v>
                </c:pt>
              </c:strCache>
            </c:strRef>
          </c:tx>
          <c:spPr>
            <a:ln w="28575" cap="rnd">
              <a:solidFill>
                <a:schemeClr val="accent3"/>
              </a:solidFill>
              <a:round/>
            </a:ln>
            <a:effectLst/>
          </c:spPr>
          <c:marker>
            <c:symbol val="none"/>
          </c:marker>
          <c:dLbls>
            <c:delete val="1"/>
            <c:showLegendKey val="0"/>
            <c:showVal val="0"/>
            <c:showCatName val="0"/>
            <c:showSerName val="0"/>
            <c:showPercent val="0"/>
            <c:showBubbleSize val="0"/>
          </c:dLbls>
          <c:cat>
            <c:strRef>
              <c:f>Sheet1!$C$129:$C$131</c:f>
              <c:strCache>
                <c:ptCount val="3"/>
                <c:pt idx="0">
                  <c:v>2012年</c:v>
                </c:pt>
                <c:pt idx="1">
                  <c:v>2013年</c:v>
                </c:pt>
                <c:pt idx="2">
                  <c:v>2014年</c:v>
                </c:pt>
              </c:strCache>
            </c:strRef>
          </c:cat>
          <c:val>
            <c:numRef>
              <c:f>Sheet1!$F$129:$F$131</c:f>
              <c:numCache>
                <c:formatCode>0.00%</c:formatCode>
                <c:ptCount val="3"/>
                <c:pt idx="0">
                  <c:v>0.4331</c:v>
                </c:pt>
                <c:pt idx="1">
                  <c:v>0.4826</c:v>
                </c:pt>
                <c:pt idx="2">
                  <c:v>0.443</c:v>
                </c:pt>
              </c:numCache>
            </c:numRef>
          </c:val>
          <c:smooth val="0"/>
        </c:ser>
        <c:dLbls>
          <c:showLegendKey val="0"/>
          <c:showVal val="0"/>
          <c:showCatName val="0"/>
          <c:showSerName val="0"/>
          <c:showPercent val="0"/>
          <c:showBubbleSize val="0"/>
        </c:dLbls>
        <c:marker val="0"/>
        <c:smooth val="0"/>
        <c:axId val="943668895"/>
        <c:axId val="943665567"/>
      </c:lineChart>
      <c:catAx>
        <c:axId val="943668895"/>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43665567"/>
        <c:crosses val="autoZero"/>
        <c:auto val="1"/>
        <c:lblAlgn val="ctr"/>
        <c:lblOffset val="100"/>
        <c:noMultiLvlLbl val="0"/>
      </c:catAx>
      <c:valAx>
        <c:axId val="943665567"/>
        <c:scaling>
          <c:orientation val="minMax"/>
        </c:scaling>
        <c:delete val="0"/>
        <c:axPos val="l"/>
        <c:majorGridlines>
          <c:spPr>
            <a:ln w="9525">
              <a:solidFill>
                <a:schemeClr val="tx1">
                  <a:lumMod val="15000"/>
                  <a:lumOff val="85000"/>
                </a:schemeClr>
              </a:solidFill>
              <a:round/>
            </a:ln>
            <a:effectLst/>
          </c:spPr>
        </c:majorGridlines>
        <c:numFmt formatCode="0.00%" sourceLinked="1"/>
        <c:majorTickMark val="none"/>
        <c:minorTickMark val="none"/>
        <c:tickLblPos val="nextTo"/>
        <c:spPr>
          <a:noFill/>
          <a:ln w="12700">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43668895"/>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a:solidFill>
        <a:schemeClr val="tx1">
          <a:lumMod val="15000"/>
          <a:lumOff val="85000"/>
        </a:schemeClr>
      </a:solidFill>
      <a:round/>
    </a:ln>
    <a:effectLst/>
  </c:spPr>
  <c:txPr>
    <a:bodyPr/>
    <a:lstStyle/>
    <a:p>
      <a:pPr>
        <a:defRPr lang="zh-CN"/>
      </a:pPr>
    </a:p>
  </c:txPr>
  <c:externalData r:id="rId1">
    <c:autoUpdate val="0"/>
  </c:externalData>
</c:chartSpace>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xmlns:a="http://schemas.openxmlformats.org/drawingml/2006/main" name="WPS">
    <a:dk1>
      <a:sysClr lastClr="000000" val="windowText"/>
    </a:dk1>
    <a:lt1>
      <a:sysClr lastClr="CCE8CF" val="window"/>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xmlns:a="http://schemas.openxmlformats.org/drawingml/2006/main"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algn="ctr" cap="flat" cmpd="sng" w="12700">
        <a:solidFill>
          <a:schemeClr val="phClr"/>
        </a:solidFill>
        <a:prstDash val="solid"/>
        <a:miter lim="800000"/>
      </a:ln>
      <a:ln algn="ctr" cap="flat" cmpd="sng" w="12700">
        <a:solidFill>
          <a:schemeClr val="phClr"/>
        </a:solidFill>
        <a:prstDash val="solid"/>
        <a:miter lim="800000"/>
      </a:ln>
      <a:ln algn="ctr" cap="flat" cmpd="sng" w="12700">
        <a:gradFill>
          <a:gsLst>
            <a:gs pos="0">
              <a:schemeClr val="phClr">
                <a:hueOff val="-4200000"/>
              </a:schemeClr>
            </a:gs>
            <a:gs pos="100000">
              <a:schemeClr val="phClr"/>
            </a:gs>
          </a:gsLst>
          <a:lin ang="2700000" scaled="1"/>
        </a:gradFill>
        <a:prstDash val="solid"/>
        <a:miter lim="800000"/>
      </a:ln>
    </a:lnStyleLst>
    <a:effectStyleLst>
      <a:effectStyle>
        <a:effectLst>
          <a:outerShdw algn="ctr" blurRad="101600" dir="5400000" dist="50800" rotWithShape="0">
            <a:schemeClr val="phClr">
              <a:alpha val="60000"/>
            </a:schemeClr>
          </a:outerShdw>
        </a:effectLst>
      </a:effectStyle>
      <a:effectStyle>
        <a:effectLst>
          <a:reflection algn="bl" dir="5400000" dist="25400" endA="300" endPos="40000" rotWithShape="0" stA="50000" sy="-100000"/>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xmlns:a="http://schemas.openxmlformats.org/drawingml/2006/main" name="WPS">
    <a:dk1>
      <a:sysClr lastClr="000000" val="windowText"/>
    </a:dk1>
    <a:lt1>
      <a:sysClr lastClr="CCE8CF" val="window"/>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xmlns:a="http://schemas.openxmlformats.org/drawingml/2006/main"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algn="ctr" cap="flat" cmpd="sng" w="12700">
        <a:solidFill>
          <a:schemeClr val="phClr"/>
        </a:solidFill>
        <a:prstDash val="solid"/>
        <a:miter lim="800000"/>
      </a:ln>
      <a:ln algn="ctr" cap="flat" cmpd="sng" w="12700">
        <a:solidFill>
          <a:schemeClr val="phClr"/>
        </a:solidFill>
        <a:prstDash val="solid"/>
        <a:miter lim="800000"/>
      </a:ln>
      <a:ln algn="ctr" cap="flat" cmpd="sng" w="12700">
        <a:gradFill>
          <a:gsLst>
            <a:gs pos="0">
              <a:schemeClr val="phClr">
                <a:hueOff val="-4200000"/>
              </a:schemeClr>
            </a:gs>
            <a:gs pos="100000">
              <a:schemeClr val="phClr"/>
            </a:gs>
          </a:gsLst>
          <a:lin ang="2700000" scaled="1"/>
        </a:gradFill>
        <a:prstDash val="solid"/>
        <a:miter lim="800000"/>
      </a:ln>
    </a:lnStyleLst>
    <a:effectStyleLst>
      <a:effectStyle>
        <a:effectLst>
          <a:outerShdw algn="ctr" blurRad="101600" dir="5400000" dist="50800" rotWithShape="0">
            <a:schemeClr val="phClr">
              <a:alpha val="60000"/>
            </a:schemeClr>
          </a:outerShdw>
        </a:effectLst>
      </a:effectStyle>
      <a:effectStyle>
        <a:effectLst>
          <a:reflection algn="bl" dir="5400000" dist="25400" endA="300" endPos="40000" rotWithShape="0" stA="50000" sy="-100000"/>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xmlns:a="http://schemas.openxmlformats.org/drawingml/2006/main" name="WPS">
    <a:dk1>
      <a:sysClr lastClr="000000" val="windowText"/>
    </a:dk1>
    <a:lt1>
      <a:sysClr lastClr="CCE8CF" val="window"/>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xmlns:a="http://schemas.openxmlformats.org/drawingml/2006/main"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algn="ctr" cap="flat" cmpd="sng" w="12700">
        <a:solidFill>
          <a:schemeClr val="phClr"/>
        </a:solidFill>
        <a:prstDash val="solid"/>
        <a:miter lim="800000"/>
      </a:ln>
      <a:ln algn="ctr" cap="flat" cmpd="sng" w="12700">
        <a:solidFill>
          <a:schemeClr val="phClr"/>
        </a:solidFill>
        <a:prstDash val="solid"/>
        <a:miter lim="800000"/>
      </a:ln>
      <a:ln algn="ctr" cap="flat" cmpd="sng" w="12700">
        <a:gradFill>
          <a:gsLst>
            <a:gs pos="0">
              <a:schemeClr val="phClr">
                <a:hueOff val="-4200000"/>
              </a:schemeClr>
            </a:gs>
            <a:gs pos="100000">
              <a:schemeClr val="phClr"/>
            </a:gs>
          </a:gsLst>
          <a:lin ang="2700000" scaled="1"/>
        </a:gradFill>
        <a:prstDash val="solid"/>
        <a:miter lim="800000"/>
      </a:ln>
    </a:lnStyleLst>
    <a:effectStyleLst>
      <a:effectStyle>
        <a:effectLst>
          <a:outerShdw algn="ctr" blurRad="101600" dir="5400000" dist="50800" rotWithShape="0">
            <a:schemeClr val="phClr">
              <a:alpha val="60000"/>
            </a:schemeClr>
          </a:outerShdw>
        </a:effectLst>
      </a:effectStyle>
      <a:effectStyle>
        <a:effectLst>
          <a:reflection algn="bl" dir="5400000" dist="25400" endA="300" endPos="40000" rotWithShape="0" stA="50000" sy="-100000"/>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xmlns:a="http://schemas.openxmlformats.org/drawingml/2006/main" name="WPS">
    <a:dk1>
      <a:sysClr lastClr="000000" val="windowText"/>
    </a:dk1>
    <a:lt1>
      <a:sysClr lastClr="CCE8CF" val="window"/>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xmlns:a="http://schemas.openxmlformats.org/drawingml/2006/main"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algn="ctr" cap="flat" cmpd="sng" w="12700">
        <a:solidFill>
          <a:schemeClr val="phClr"/>
        </a:solidFill>
        <a:prstDash val="solid"/>
        <a:miter lim="800000"/>
      </a:ln>
      <a:ln algn="ctr" cap="flat" cmpd="sng" w="12700">
        <a:solidFill>
          <a:schemeClr val="phClr"/>
        </a:solidFill>
        <a:prstDash val="solid"/>
        <a:miter lim="800000"/>
      </a:ln>
      <a:ln algn="ctr" cap="flat" cmpd="sng" w="12700">
        <a:gradFill>
          <a:gsLst>
            <a:gs pos="0">
              <a:schemeClr val="phClr">
                <a:hueOff val="-4200000"/>
              </a:schemeClr>
            </a:gs>
            <a:gs pos="100000">
              <a:schemeClr val="phClr"/>
            </a:gs>
          </a:gsLst>
          <a:lin ang="2700000" scaled="1"/>
        </a:gradFill>
        <a:prstDash val="solid"/>
        <a:miter lim="800000"/>
      </a:ln>
    </a:lnStyleLst>
    <a:effectStyleLst>
      <a:effectStyle>
        <a:effectLst>
          <a:outerShdw algn="ctr" blurRad="101600" dir="5400000" dist="50800" rotWithShape="0">
            <a:schemeClr val="phClr">
              <a:alpha val="60000"/>
            </a:schemeClr>
          </a:outerShdw>
        </a:effectLst>
      </a:effectStyle>
      <a:effectStyle>
        <a:effectLst>
          <a:reflection algn="bl" dir="5400000" dist="25400" endA="300" endPos="40000" rotWithShape="0" stA="50000" sy="-100000"/>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xmlns:a="http://schemas.openxmlformats.org/drawingml/2006/main" name="WPS">
    <a:dk1>
      <a:sysClr lastClr="000000" val="windowText"/>
    </a:dk1>
    <a:lt1>
      <a:sysClr lastClr="CCE8CF" val="window"/>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xmlns:a="http://schemas.openxmlformats.org/drawingml/2006/main"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algn="ctr" cap="flat" cmpd="sng" w="12700">
        <a:solidFill>
          <a:schemeClr val="phClr"/>
        </a:solidFill>
        <a:prstDash val="solid"/>
        <a:miter lim="800000"/>
      </a:ln>
      <a:ln algn="ctr" cap="flat" cmpd="sng" w="12700">
        <a:solidFill>
          <a:schemeClr val="phClr"/>
        </a:solidFill>
        <a:prstDash val="solid"/>
        <a:miter lim="800000"/>
      </a:ln>
      <a:ln algn="ctr" cap="flat" cmpd="sng" w="12700">
        <a:gradFill>
          <a:gsLst>
            <a:gs pos="0">
              <a:schemeClr val="phClr">
                <a:hueOff val="-4200000"/>
              </a:schemeClr>
            </a:gs>
            <a:gs pos="100000">
              <a:schemeClr val="phClr"/>
            </a:gs>
          </a:gsLst>
          <a:lin ang="2700000" scaled="1"/>
        </a:gradFill>
        <a:prstDash val="solid"/>
        <a:miter lim="800000"/>
      </a:ln>
    </a:lnStyleLst>
    <a:effectStyleLst>
      <a:effectStyle>
        <a:effectLst>
          <a:outerShdw algn="ctr" blurRad="101600" dir="5400000" dist="50800" rotWithShape="0">
            <a:schemeClr val="phClr">
              <a:alpha val="60000"/>
            </a:schemeClr>
          </a:outerShdw>
        </a:effectLst>
      </a:effectStyle>
      <a:effectStyle>
        <a:effectLst>
          <a:reflection algn="bl" dir="5400000" dist="25400" endA="300" endPos="40000" rotWithShape="0" stA="50000" sy="-100000"/>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ABEEL</dc:creator>
  <cp:lastModifiedBy>ABEEL</cp:lastModifiedBy>
  <cp:revision>1</cp:revision>
  <dcterms:created xsi:type="dcterms:W3CDTF">2024-02-21T02:36:00Z</dcterms:created>
  <dcterms:modified xsi:type="dcterms:W3CDTF">2024-02-21T02:38:27Z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5A6D7CEFBA494F59AAA68333D41B641A_13</vt:lpwstr>
  </property>
  <property fmtid="{D5CDD505-2E9C-101B-9397-08002B2CF9AE}" pid="3" name="KSOProductBuildVer">
    <vt:lpwstr>2052-12.1.0.16388</vt:lpwstr>
  </property>
</Properties>
</file>