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after="1"/>
        <w:rPr>
          <w:rFonts w:ascii="Times New Roman"/>
          <w:sz w:val="20"/>
        </w:rPr>
      </w:pPr>
    </w:p>
    <w:p>
      <w:pPr>
        <w:spacing w:line="240" w:lineRule="auto"/>
        <w:ind w:left="1940" w:right="0" w:firstLine="0"/>
        <w:rPr>
          <w:rFonts w:ascii="Times New Roman"/>
          <w:sz w:val="20"/>
        </w:rPr>
      </w:pPr>
      <w:r>
        <w:rPr>
          <w:rFonts w:ascii="Times New Roman"/>
          <w:position w:val="4"/>
          <w:sz w:val="20"/>
        </w:rPr>
        <w:drawing>
          <wp:inline distT="0" distB="0" distL="0" distR="0">
            <wp:extent cx="823436" cy="133016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23436" cy="1330166"/>
                    </a:xfrm>
                    <a:prstGeom prst="rect">
                      <a:avLst/>
                    </a:prstGeom>
                  </pic:spPr>
                </pic:pic>
              </a:graphicData>
            </a:graphic>
          </wp:inline>
        </w:drawing>
      </w:r>
      <w:r>
        <w:rPr>
          <w:rFonts w:ascii="Times New Roman"/>
          <w:spacing w:val="53"/>
          <w:position w:val="4"/>
          <w:sz w:val="20"/>
        </w:rPr>
        <w:t xml:space="preserve"> </w:t>
      </w:r>
      <w:r>
        <w:rPr>
          <w:rFonts w:ascii="Times New Roman"/>
          <w:spacing w:val="53"/>
          <w:position w:val="6"/>
          <w:sz w:val="20"/>
        </w:rPr>
        <w:drawing>
          <wp:inline distT="0" distB="0" distL="0" distR="0">
            <wp:extent cx="785431" cy="1317498"/>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85431" cy="1317498"/>
                    </a:xfrm>
                    <a:prstGeom prst="rect">
                      <a:avLst/>
                    </a:prstGeom>
                  </pic:spPr>
                </pic:pic>
              </a:graphicData>
            </a:graphic>
          </wp:inline>
        </w:drawing>
      </w:r>
      <w:r>
        <w:rPr>
          <w:rFonts w:ascii="Times New Roman"/>
          <w:spacing w:val="53"/>
          <w:position w:val="6"/>
          <w:sz w:val="20"/>
        </w:rPr>
        <w:t xml:space="preserve"> </w:t>
      </w:r>
      <w:r>
        <w:rPr>
          <w:rFonts w:ascii="Times New Roman"/>
          <w:spacing w:val="53"/>
          <w:position w:val="2"/>
          <w:sz w:val="20"/>
        </w:rPr>
        <w:drawing>
          <wp:inline distT="0" distB="0" distL="0" distR="0">
            <wp:extent cx="1710213" cy="1355502"/>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710213" cy="1355502"/>
                    </a:xfrm>
                    <a:prstGeom prst="rect">
                      <a:avLst/>
                    </a:prstGeom>
                  </pic:spPr>
                </pic:pic>
              </a:graphicData>
            </a:graphic>
          </wp:inline>
        </w:drawing>
      </w:r>
      <w:r>
        <w:rPr>
          <w:rFonts w:ascii="Times New Roman"/>
          <w:spacing w:val="96"/>
          <w:position w:val="2"/>
          <w:sz w:val="20"/>
        </w:rPr>
        <w:t xml:space="preserve"> </w:t>
      </w:r>
      <w:r>
        <w:rPr>
          <w:rFonts w:ascii="Times New Roman"/>
          <w:spacing w:val="96"/>
          <w:position w:val="8"/>
          <w:sz w:val="20"/>
        </w:rPr>
        <w:drawing>
          <wp:inline distT="0" distB="0" distL="0" distR="0">
            <wp:extent cx="734758" cy="1279493"/>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734758" cy="1279493"/>
                    </a:xfrm>
                    <a:prstGeom prst="rect">
                      <a:avLst/>
                    </a:prstGeom>
                  </pic:spPr>
                </pic:pic>
              </a:graphicData>
            </a:graphic>
          </wp:inline>
        </w:drawing>
      </w:r>
      <w:r>
        <w:rPr>
          <w:rFonts w:ascii="Times New Roman"/>
          <w:spacing w:val="72"/>
          <w:position w:val="8"/>
          <w:sz w:val="20"/>
        </w:rPr>
        <w:t xml:space="preserve"> </w:t>
      </w:r>
      <w:r>
        <w:rPr>
          <w:rFonts w:ascii="Times New Roman"/>
          <w:spacing w:val="72"/>
          <w:position w:val="2"/>
          <w:sz w:val="20"/>
        </w:rPr>
        <w:drawing>
          <wp:inline distT="0" distB="0" distL="0" distR="0">
            <wp:extent cx="848772" cy="1355502"/>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48772" cy="1355502"/>
                    </a:xfrm>
                    <a:prstGeom prst="rect">
                      <a:avLst/>
                    </a:prstGeom>
                  </pic:spPr>
                </pic:pic>
              </a:graphicData>
            </a:graphic>
          </wp:inline>
        </w:drawing>
      </w:r>
      <w:r>
        <w:rPr>
          <w:rFonts w:ascii="Times New Roman"/>
          <w:spacing w:val="93"/>
          <w:position w:val="2"/>
          <w:sz w:val="20"/>
        </w:rPr>
        <w:t xml:space="preserve"> </w:t>
      </w:r>
      <w:r>
        <w:rPr>
          <w:rFonts w:ascii="Times New Roman"/>
          <w:spacing w:val="93"/>
          <w:position w:val="2"/>
          <w:sz w:val="20"/>
        </w:rPr>
        <w:drawing>
          <wp:inline distT="0" distB="0" distL="0" distR="0">
            <wp:extent cx="709422" cy="1317498"/>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709422" cy="1317498"/>
                    </a:xfrm>
                    <a:prstGeom prst="rect">
                      <a:avLst/>
                    </a:prstGeom>
                  </pic:spPr>
                </pic:pic>
              </a:graphicData>
            </a:graphic>
          </wp:inline>
        </w:drawing>
      </w:r>
      <w:r>
        <w:rPr>
          <w:rFonts w:ascii="Times New Roman"/>
          <w:spacing w:val="92"/>
          <w:position w:val="2"/>
          <w:sz w:val="20"/>
        </w:rPr>
        <w:t xml:space="preserve"> </w:t>
      </w:r>
      <w:r>
        <w:rPr>
          <w:rFonts w:ascii="Times New Roman"/>
          <w:spacing w:val="92"/>
          <w:sz w:val="20"/>
        </w:rPr>
        <w:drawing>
          <wp:inline distT="0" distB="0" distL="0" distR="0">
            <wp:extent cx="823436" cy="1368171"/>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823436" cy="1368171"/>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3"/>
        </w:rPr>
      </w:pPr>
    </w:p>
    <w:p>
      <w:pPr>
        <w:pStyle w:val="Title"/>
      </w:pPr>
      <w:r>
        <w:t>天津港孚石油机械制造有限公司</w:t>
      </w:r>
    </w:p>
    <w:p>
      <w:pPr>
        <w:spacing w:after="0"/>
        <w:sectPr>
          <w:type w:val="continuous"/>
          <w:pgSz w:w="17860" w:h="25260"/>
          <w:pgMar w:top="2420" w:right="1480" w:bottom="280" w:left="1560" w:header="708" w:footer="708"/>
          <w:cols w:space="708"/>
        </w:sectPr>
      </w:pPr>
    </w:p>
    <w:p>
      <w:pPr>
        <w:pStyle w:val="Heading1"/>
        <w:tabs>
          <w:tab w:val="left" w:pos="1493"/>
        </w:tabs>
        <w:spacing w:before="25"/>
        <w:ind w:left="816"/>
        <w:jc w:val="center"/>
        <w:rPr>
          <w:rFonts w:ascii="华文宋体" w:eastAsia="华文宋体" w:hint="eastAsia"/>
        </w:rPr>
      </w:pPr>
      <w:r>
        <w:rPr>
          <w:rFonts w:ascii="华文宋体" w:eastAsia="华文宋体" w:hint="eastAsia"/>
        </w:rPr>
        <w:t>前</w:t>
        <w:tab/>
        <w:t>言</w:t>
      </w:r>
    </w:p>
    <w:p>
      <w:pPr>
        <w:pStyle w:val="BodyText"/>
        <w:spacing w:before="360" w:line="381" w:lineRule="auto"/>
        <w:ind w:left="1144" w:right="1073" w:firstLine="719"/>
        <w:rPr>
          <w:rFonts w:ascii="华文宋体" w:eastAsia="华文宋体" w:hint="eastAsia"/>
        </w:rPr>
      </w:pPr>
      <w:r>
        <w:rPr>
          <w:rFonts w:ascii="华文宋体" w:eastAsia="华文宋体" w:hint="eastAsia"/>
        </w:rPr>
        <w:t>天津</w:t>
      </w:r>
      <w:r>
        <w:rPr>
          <w:rFonts w:ascii="华文宋体" w:eastAsia="华文宋体" w:hint="eastAsia"/>
          <w:b/>
        </w:rPr>
        <w:t>（</w:t>
      </w:r>
      <w:r>
        <w:rPr>
          <w:rFonts w:ascii="华文宋体" w:eastAsia="华文宋体" w:hint="eastAsia"/>
        </w:rPr>
        <w:t>山东）港孚石油机械制造有限公司成立于 1998 年，是专门制造空心抽油杆、实心抽油杆、空心杆电加热装置、空心杆掺稀装置、石油专用电缆、中</w:t>
      </w:r>
    </w:p>
    <w:p>
      <w:pPr>
        <w:pStyle w:val="BodyText"/>
        <w:spacing w:line="381" w:lineRule="auto"/>
        <w:ind w:left="1144" w:right="1073"/>
        <w:rPr>
          <w:rFonts w:ascii="华文宋体" w:eastAsia="华文宋体" w:hint="eastAsia"/>
        </w:rPr>
      </w:pPr>
      <w:r>
        <w:rPr>
          <w:rFonts w:ascii="华文宋体" w:eastAsia="华文宋体" w:hint="eastAsia"/>
        </w:rPr>
        <w:t>（变）频柜、驱动螺杆泵专用抽油杆、螺杆泵配套装置、抽油泵、钻采配件为一体专业企业。</w:t>
      </w:r>
    </w:p>
    <w:p>
      <w:pPr>
        <w:pStyle w:val="BodyText"/>
        <w:spacing w:line="381" w:lineRule="auto"/>
        <w:ind w:left="1144" w:right="1216" w:firstLine="1439"/>
        <w:jc w:val="both"/>
        <w:rPr>
          <w:rFonts w:ascii="华文宋体" w:eastAsia="华文宋体" w:hint="eastAsia"/>
        </w:rPr>
      </w:pPr>
      <w:r>
        <w:rPr>
          <w:rFonts w:ascii="华文宋体" w:eastAsia="华文宋体" w:hint="eastAsia"/>
        </w:rPr>
        <w:t>2000 年 8 月份公司取得生产许可证证书，同年通过了 ISO9001：2000 质量体系认证。2002 年加入中国石化一级入网，2008 加入中国石油一级入网， 公司现已有三套生产线，年生产能力可达 120 万米。公司拥有总资产 4100 多万</w:t>
      </w:r>
    </w:p>
    <w:p>
      <w:pPr>
        <w:pStyle w:val="BodyText"/>
        <w:spacing w:line="381" w:lineRule="auto"/>
        <w:ind w:left="1144" w:right="1223"/>
        <w:jc w:val="both"/>
        <w:rPr>
          <w:rFonts w:ascii="华文宋体" w:eastAsia="华文宋体" w:hint="eastAsia"/>
        </w:rPr>
      </w:pPr>
      <w:r>
        <w:rPr>
          <w:rFonts w:ascii="华文宋体" w:eastAsia="华文宋体" w:hint="eastAsia"/>
        </w:rPr>
        <w:t>元，拥有主要生产设备 39 台，有摩擦焊、热处置装置、探伤、中频、校直、拉伸、普通车床、数控车床、钻床、铣床及检测先进设备等。</w:t>
      </w:r>
    </w:p>
    <w:p>
      <w:pPr>
        <w:pStyle w:val="BodyText"/>
        <w:spacing w:line="381" w:lineRule="auto"/>
        <w:ind w:left="1144" w:right="1222" w:firstLine="1439"/>
        <w:jc w:val="both"/>
        <w:rPr>
          <w:rFonts w:ascii="华文宋体" w:eastAsia="华文宋体" w:hint="eastAsia"/>
        </w:rPr>
      </w:pPr>
      <w:r>
        <w:rPr>
          <w:rFonts w:ascii="华文宋体" w:eastAsia="华文宋体" w:hint="eastAsia"/>
          <w:spacing w:val="-9"/>
        </w:rPr>
        <w:t>我公司产品通过各大油田连年利用证明：增效、节能效果显著。通过不</w:t>
      </w:r>
      <w:r>
        <w:rPr>
          <w:rFonts w:ascii="华文宋体" w:eastAsia="华文宋体" w:hint="eastAsia"/>
          <w:spacing w:val="-10"/>
        </w:rPr>
        <w:t>断深切展油田技术服务，使我公司产品领域不断扩大，实用性能不断提高，靠得</w:t>
      </w:r>
      <w:r>
        <w:rPr>
          <w:rFonts w:ascii="华文宋体" w:eastAsia="华文宋体" w:hint="eastAsia"/>
          <w:spacing w:val="-9"/>
        </w:rPr>
        <w:t>住的产品质量和良好的信用和服务，使公司的产品销售业绩连年爬升，畅销全国</w:t>
      </w:r>
      <w:r>
        <w:rPr>
          <w:rFonts w:ascii="华文宋体" w:eastAsia="华文宋体" w:hint="eastAsia"/>
        </w:rPr>
        <w:t>各大油田，并出口哈萨克斯坦、土库曼斯坦、阿塞拜疆等国家和地域。</w:t>
      </w:r>
    </w:p>
    <w:p>
      <w:pPr>
        <w:pStyle w:val="BodyText"/>
        <w:spacing w:line="381" w:lineRule="auto"/>
        <w:ind w:left="1144" w:right="1224" w:firstLine="719"/>
        <w:jc w:val="both"/>
        <w:rPr>
          <w:rFonts w:ascii="华文宋体" w:eastAsia="华文宋体" w:hint="eastAsia"/>
        </w:rPr>
      </w:pPr>
      <w:r>
        <w:rPr>
          <w:rFonts w:ascii="华文宋体" w:eastAsia="华文宋体" w:hint="eastAsia"/>
          <w:spacing w:val="-12"/>
        </w:rPr>
        <w:t>以质量保信用夺市场、以质量保生存球进展、以质量知足顾客的需要、以质</w:t>
      </w:r>
      <w:r>
        <w:rPr>
          <w:rFonts w:ascii="华文宋体" w:eastAsia="华文宋体" w:hint="eastAsia"/>
          <w:spacing w:val="-10"/>
        </w:rPr>
        <w:t>量为核心不断改良不断提高，创出同行中质量第一的品牌。港孚公司将以全新的</w:t>
      </w:r>
      <w:r>
        <w:rPr>
          <w:rFonts w:ascii="华文宋体" w:eastAsia="华文宋体" w:hint="eastAsia"/>
        </w:rPr>
        <w:t>服务理念，为各油田服务。</w:t>
      </w:r>
    </w:p>
    <w:p>
      <w:pPr>
        <w:pStyle w:val="BodyText"/>
        <w:rPr>
          <w:rFonts w:ascii="华文宋体"/>
          <w:sz w:val="46"/>
        </w:rPr>
      </w:pPr>
    </w:p>
    <w:p>
      <w:pPr>
        <w:pStyle w:val="BodyText"/>
        <w:rPr>
          <w:rFonts w:ascii="华文宋体"/>
          <w:sz w:val="46"/>
        </w:rPr>
      </w:pPr>
    </w:p>
    <w:p>
      <w:pPr>
        <w:pStyle w:val="BodyText"/>
        <w:rPr>
          <w:rFonts w:ascii="华文宋体"/>
          <w:sz w:val="46"/>
        </w:rPr>
      </w:pPr>
    </w:p>
    <w:p>
      <w:pPr>
        <w:pStyle w:val="BodyText"/>
        <w:rPr>
          <w:rFonts w:ascii="华文宋体"/>
          <w:sz w:val="46"/>
        </w:rPr>
      </w:pPr>
    </w:p>
    <w:p>
      <w:pPr>
        <w:pStyle w:val="BodyText"/>
        <w:spacing w:before="8"/>
        <w:rPr>
          <w:rFonts w:ascii="华文宋体"/>
          <w:sz w:val="27"/>
        </w:rPr>
      </w:pPr>
    </w:p>
    <w:p>
      <w:pPr>
        <w:pStyle w:val="BodyText"/>
        <w:spacing w:line="381" w:lineRule="auto"/>
        <w:ind w:left="1864" w:right="3116"/>
        <w:rPr>
          <w:rFonts w:ascii="华文宋体" w:eastAsia="华文宋体" w:hint="eastAsia"/>
        </w:rPr>
      </w:pPr>
      <w:r>
        <w:rPr>
          <w:rFonts w:ascii="华文宋体" w:eastAsia="华文宋体" w:hint="eastAsia"/>
        </w:rPr>
        <w:t>公司地址：天津市滨海新区大港凯旋街 929#（石化产业园区） 电话：、</w:t>
      </w:r>
    </w:p>
    <w:p>
      <w:pPr>
        <w:spacing w:after="0" w:line="381" w:lineRule="auto"/>
        <w:rPr>
          <w:rFonts w:ascii="华文宋体" w:eastAsia="华文宋体" w:hint="eastAsia"/>
        </w:rPr>
        <w:sectPr>
          <w:pgSz w:w="17860" w:h="25260"/>
          <w:pgMar w:top="1680" w:right="1480" w:bottom="280" w:left="1560" w:header="708" w:footer="708"/>
          <w:pgNumType w:start="2"/>
          <w:cols w:space="708"/>
        </w:sectPr>
      </w:pPr>
    </w:p>
    <w:p>
      <w:pPr>
        <w:pStyle w:val="BodyText"/>
        <w:spacing w:before="9"/>
        <w:ind w:left="1864"/>
        <w:rPr>
          <w:rFonts w:ascii="幼圆" w:eastAsia="幼圆" w:hint="eastAsia"/>
        </w:rPr>
      </w:pPr>
      <w:r>
        <w:rPr>
          <w:rFonts w:ascii="幼圆" w:eastAsia="幼圆" w:hint="eastAsia"/>
        </w:rPr>
        <w:t>传真</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2"/>
        <w:rPr>
          <w:rFonts w:ascii="幼圆"/>
          <w:sz w:val="18"/>
        </w:rPr>
      </w:pPr>
    </w:p>
    <w:p>
      <w:pPr>
        <w:spacing w:before="32"/>
        <w:ind w:left="816" w:right="901" w:firstLine="0"/>
        <w:jc w:val="center"/>
        <w:rPr>
          <w:b/>
          <w:sz w:val="48"/>
        </w:rPr>
      </w:pPr>
      <w:r>
        <w:rPr>
          <w:b/>
          <w:sz w:val="48"/>
        </w:rPr>
        <w:t>目 录</w:t>
      </w:r>
    </w:p>
    <w:p>
      <w:pPr>
        <w:spacing w:after="0"/>
        <w:jc w:val="center"/>
        <w:rPr>
          <w:sz w:val="48"/>
        </w:rPr>
        <w:sectPr>
          <w:pgSz w:w="17860" w:h="25260"/>
          <w:pgMar w:top="1900" w:right="1480" w:bottom="298" w:left="1560" w:header="708" w:footer="708"/>
          <w:pgNumType w:start="3"/>
          <w:cols w:space="708"/>
        </w:sectPr>
      </w:pPr>
    </w:p>
    <w:sdt>
      <w:sdtPr>
        <w:id w:val="852672178"/>
        <w:docPartObj>
          <w:docPartGallery w:val="Table of Contents"/>
          <w:docPartUnique/>
        </w:docPartObj>
      </w:sdtPr>
      <w:sdtContent>
        <w:p>
          <w:pPr>
            <w:pStyle w:val="TOC1"/>
            <w:tabs>
              <w:tab w:val="right" w:leader="dot" w:pos="13565"/>
            </w:tabs>
            <w:spacing w:before="267"/>
          </w:pPr>
          <w:r>
            <w:t>一、实心抽油杆系列</w:t>
            <w:tab/>
            <w:t>3</w:t>
          </w:r>
        </w:p>
        <w:p>
          <w:pPr>
            <w:pStyle w:val="TOC1"/>
            <w:tabs>
              <w:tab w:val="right" w:leader="dot" w:pos="13024"/>
            </w:tabs>
            <w:spacing w:before="6"/>
          </w:pPr>
          <w:hyperlink w:anchor="_TOC_250010" w:history="1">
            <w:r>
              <w:t>、简介</w:t>
              <w:tab/>
              <w:t>3</w:t>
            </w:r>
          </w:hyperlink>
        </w:p>
        <w:p>
          <w:pPr>
            <w:pStyle w:val="TOC1"/>
            <w:tabs>
              <w:tab w:val="right" w:leader="dot" w:pos="13024"/>
            </w:tabs>
          </w:pPr>
          <w:hyperlink w:anchor="_TOC_250009" w:history="1">
            <w:r>
              <w:t>、结构</w:t>
              <w:tab/>
              <w:t>3</w:t>
            </w:r>
          </w:hyperlink>
        </w:p>
        <w:p>
          <w:pPr>
            <w:pStyle w:val="TOC1"/>
            <w:tabs>
              <w:tab w:val="right" w:leader="dot" w:pos="13024"/>
            </w:tabs>
          </w:pPr>
          <w:r>
            <w:t>、特点</w:t>
            <w:tab/>
            <w:t>3</w:t>
          </w:r>
        </w:p>
        <w:p>
          <w:pPr>
            <w:pStyle w:val="TOC1"/>
            <w:tabs>
              <w:tab w:val="right" w:leader="dot" w:pos="13025"/>
            </w:tabs>
          </w:pPr>
          <w:hyperlink w:anchor="_TOC_250008" w:history="1">
            <w:r>
              <w:t>、规格参数及机械性能</w:t>
              <w:tab/>
              <w:t>4</w:t>
            </w:r>
          </w:hyperlink>
        </w:p>
        <w:p>
          <w:pPr>
            <w:pStyle w:val="TOC1"/>
            <w:tabs>
              <w:tab w:val="right" w:leader="dot" w:pos="13024"/>
            </w:tabs>
            <w:spacing w:before="6"/>
          </w:pPr>
          <w:r>
            <w:t>、加重杆</w:t>
            <w:tab/>
            <w:t>5</w:t>
          </w:r>
        </w:p>
        <w:p>
          <w:pPr>
            <w:pStyle w:val="TOC1"/>
            <w:tabs>
              <w:tab w:val="right" w:leader="dot" w:pos="13565"/>
            </w:tabs>
          </w:pPr>
          <w:r>
            <w:t>二、空心抽油杆系列</w:t>
            <w:tab/>
            <w:t>6</w:t>
          </w:r>
        </w:p>
        <w:p>
          <w:pPr>
            <w:pStyle w:val="TOC1"/>
            <w:tabs>
              <w:tab w:val="right" w:leader="dot" w:pos="13024"/>
            </w:tabs>
          </w:pPr>
          <w:hyperlink w:anchor="_TOC_250007" w:history="1">
            <w:r>
              <w:t>、简介</w:t>
              <w:tab/>
              <w:t>6</w:t>
            </w:r>
          </w:hyperlink>
        </w:p>
        <w:p>
          <w:pPr>
            <w:pStyle w:val="TOC1"/>
            <w:tabs>
              <w:tab w:val="right" w:leader="dot" w:pos="13024"/>
            </w:tabs>
          </w:pPr>
          <w:r>
            <w:t>、结构</w:t>
            <w:tab/>
            <w:t>6</w:t>
          </w:r>
        </w:p>
        <w:p>
          <w:pPr>
            <w:pStyle w:val="TOC1"/>
            <w:tabs>
              <w:tab w:val="right" w:leader="dot" w:pos="13025"/>
            </w:tabs>
            <w:spacing w:before="6"/>
          </w:pPr>
          <w:r>
            <w:t>、规格参数及机械性能</w:t>
            <w:tab/>
            <w:t>6</w:t>
          </w:r>
        </w:p>
        <w:p>
          <w:pPr>
            <w:pStyle w:val="TOC1"/>
            <w:tabs>
              <w:tab w:val="right" w:leader="dot" w:pos="13024"/>
            </w:tabs>
          </w:pPr>
          <w:r>
            <w:t>、空心抽油杆光杆</w:t>
            <w:tab/>
            <w:t>7</w:t>
          </w:r>
        </w:p>
        <w:p>
          <w:pPr>
            <w:pStyle w:val="TOC1"/>
            <w:tabs>
              <w:tab w:val="right" w:leader="dot" w:pos="13025"/>
            </w:tabs>
          </w:pPr>
          <w:r>
            <w:t>、空心抽油杆配套用途</w:t>
            <w:tab/>
            <w:t>8</w:t>
          </w:r>
        </w:p>
        <w:p>
          <w:pPr>
            <w:pStyle w:val="TOC1"/>
            <w:tabs>
              <w:tab w:val="right" w:leader="dot" w:pos="12665"/>
            </w:tabs>
          </w:pPr>
          <w:r>
            <w:t>、空心抽油杆注入热载体采油装置</w:t>
            <w:tab/>
            <w:t>8</w:t>
          </w:r>
        </w:p>
        <w:p>
          <w:pPr>
            <w:pStyle w:val="TOC1"/>
            <w:tabs>
              <w:tab w:val="right" w:leader="dot" w:pos="12665"/>
            </w:tabs>
          </w:pPr>
          <w:r>
            <w:t>、空心抽油杆电加热装置</w:t>
            <w:tab/>
            <w:t>15</w:t>
          </w:r>
        </w:p>
        <w:p>
          <w:pPr>
            <w:pStyle w:val="TOC1"/>
            <w:tabs>
              <w:tab w:val="right" w:leader="dot" w:pos="12665"/>
            </w:tabs>
          </w:pPr>
          <w:r>
            <w:t>、空心抽油杆过泵加热装置</w:t>
            <w:tab/>
            <w:t>24</w:t>
          </w:r>
        </w:p>
        <w:p>
          <w:pPr>
            <w:pStyle w:val="TOC1"/>
            <w:tabs>
              <w:tab w:val="right" w:leader="dot" w:pos="12665"/>
            </w:tabs>
          </w:pPr>
          <w:r>
            <w:t>、二级三段分层注水装置</w:t>
            <w:tab/>
            <w:t>28</w:t>
          </w:r>
        </w:p>
        <w:p>
          <w:pPr>
            <w:pStyle w:val="TOC1"/>
            <w:tabs>
              <w:tab w:val="right" w:leader="dot" w:pos="13565"/>
            </w:tabs>
            <w:spacing w:before="6"/>
          </w:pPr>
          <w:r>
            <w:t>三、螺杆泵专用驱动杆系列</w:t>
            <w:tab/>
            <w:t>32</w:t>
          </w:r>
        </w:p>
        <w:p>
          <w:pPr>
            <w:pStyle w:val="TOC1"/>
            <w:tabs>
              <w:tab w:val="right" w:leader="dot" w:pos="13024"/>
            </w:tabs>
          </w:pPr>
          <w:r>
            <w:t>、简介</w:t>
            <w:tab/>
            <w:t>32</w:t>
          </w:r>
        </w:p>
        <w:p>
          <w:pPr>
            <w:pStyle w:val="TOC1"/>
            <w:tabs>
              <w:tab w:val="right" w:leader="dot" w:pos="13024"/>
            </w:tabs>
          </w:pPr>
          <w:r>
            <w:t>、结构</w:t>
            <w:tab/>
            <w:t>32</w:t>
          </w:r>
        </w:p>
        <w:p>
          <w:pPr>
            <w:pStyle w:val="TOC1"/>
            <w:tabs>
              <w:tab w:val="right" w:leader="dot" w:pos="13024"/>
            </w:tabs>
          </w:pPr>
          <w:r>
            <w:t>、特点</w:t>
            <w:tab/>
            <w:t>32</w:t>
          </w:r>
        </w:p>
        <w:p>
          <w:pPr>
            <w:pStyle w:val="TOC1"/>
            <w:tabs>
              <w:tab w:val="right" w:leader="dot" w:pos="13024"/>
            </w:tabs>
            <w:spacing w:before="6"/>
          </w:pPr>
          <w:r>
            <w:t>、规格与参数</w:t>
            <w:tab/>
            <w:t>34</w:t>
          </w:r>
        </w:p>
        <w:p>
          <w:pPr>
            <w:pStyle w:val="TOC1"/>
            <w:tabs>
              <w:tab w:val="right" w:leader="dot" w:pos="13025"/>
            </w:tabs>
          </w:pPr>
          <w:r>
            <w:t>、螺杆泵专用驱动抽油杆型号表示方式</w:t>
            <w:tab/>
            <w:t>36</w:t>
          </w:r>
        </w:p>
        <w:p>
          <w:pPr>
            <w:pStyle w:val="TOC1"/>
            <w:tabs>
              <w:tab w:val="right" w:leader="dot" w:pos="13024"/>
            </w:tabs>
          </w:pPr>
          <w:r>
            <w:t>、技术要求</w:t>
            <w:tab/>
            <w:t>37</w:t>
          </w:r>
        </w:p>
        <w:p>
          <w:pPr>
            <w:pStyle w:val="TOC1"/>
            <w:tabs>
              <w:tab w:val="right" w:leader="dot" w:pos="13025"/>
            </w:tabs>
            <w:spacing w:before="8"/>
          </w:pPr>
          <w:r>
            <w:t>、螺杆泵采油工艺中应注意的事项</w:t>
            <w:tab/>
            <w:t>38</w:t>
          </w:r>
        </w:p>
        <w:p>
          <w:pPr>
            <w:pStyle w:val="TOC1"/>
            <w:tabs>
              <w:tab w:val="right" w:leader="dot" w:pos="13025"/>
            </w:tabs>
            <w:spacing w:before="6"/>
          </w:pPr>
          <w:r>
            <w:t>、螺杆泵专用驱动光杆</w:t>
            <w:tab/>
            <w:t>39</w:t>
          </w:r>
        </w:p>
        <w:p>
          <w:pPr>
            <w:pStyle w:val="TOC1"/>
            <w:tabs>
              <w:tab w:val="right" w:leader="dot" w:pos="13025"/>
            </w:tabs>
          </w:pPr>
          <w:r>
            <w:t>、螺杆泵专用驱动杆配套用途</w:t>
            <w:tab/>
            <w:t>39</w:t>
          </w:r>
        </w:p>
        <w:p>
          <w:pPr>
            <w:pStyle w:val="TOC1"/>
            <w:tabs>
              <w:tab w:val="right" w:leader="dot" w:pos="12665"/>
            </w:tabs>
          </w:pPr>
          <w:r>
            <w:t>、驱动螺杆泵电加热装置</w:t>
            <w:tab/>
            <w:t>39</w:t>
          </w:r>
        </w:p>
        <w:p>
          <w:pPr>
            <w:pStyle w:val="TOC1"/>
            <w:tabs>
              <w:tab w:val="right" w:leader="dot" w:pos="12665"/>
            </w:tabs>
          </w:pPr>
          <w:r>
            <w:t>、驱动螺杆泵注入热载体井口旋转密封装置</w:t>
            <w:tab/>
            <w:t>45</w:t>
          </w:r>
        </w:p>
        <w:p>
          <w:pPr>
            <w:pStyle w:val="TOC1"/>
            <w:tabs>
              <w:tab w:val="right" w:leader="dot" w:pos="13565"/>
            </w:tabs>
            <w:spacing w:before="6"/>
          </w:pPr>
          <w:r>
            <w:t>四、杆柱防偏磨配套产品</w:t>
            <w:tab/>
            <w:t>52</w:t>
          </w:r>
        </w:p>
        <w:p>
          <w:pPr>
            <w:pStyle w:val="TOC1"/>
            <w:tabs>
              <w:tab w:val="right" w:leader="dot" w:pos="13024"/>
            </w:tabs>
          </w:pPr>
          <w:r>
            <w:t>、简介</w:t>
            <w:tab/>
            <w:t>52</w:t>
          </w:r>
        </w:p>
        <w:p>
          <w:pPr>
            <w:pStyle w:val="TOC1"/>
            <w:tabs>
              <w:tab w:val="right" w:leader="dot" w:pos="13024"/>
            </w:tabs>
          </w:pPr>
          <w:hyperlink w:anchor="_TOC_250006" w:history="1">
            <w:r>
              <w:t>、产品种类</w:t>
              <w:tab/>
              <w:t>52</w:t>
            </w:r>
          </w:hyperlink>
        </w:p>
        <w:p>
          <w:pPr>
            <w:pStyle w:val="TOC1"/>
            <w:tabs>
              <w:tab w:val="right" w:leader="dot" w:pos="12665"/>
            </w:tabs>
            <w:spacing w:before="6"/>
          </w:pPr>
          <w:hyperlink w:anchor="_TOC_250005" w:history="1">
            <w:r>
              <w:t>、防偏磨抽油杆短节</w:t>
              <w:tab/>
              <w:t>52</w:t>
            </w:r>
          </w:hyperlink>
        </w:p>
        <w:p>
          <w:pPr>
            <w:pStyle w:val="TOC1"/>
            <w:tabs>
              <w:tab w:val="right" w:leader="dot" w:pos="12665"/>
            </w:tabs>
            <w:spacing w:after="240"/>
          </w:pPr>
          <w:hyperlink w:anchor="_TOC_250004" w:history="1">
            <w:r>
              <w:t>、防偏磨抽油杆接箍</w:t>
              <w:tab/>
              <w:t>52</w:t>
            </w:r>
          </w:hyperlink>
        </w:p>
        <w:p>
          <w:pPr>
            <w:pStyle w:val="TOC1"/>
            <w:tabs>
              <w:tab w:val="right" w:leader="dot" w:pos="12664"/>
            </w:tabs>
            <w:spacing w:before="23"/>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1340845" cy="15849219"/>
                        </a:xfrm>
                        <a:prstGeom prst="rect">
                          <a:avLst/>
                        </a:prstGeom>
                      </pic:spPr>
                    </pic:pic>
                  </a:graphicData>
                </a:graphic>
              </wp:anchor>
            </w:drawing>
          </w:r>
          <w:hyperlink w:anchor="_TOC_250003" w:history="1">
            <w:r>
              <w:t>、抽油杆扶正器</w:t>
              <w:tab/>
              <w:t>52</w:t>
            </w:r>
          </w:hyperlink>
        </w:p>
        <w:p>
          <w:pPr>
            <w:pStyle w:val="TOC1"/>
            <w:tabs>
              <w:tab w:val="right" w:leader="dot" w:pos="12664"/>
            </w:tabs>
          </w:pPr>
          <w:hyperlink w:anchor="_TOC_250002" w:history="1">
            <w:r>
              <w:t>、表面淬火抽油杆</w:t>
              <w:tab/>
              <w:t>52</w:t>
            </w:r>
          </w:hyperlink>
        </w:p>
        <w:p>
          <w:pPr>
            <w:pStyle w:val="TOC1"/>
            <w:tabs>
              <w:tab w:val="right" w:leader="dot" w:pos="13025"/>
            </w:tabs>
            <w:sectPr>
              <w:type w:val="continuous"/>
              <w:pgSz w:w="17860" w:h="25260"/>
              <w:pgMar w:top="1740" w:right="1480" w:bottom="298" w:left="1560" w:header="708" w:footer="708"/>
              <w:pgNumType w:start="4"/>
              <w:cols w:space="708"/>
            </w:sectPr>
          </w:pPr>
          <w:r>
            <w:t>、抽油杆柱防偏磨工艺的应用</w:t>
            <w:tab/>
            <w:t>53</w:t>
          </w:r>
        </w:p>
      </w:sdtContent>
    </w:sdt>
    <w:sdt>
      <w:sdtPr>
        <w:id w:val="1909879465"/>
        <w:docPartObj>
          <w:docPartGallery w:val="Table of Contents"/>
          <w:docPartUnique/>
        </w:docPartObj>
      </w:sdtPr>
      <w:sdtContent>
        <w:p>
          <w:pPr>
            <w:pStyle w:val="TOC1"/>
            <w:tabs>
              <w:tab w:val="right" w:leader="dot" w:pos="12665"/>
            </w:tabs>
          </w:pPr>
          <w:hyperlink w:anchor="_TOC_250001" w:history="1">
            <w:r>
              <w:t>、抽油杆柱偏磨油管的主要原因</w:t>
              <w:tab/>
              <w:t>53</w:t>
            </w:r>
          </w:hyperlink>
        </w:p>
        <w:p>
          <w:pPr>
            <w:pStyle w:val="TOC1"/>
            <w:tabs>
              <w:tab w:val="right" w:leader="dot" w:pos="12665"/>
            </w:tabs>
          </w:pPr>
          <w:hyperlink w:anchor="_TOC_250000" w:history="1">
            <w:r>
              <w:t>、常规作业中的几种抽油杆柱防偏磨工艺</w:t>
              <w:tab/>
              <w:t>53</w:t>
            </w:r>
          </w:hyperlink>
        </w:p>
      </w:sdtContent>
    </w:sdt>
    <w:p>
      <w:pPr>
        <w:spacing w:after="0"/>
        <w:sectPr>
          <w:type w:val="nextPage"/>
          <w:pgSz w:w="17860" w:h="25260"/>
          <w:pgMar w:top="1740" w:right="1480" w:bottom="298" w:left="1560" w:header="708" w:footer="708"/>
          <w:pgNumType w:start="5"/>
          <w:cols w:space="708"/>
          <w:titlePg w:val="0"/>
        </w:sectPr>
      </w:pPr>
    </w:p>
    <w:p>
      <w:pPr>
        <w:pStyle w:val="BodyText"/>
        <w:rPr>
          <w:sz w:val="40"/>
        </w:rPr>
      </w:pPr>
    </w:p>
    <w:p>
      <w:pPr>
        <w:pStyle w:val="BodyText"/>
        <w:spacing w:before="7"/>
        <w:rPr>
          <w:sz w:val="59"/>
        </w:rPr>
      </w:pPr>
    </w:p>
    <w:p>
      <w:pPr>
        <w:pStyle w:val="Heading1"/>
      </w:pPr>
      <w:r>
        <w:t>一、空心抽油杆</w:t>
      </w:r>
    </w:p>
    <w:p>
      <w:pPr>
        <w:pStyle w:val="BodyText"/>
        <w:spacing w:before="6"/>
        <w:rPr>
          <w:b/>
          <w:sz w:val="31"/>
        </w:rPr>
      </w:pPr>
    </w:p>
    <w:p>
      <w:pPr>
        <w:pStyle w:val="Heading2"/>
      </w:pPr>
      <w:bookmarkStart w:id="0" w:name="_TOC_250010"/>
      <w:bookmarkEnd w:id="0"/>
      <w:r>
        <w:rPr>
          <w:w w:val="95"/>
        </w:rPr>
        <w:t>、简介：</w:t>
      </w:r>
    </w:p>
    <w:p>
      <w:pPr>
        <w:pStyle w:val="BodyText"/>
        <w:spacing w:before="3"/>
        <w:rPr>
          <w:b/>
          <w:sz w:val="38"/>
        </w:rPr>
      </w:pPr>
    </w:p>
    <w:p>
      <w:pPr>
        <w:pStyle w:val="BodyText"/>
        <w:spacing w:line="487" w:lineRule="auto"/>
        <w:ind w:left="1144" w:right="1073" w:firstLine="539"/>
      </w:pPr>
      <w:r>
        <w:t>空心抽油杆是为了有效开采“高凝、高粘、高含蜡”原油而生产的特种抽油杆。除通过空心抽油杆的中心孔道向井下注入热载体（热油、热水、蒸汽</w:t>
      </w:r>
      <w:r>
        <w:rPr>
          <w:spacing w:val="-151"/>
        </w:rPr>
        <w:t>）</w:t>
      </w:r>
      <w:r>
        <w:t>、化</w:t>
      </w:r>
      <w:r>
        <w:rPr>
          <w:spacing w:val="-1"/>
        </w:rPr>
        <w:t>学药剂或下入加热电缆进行降粘融蜡，提高原油流动性；也可用于冲砂、解盐、</w:t>
      </w:r>
      <w:r>
        <w:rPr>
          <w:spacing w:val="-11"/>
        </w:rPr>
        <w:t>小井眼采油和分层采油；同时可利用它的刚度大，经受扭矩大的特点用于驱动井下螺杆泵。</w:t>
      </w:r>
    </w:p>
    <w:p>
      <w:pPr>
        <w:pStyle w:val="Heading2"/>
        <w:spacing w:line="445" w:lineRule="exact"/>
      </w:pPr>
      <w:bookmarkStart w:id="1" w:name="_TOC_250009"/>
      <w:bookmarkEnd w:id="1"/>
      <w:r>
        <w:t>、结构：</w:t>
      </w:r>
    </w:p>
    <w:p>
      <w:pPr>
        <w:pStyle w:val="BodyText"/>
        <w:spacing w:before="2"/>
        <w:rPr>
          <w:b/>
          <w:sz w:val="38"/>
        </w:rPr>
      </w:pPr>
    </w:p>
    <w:p>
      <w:pPr>
        <w:pStyle w:val="BodyText"/>
        <w:ind w:left="1504"/>
      </w:pPr>
      <w:r>
        <w:t>空心抽油杆采用直接连接型式，结构见下图：</w:t>
      </w:r>
    </w:p>
    <w:p>
      <w:pPr>
        <w:spacing w:after="0"/>
        <w:sectPr>
          <w:type w:val="continuous"/>
          <w:pgSz w:w="17860" w:h="25260"/>
          <w:pgMar w:top="1720" w:right="1480" w:bottom="280" w:left="1560" w:header="708" w:footer="708"/>
          <w:pgNumType w:start="6"/>
          <w:cols w:space="708"/>
        </w:sectPr>
      </w:pPr>
    </w:p>
    <w:p>
      <w:pPr>
        <w:pStyle w:val="BodyText"/>
        <w:spacing w:before="37"/>
        <w:ind w:left="430"/>
        <w:jc w:val="center"/>
      </w:pPr>
      <w:r>
        <w:t>空心抽油杆连接结构图</w:t>
      </w:r>
    </w:p>
    <w:p>
      <w:pPr>
        <w:pStyle w:val="BodyText"/>
        <w:spacing w:before="9"/>
        <w:rPr>
          <w:sz w:val="26"/>
        </w:rPr>
      </w:pPr>
    </w:p>
    <w:p>
      <w:pPr>
        <w:pStyle w:val="Heading2"/>
        <w:spacing w:before="42"/>
      </w:pPr>
      <w:bookmarkStart w:id="2" w:name="_TOC_250008"/>
      <w:bookmarkEnd w:id="2"/>
      <w:r>
        <w:t>、规格参数及机械性能：</w:t>
      </w:r>
    </w:p>
    <w:p>
      <w:pPr>
        <w:pStyle w:val="BodyText"/>
        <w:spacing w:before="2"/>
        <w:rPr>
          <w:b/>
          <w:sz w:val="38"/>
        </w:rPr>
      </w:pPr>
    </w:p>
    <w:p>
      <w:pPr>
        <w:pStyle w:val="BodyText"/>
        <w:ind w:left="1568"/>
      </w:pPr>
      <w:r>
        <w:t>空心抽油杆规格参数见表一、机械性能见表二</w:t>
      </w:r>
    </w:p>
    <w:p>
      <w:pPr>
        <w:pStyle w:val="BodyText"/>
      </w:pPr>
    </w:p>
    <w:p>
      <w:pPr>
        <w:pStyle w:val="BodyText"/>
      </w:pPr>
    </w:p>
    <w:p>
      <w:pPr>
        <w:pStyle w:val="BodyText"/>
        <w:spacing w:before="1"/>
        <w:rPr>
          <w:sz w:val="38"/>
        </w:rPr>
      </w:pPr>
    </w:p>
    <w:p>
      <w:pPr>
        <w:pStyle w:val="BodyText"/>
        <w:spacing w:before="1"/>
        <w:ind w:left="816" w:right="894"/>
        <w:jc w:val="center"/>
      </w:pPr>
      <w:r>
        <w:pict>
          <v:group id="_x0000_s1025" style="width:642.75pt;height:619.8pt;margin-top:35.08pt;margin-left:126pt;mso-position-horizontal-relative:page;position:absolute;z-index:-251657216" coordorigin="2520,702" coordsize="12855,123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55;height:12396;left:2520;position:absolute;top:701" stroked="f">
              <v:imagedata r:id="rId12" o:title=""/>
            </v:shape>
            <v:shapetype id="_x0000_t202" coordsize="21600,21600" o:spt="202" path="m,l,21600r21600,l21600,xe">
              <v:stroke joinstyle="miter"/>
              <v:path gradientshapeok="t" o:connecttype="rect"/>
            </v:shapetype>
            <v:shape id="_x0000_s1027" type="#_x0000_t202" style="width:1821;height:360;left:4479;position:absolute;top:1002" filled="f" stroked="f">
              <v:textbox inset="0,0,0,0">
                <w:txbxContent>
                  <w:p>
                    <w:pPr>
                      <w:spacing w:before="0" w:line="360" w:lineRule="exact"/>
                      <w:ind w:left="0" w:right="0" w:firstLine="0"/>
                      <w:jc w:val="left"/>
                      <w:rPr>
                        <w:sz w:val="36"/>
                      </w:rPr>
                    </w:pPr>
                    <w:r>
                      <w:rPr>
                        <w:sz w:val="36"/>
                      </w:rPr>
                      <w:t>杆体（mm）</w:t>
                    </w:r>
                  </w:p>
                </w:txbxContent>
              </v:textbox>
            </v:shape>
            <v:shape id="_x0000_s1028" type="#_x0000_t202" style="width:1100;height:360;left:6974;position:absolute;top:1009" filled="f" stroked="f">
              <v:textbox inset="0,0,0,0">
                <w:txbxContent>
                  <w:p>
                    <w:pPr>
                      <w:spacing w:before="0" w:line="360" w:lineRule="exact"/>
                      <w:ind w:left="0" w:right="0" w:firstLine="0"/>
                      <w:jc w:val="left"/>
                      <w:rPr>
                        <w:sz w:val="36"/>
                      </w:rPr>
                    </w:pPr>
                    <w:r>
                      <w:rPr>
                        <w:sz w:val="36"/>
                      </w:rPr>
                      <w:t>螺纹公</w:t>
                    </w:r>
                  </w:p>
                </w:txbxContent>
              </v:textbox>
            </v:shape>
            <v:shape id="_x0000_s1029" type="#_x0000_t202" style="width:2540;height:360;left:9808;position:absolute;top:1002" filled="f" stroked="f">
              <v:textbox inset="0,0,0,0">
                <w:txbxContent>
                  <w:p>
                    <w:pPr>
                      <w:spacing w:before="0" w:line="360" w:lineRule="exact"/>
                      <w:ind w:left="0" w:right="0" w:firstLine="0"/>
                      <w:jc w:val="left"/>
                      <w:rPr>
                        <w:sz w:val="36"/>
                      </w:rPr>
                    </w:pPr>
                    <w:r>
                      <w:rPr>
                        <w:sz w:val="36"/>
                      </w:rPr>
                      <w:t>扳手方径（mm）</w:t>
                    </w:r>
                  </w:p>
                </w:txbxContent>
              </v:textbox>
            </v:shape>
            <v:shape id="_x0000_s1030" type="#_x0000_t202" style="width:2091;height:360;left:12872;position:absolute;top:1002" filled="f" stroked="f">
              <v:textbox inset="0,0,0,0">
                <w:txbxContent>
                  <w:p>
                    <w:pPr>
                      <w:spacing w:before="0" w:line="360" w:lineRule="exact"/>
                      <w:ind w:left="0" w:right="0" w:firstLine="0"/>
                      <w:jc w:val="left"/>
                      <w:rPr>
                        <w:sz w:val="36"/>
                      </w:rPr>
                    </w:pPr>
                    <w:r>
                      <w:rPr>
                        <w:spacing w:val="-30"/>
                        <w:sz w:val="36"/>
                      </w:rPr>
                      <w:t xml:space="preserve">长度 </w:t>
                    </w:r>
                    <w:r>
                      <w:rPr>
                        <w:sz w:val="36"/>
                      </w:rPr>
                      <w:t>L（mm）</w:t>
                    </w:r>
                  </w:p>
                </w:txbxContent>
              </v:textbox>
            </v:shape>
            <v:shape id="_x0000_s1031" type="#_x0000_t202" style="width:1100;height:360;left:8393;position:absolute;top:1477" filled="f" stroked="f">
              <v:textbox inset="0,0,0,0">
                <w:txbxContent>
                  <w:p>
                    <w:pPr>
                      <w:spacing w:before="0" w:line="360" w:lineRule="exact"/>
                      <w:ind w:left="0" w:right="0" w:firstLine="0"/>
                      <w:jc w:val="left"/>
                      <w:rPr>
                        <w:sz w:val="36"/>
                      </w:rPr>
                    </w:pPr>
                    <w:r>
                      <w:rPr>
                        <w:sz w:val="36"/>
                      </w:rPr>
                      <w:t>接头外</w:t>
                    </w:r>
                  </w:p>
                </w:txbxContent>
              </v:textbox>
            </v:shape>
          </v:group>
        </w:pict>
      </w:r>
      <w:r>
        <w:t>表一空心抽油杆规格参数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5"/>
        </w:rPr>
      </w:pPr>
    </w:p>
    <w:tbl>
      <w:tblPr>
        <w:tblStyle w:val="TableNormal0"/>
        <w:tblW w:w="0" w:type="auto"/>
        <w:jc w:val="left"/>
        <w:tblInd w:w="1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9"/>
        <w:gridCol w:w="1420"/>
        <w:gridCol w:w="1332"/>
        <w:gridCol w:w="1506"/>
        <w:gridCol w:w="1609"/>
        <w:gridCol w:w="1234"/>
        <w:gridCol w:w="1419"/>
        <w:gridCol w:w="1419"/>
        <w:gridCol w:w="1118"/>
      </w:tblGrid>
      <w:tr>
        <w:tblPrEx>
          <w:tblW w:w="0" w:type="auto"/>
          <w:jc w:val="left"/>
          <w:tblInd w:w="1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5"/>
          <w:jc w:val="left"/>
        </w:trPr>
        <w:tc>
          <w:tcPr>
            <w:tcW w:w="1119" w:type="dxa"/>
          </w:tcPr>
          <w:p>
            <w:pPr>
              <w:pStyle w:val="TableParagraph"/>
              <w:spacing w:line="411" w:lineRule="exact"/>
              <w:ind w:left="50"/>
              <w:rPr>
                <w:sz w:val="36"/>
              </w:rPr>
            </w:pPr>
            <w:r>
              <w:rPr>
                <w:sz w:val="36"/>
              </w:rPr>
              <w:t>规格</w:t>
            </w:r>
          </w:p>
        </w:tc>
        <w:tc>
          <w:tcPr>
            <w:tcW w:w="1420" w:type="dxa"/>
          </w:tcPr>
          <w:p>
            <w:pPr>
              <w:pStyle w:val="TableParagraph"/>
              <w:spacing w:before="1"/>
              <w:rPr>
                <w:sz w:val="33"/>
              </w:rPr>
            </w:pPr>
          </w:p>
          <w:p>
            <w:pPr>
              <w:pStyle w:val="TableParagraph"/>
              <w:spacing w:line="441" w:lineRule="exact"/>
              <w:ind w:left="329" w:right="330"/>
              <w:jc w:val="center"/>
              <w:rPr>
                <w:sz w:val="36"/>
              </w:rPr>
            </w:pPr>
            <w:r>
              <w:rPr>
                <w:sz w:val="36"/>
              </w:rPr>
              <w:t>直径</w:t>
            </w:r>
          </w:p>
        </w:tc>
        <w:tc>
          <w:tcPr>
            <w:tcW w:w="1332" w:type="dxa"/>
          </w:tcPr>
          <w:p>
            <w:pPr>
              <w:pStyle w:val="TableParagraph"/>
              <w:spacing w:before="1"/>
              <w:rPr>
                <w:sz w:val="33"/>
              </w:rPr>
            </w:pPr>
          </w:p>
          <w:p>
            <w:pPr>
              <w:pStyle w:val="TableParagraph"/>
              <w:spacing w:line="441" w:lineRule="exact"/>
              <w:ind w:left="352"/>
              <w:rPr>
                <w:sz w:val="36"/>
              </w:rPr>
            </w:pPr>
            <w:r>
              <w:rPr>
                <w:sz w:val="36"/>
              </w:rPr>
              <w:t>壁厚</w:t>
            </w:r>
          </w:p>
        </w:tc>
        <w:tc>
          <w:tcPr>
            <w:tcW w:w="1506" w:type="dxa"/>
          </w:tcPr>
          <w:p>
            <w:pPr>
              <w:pStyle w:val="TableParagraph"/>
              <w:spacing w:line="411" w:lineRule="exact"/>
              <w:ind w:left="242" w:right="144"/>
              <w:jc w:val="center"/>
              <w:rPr>
                <w:sz w:val="36"/>
              </w:rPr>
            </w:pPr>
            <w:r>
              <w:rPr>
                <w:sz w:val="36"/>
              </w:rPr>
              <w:t>称直径</w:t>
            </w:r>
          </w:p>
        </w:tc>
        <w:tc>
          <w:tcPr>
            <w:tcW w:w="1609" w:type="dxa"/>
          </w:tcPr>
          <w:p>
            <w:pPr>
              <w:pStyle w:val="TableParagraph"/>
              <w:spacing w:before="7"/>
              <w:rPr>
                <w:sz w:val="32"/>
              </w:rPr>
            </w:pPr>
          </w:p>
          <w:p>
            <w:pPr>
              <w:pStyle w:val="TableParagraph"/>
              <w:spacing w:line="448" w:lineRule="exact"/>
              <w:ind w:left="167"/>
              <w:rPr>
                <w:sz w:val="36"/>
              </w:rPr>
            </w:pPr>
            <w:r>
              <w:rPr>
                <w:spacing w:val="-162"/>
                <w:sz w:val="36"/>
              </w:rPr>
              <w:t>径</w:t>
            </w:r>
            <w:r>
              <w:rPr>
                <w:sz w:val="36"/>
              </w:rPr>
              <w:t>（mm）</w:t>
            </w:r>
          </w:p>
        </w:tc>
        <w:tc>
          <w:tcPr>
            <w:tcW w:w="1234" w:type="dxa"/>
          </w:tcPr>
          <w:p>
            <w:pPr>
              <w:pStyle w:val="TableParagraph"/>
              <w:spacing w:line="418" w:lineRule="exact"/>
              <w:ind w:left="148" w:right="325"/>
              <w:jc w:val="center"/>
              <w:rPr>
                <w:sz w:val="36"/>
              </w:rPr>
            </w:pPr>
            <w:r>
              <w:rPr>
                <w:sz w:val="36"/>
              </w:rPr>
              <w:t>长度</w:t>
            </w:r>
          </w:p>
        </w:tc>
        <w:tc>
          <w:tcPr>
            <w:tcW w:w="1419" w:type="dxa"/>
          </w:tcPr>
          <w:p>
            <w:pPr>
              <w:pStyle w:val="TableParagraph"/>
              <w:spacing w:line="418" w:lineRule="exact"/>
              <w:ind w:left="329" w:right="324"/>
              <w:jc w:val="center"/>
              <w:rPr>
                <w:sz w:val="36"/>
              </w:rPr>
            </w:pPr>
            <w:r>
              <w:rPr>
                <w:sz w:val="36"/>
              </w:rPr>
              <w:t>厚度</w:t>
            </w:r>
          </w:p>
        </w:tc>
        <w:tc>
          <w:tcPr>
            <w:tcW w:w="1419" w:type="dxa"/>
          </w:tcPr>
          <w:p>
            <w:pPr>
              <w:pStyle w:val="TableParagraph"/>
              <w:spacing w:before="1"/>
              <w:rPr>
                <w:sz w:val="33"/>
              </w:rPr>
            </w:pPr>
          </w:p>
          <w:p>
            <w:pPr>
              <w:pStyle w:val="TableParagraph"/>
              <w:spacing w:line="441" w:lineRule="exact"/>
              <w:ind w:left="332" w:right="321"/>
              <w:jc w:val="center"/>
              <w:rPr>
                <w:sz w:val="36"/>
              </w:rPr>
            </w:pPr>
            <w:r>
              <w:rPr>
                <w:sz w:val="36"/>
              </w:rPr>
              <w:t>长杆</w:t>
            </w:r>
          </w:p>
        </w:tc>
        <w:tc>
          <w:tcPr>
            <w:tcW w:w="1118" w:type="dxa"/>
          </w:tcPr>
          <w:p>
            <w:pPr>
              <w:pStyle w:val="TableParagraph"/>
              <w:spacing w:before="1"/>
              <w:rPr>
                <w:sz w:val="33"/>
              </w:rPr>
            </w:pPr>
          </w:p>
          <w:p>
            <w:pPr>
              <w:pStyle w:val="TableParagraph"/>
              <w:spacing w:line="441" w:lineRule="exact"/>
              <w:ind w:left="335" w:right="22"/>
              <w:jc w:val="center"/>
              <w:rPr>
                <w:sz w:val="36"/>
              </w:rPr>
            </w:pPr>
            <w:r>
              <w:rPr>
                <w:sz w:val="36"/>
              </w:rPr>
              <w:t>短节</w:t>
            </w:r>
          </w:p>
        </w:tc>
      </w:tr>
      <w:tr>
        <w:tblPrEx>
          <w:tblW w:w="0" w:type="auto"/>
          <w:jc w:val="left"/>
          <w:tblInd w:w="1289" w:type="dxa"/>
          <w:tblLayout w:type="fixed"/>
          <w:tblCellMar>
            <w:top w:w="0" w:type="dxa"/>
            <w:left w:w="0" w:type="dxa"/>
            <w:bottom w:w="0" w:type="dxa"/>
            <w:right w:w="0" w:type="dxa"/>
          </w:tblCellMar>
          <w:tblLook w:val="01E0"/>
        </w:tblPrEx>
        <w:trPr>
          <w:trHeight w:val="714"/>
          <w:jc w:val="left"/>
        </w:trPr>
        <w:tc>
          <w:tcPr>
            <w:tcW w:w="1119" w:type="dxa"/>
          </w:tcPr>
          <w:p>
            <w:pPr>
              <w:pStyle w:val="TableParagraph"/>
              <w:rPr>
                <w:rFonts w:ascii="Times New Roman"/>
                <w:sz w:val="36"/>
              </w:rPr>
            </w:pPr>
          </w:p>
        </w:tc>
        <w:tc>
          <w:tcPr>
            <w:tcW w:w="1420" w:type="dxa"/>
          </w:tcPr>
          <w:p>
            <w:pPr>
              <w:pStyle w:val="TableParagraph"/>
              <w:rPr>
                <w:rFonts w:ascii="Times New Roman"/>
                <w:sz w:val="36"/>
              </w:rPr>
            </w:pPr>
          </w:p>
        </w:tc>
        <w:tc>
          <w:tcPr>
            <w:tcW w:w="1332" w:type="dxa"/>
          </w:tcPr>
          <w:p>
            <w:pPr>
              <w:pStyle w:val="TableParagraph"/>
              <w:rPr>
                <w:rFonts w:ascii="Times New Roman"/>
                <w:sz w:val="36"/>
              </w:rPr>
            </w:pPr>
          </w:p>
        </w:tc>
        <w:tc>
          <w:tcPr>
            <w:tcW w:w="1506" w:type="dxa"/>
          </w:tcPr>
          <w:p>
            <w:pPr>
              <w:pStyle w:val="TableParagraph"/>
              <w:spacing w:line="461" w:lineRule="exact"/>
              <w:ind w:left="242" w:right="144"/>
              <w:jc w:val="center"/>
              <w:rPr>
                <w:sz w:val="36"/>
              </w:rPr>
            </w:pPr>
            <w:r>
              <w:rPr>
                <w:sz w:val="36"/>
              </w:rPr>
              <w:t>（in）</w:t>
            </w:r>
          </w:p>
        </w:tc>
        <w:tc>
          <w:tcPr>
            <w:tcW w:w="1609" w:type="dxa"/>
          </w:tcPr>
          <w:p>
            <w:pPr>
              <w:pStyle w:val="TableParagraph"/>
              <w:rPr>
                <w:rFonts w:ascii="Times New Roman"/>
                <w:sz w:val="36"/>
              </w:rPr>
            </w:pPr>
          </w:p>
        </w:tc>
        <w:tc>
          <w:tcPr>
            <w:tcW w:w="1234" w:type="dxa"/>
          </w:tcPr>
          <w:p>
            <w:pPr>
              <w:pStyle w:val="TableParagraph"/>
              <w:spacing w:before="7"/>
              <w:ind w:left="148" w:right="325"/>
              <w:jc w:val="center"/>
              <w:rPr>
                <w:sz w:val="36"/>
              </w:rPr>
            </w:pPr>
            <w:r>
              <w:rPr>
                <w:sz w:val="36"/>
              </w:rPr>
              <w:t>Wf</w:t>
            </w:r>
          </w:p>
        </w:tc>
        <w:tc>
          <w:tcPr>
            <w:tcW w:w="1419" w:type="dxa"/>
          </w:tcPr>
          <w:p>
            <w:pPr>
              <w:pStyle w:val="TableParagraph"/>
              <w:spacing w:before="7"/>
              <w:ind w:left="329" w:right="324"/>
              <w:jc w:val="center"/>
              <w:rPr>
                <w:sz w:val="36"/>
              </w:rPr>
            </w:pPr>
            <w:r>
              <w:rPr>
                <w:sz w:val="36"/>
              </w:rPr>
              <w:t>Ws</w:t>
            </w:r>
          </w:p>
        </w:tc>
        <w:tc>
          <w:tcPr>
            <w:tcW w:w="1419" w:type="dxa"/>
          </w:tcPr>
          <w:p>
            <w:pPr>
              <w:pStyle w:val="TableParagraph"/>
              <w:rPr>
                <w:rFonts w:ascii="Times New Roman"/>
                <w:sz w:val="36"/>
              </w:rPr>
            </w:pPr>
          </w:p>
        </w:tc>
        <w:tc>
          <w:tcPr>
            <w:tcW w:w="1118" w:type="dxa"/>
          </w:tcPr>
          <w:p>
            <w:pPr>
              <w:pStyle w:val="TableParagraph"/>
              <w:rPr>
                <w:rFonts w:ascii="Times New Roman"/>
                <w:sz w:val="36"/>
              </w:rPr>
            </w:pPr>
          </w:p>
        </w:tc>
      </w:tr>
      <w:tr>
        <w:tblPrEx>
          <w:tblW w:w="0" w:type="auto"/>
          <w:jc w:val="left"/>
          <w:tblInd w:w="1289" w:type="dxa"/>
          <w:tblLayout w:type="fixed"/>
          <w:tblCellMar>
            <w:top w:w="0" w:type="dxa"/>
            <w:left w:w="0" w:type="dxa"/>
            <w:bottom w:w="0" w:type="dxa"/>
            <w:right w:w="0" w:type="dxa"/>
          </w:tblCellMar>
          <w:tblLook w:val="01E0"/>
        </w:tblPrEx>
        <w:trPr>
          <w:trHeight w:val="1189"/>
          <w:jc w:val="left"/>
        </w:trPr>
        <w:tc>
          <w:tcPr>
            <w:tcW w:w="1119" w:type="dxa"/>
          </w:tcPr>
          <w:p>
            <w:pPr>
              <w:pStyle w:val="TableParagraph"/>
              <w:spacing w:before="246"/>
              <w:ind w:left="50"/>
              <w:rPr>
                <w:sz w:val="36"/>
              </w:rPr>
            </w:pPr>
            <w:r>
              <w:rPr>
                <w:sz w:val="36"/>
              </w:rPr>
              <w:t>KG32</w:t>
            </w:r>
          </w:p>
        </w:tc>
        <w:tc>
          <w:tcPr>
            <w:tcW w:w="1420" w:type="dxa"/>
          </w:tcPr>
          <w:p>
            <w:pPr>
              <w:pStyle w:val="TableParagraph"/>
              <w:spacing w:before="246"/>
              <w:ind w:left="329" w:right="330"/>
              <w:jc w:val="center"/>
              <w:rPr>
                <w:sz w:val="36"/>
              </w:rPr>
            </w:pPr>
            <w:r>
              <w:rPr>
                <w:sz w:val="36"/>
              </w:rPr>
              <w:t>32</w:t>
            </w:r>
          </w:p>
        </w:tc>
        <w:tc>
          <w:tcPr>
            <w:tcW w:w="1332" w:type="dxa"/>
          </w:tcPr>
          <w:p>
            <w:pPr>
              <w:pStyle w:val="TableParagraph"/>
              <w:rPr>
                <w:rFonts w:ascii="Times New Roman"/>
                <w:sz w:val="36"/>
              </w:rPr>
            </w:pPr>
          </w:p>
        </w:tc>
        <w:tc>
          <w:tcPr>
            <w:tcW w:w="1506" w:type="dxa"/>
          </w:tcPr>
          <w:p>
            <w:pPr>
              <w:pStyle w:val="TableParagraph"/>
              <w:spacing w:before="246"/>
              <w:ind w:left="242" w:right="144"/>
              <w:jc w:val="center"/>
              <w:rPr>
                <w:sz w:val="36"/>
              </w:rPr>
            </w:pPr>
            <w:r>
              <w:rPr>
                <w:sz w:val="36"/>
              </w:rPr>
              <w:t>1-7/16</w:t>
            </w:r>
          </w:p>
        </w:tc>
        <w:tc>
          <w:tcPr>
            <w:tcW w:w="1609" w:type="dxa"/>
          </w:tcPr>
          <w:p>
            <w:pPr>
              <w:pStyle w:val="TableParagraph"/>
              <w:spacing w:before="246"/>
              <w:ind w:left="534"/>
              <w:rPr>
                <w:sz w:val="36"/>
              </w:rPr>
            </w:pPr>
            <w:r>
              <w:rPr>
                <w:sz w:val="36"/>
              </w:rPr>
              <w:t>50</w:t>
            </w:r>
          </w:p>
        </w:tc>
        <w:tc>
          <w:tcPr>
            <w:tcW w:w="1234" w:type="dxa"/>
          </w:tcPr>
          <w:p>
            <w:pPr>
              <w:pStyle w:val="TableParagraph"/>
              <w:spacing w:before="246"/>
              <w:ind w:left="148" w:right="325"/>
              <w:jc w:val="center"/>
              <w:rPr>
                <w:sz w:val="36"/>
              </w:rPr>
            </w:pPr>
            <w:r>
              <w:rPr>
                <w:sz w:val="36"/>
              </w:rPr>
              <w:t>35</w:t>
            </w:r>
          </w:p>
        </w:tc>
        <w:tc>
          <w:tcPr>
            <w:tcW w:w="1419" w:type="dxa"/>
          </w:tcPr>
          <w:p>
            <w:pPr>
              <w:pStyle w:val="TableParagraph"/>
              <w:spacing w:before="246"/>
              <w:ind w:left="329" w:right="324"/>
              <w:jc w:val="center"/>
              <w:rPr>
                <w:sz w:val="36"/>
              </w:rPr>
            </w:pPr>
            <w:r>
              <w:rPr>
                <w:sz w:val="36"/>
              </w:rPr>
              <w:t>46</w:t>
            </w:r>
          </w:p>
        </w:tc>
        <w:tc>
          <w:tcPr>
            <w:tcW w:w="1419" w:type="dxa"/>
          </w:tcPr>
          <w:p>
            <w:pPr>
              <w:pStyle w:val="TableParagraph"/>
              <w:rPr>
                <w:rFonts w:ascii="Times New Roman"/>
                <w:sz w:val="36"/>
              </w:rPr>
            </w:pPr>
          </w:p>
        </w:tc>
        <w:tc>
          <w:tcPr>
            <w:tcW w:w="1118" w:type="dxa"/>
          </w:tcPr>
          <w:p>
            <w:pPr>
              <w:pStyle w:val="TableParagraph"/>
              <w:rPr>
                <w:rFonts w:ascii="Times New Roman"/>
                <w:sz w:val="36"/>
              </w:rPr>
            </w:pPr>
          </w:p>
        </w:tc>
      </w:tr>
      <w:tr>
        <w:tblPrEx>
          <w:tblW w:w="0" w:type="auto"/>
          <w:jc w:val="left"/>
          <w:tblInd w:w="1289" w:type="dxa"/>
          <w:tblLayout w:type="fixed"/>
          <w:tblCellMar>
            <w:top w:w="0" w:type="dxa"/>
            <w:left w:w="0" w:type="dxa"/>
            <w:bottom w:w="0" w:type="dxa"/>
            <w:right w:w="0" w:type="dxa"/>
          </w:tblCellMar>
          <w:tblLook w:val="01E0"/>
        </w:tblPrEx>
        <w:trPr>
          <w:trHeight w:val="1436"/>
          <w:jc w:val="left"/>
        </w:trPr>
        <w:tc>
          <w:tcPr>
            <w:tcW w:w="1119" w:type="dxa"/>
          </w:tcPr>
          <w:p>
            <w:pPr>
              <w:pStyle w:val="TableParagraph"/>
              <w:spacing w:before="8"/>
              <w:rPr>
                <w:sz w:val="37"/>
              </w:rPr>
            </w:pPr>
          </w:p>
          <w:p>
            <w:pPr>
              <w:pStyle w:val="TableParagraph"/>
              <w:ind w:left="50"/>
              <w:rPr>
                <w:sz w:val="36"/>
              </w:rPr>
            </w:pPr>
            <w:r>
              <w:rPr>
                <w:sz w:val="36"/>
              </w:rPr>
              <w:t>KG34</w:t>
            </w:r>
          </w:p>
        </w:tc>
        <w:tc>
          <w:tcPr>
            <w:tcW w:w="1420" w:type="dxa"/>
          </w:tcPr>
          <w:p>
            <w:pPr>
              <w:pStyle w:val="TableParagraph"/>
              <w:spacing w:before="8"/>
              <w:rPr>
                <w:sz w:val="37"/>
              </w:rPr>
            </w:pPr>
          </w:p>
          <w:p>
            <w:pPr>
              <w:pStyle w:val="TableParagraph"/>
              <w:ind w:left="329" w:right="330"/>
              <w:jc w:val="center"/>
              <w:rPr>
                <w:sz w:val="36"/>
              </w:rPr>
            </w:pPr>
            <w:r>
              <w:rPr>
                <w:sz w:val="36"/>
              </w:rPr>
              <w:t>34</w:t>
            </w:r>
          </w:p>
        </w:tc>
        <w:tc>
          <w:tcPr>
            <w:tcW w:w="1332" w:type="dxa"/>
          </w:tcPr>
          <w:p>
            <w:pPr>
              <w:pStyle w:val="TableParagraph"/>
              <w:rPr>
                <w:rFonts w:ascii="Times New Roman"/>
                <w:sz w:val="36"/>
              </w:rPr>
            </w:pPr>
          </w:p>
        </w:tc>
        <w:tc>
          <w:tcPr>
            <w:tcW w:w="1506" w:type="dxa"/>
          </w:tcPr>
          <w:p>
            <w:pPr>
              <w:pStyle w:val="TableParagraph"/>
              <w:spacing w:before="8"/>
              <w:rPr>
                <w:sz w:val="37"/>
              </w:rPr>
            </w:pPr>
          </w:p>
          <w:p>
            <w:pPr>
              <w:pStyle w:val="TableParagraph"/>
              <w:ind w:left="242" w:right="144"/>
              <w:jc w:val="center"/>
              <w:rPr>
                <w:sz w:val="36"/>
              </w:rPr>
            </w:pPr>
            <w:r>
              <w:rPr>
                <w:sz w:val="36"/>
              </w:rPr>
              <w:t>1-9/16</w:t>
            </w:r>
          </w:p>
        </w:tc>
        <w:tc>
          <w:tcPr>
            <w:tcW w:w="1609" w:type="dxa"/>
          </w:tcPr>
          <w:p>
            <w:pPr>
              <w:pStyle w:val="TableParagraph"/>
              <w:spacing w:before="8"/>
              <w:rPr>
                <w:sz w:val="37"/>
              </w:rPr>
            </w:pPr>
          </w:p>
          <w:p>
            <w:pPr>
              <w:pStyle w:val="TableParagraph"/>
              <w:ind w:left="534"/>
              <w:rPr>
                <w:sz w:val="36"/>
              </w:rPr>
            </w:pPr>
            <w:r>
              <w:rPr>
                <w:sz w:val="36"/>
              </w:rPr>
              <w:t>50</w:t>
            </w:r>
          </w:p>
        </w:tc>
        <w:tc>
          <w:tcPr>
            <w:tcW w:w="1234" w:type="dxa"/>
          </w:tcPr>
          <w:p>
            <w:pPr>
              <w:pStyle w:val="TableParagraph"/>
              <w:spacing w:before="8"/>
              <w:rPr>
                <w:sz w:val="37"/>
              </w:rPr>
            </w:pPr>
          </w:p>
          <w:p>
            <w:pPr>
              <w:pStyle w:val="TableParagraph"/>
              <w:ind w:left="148" w:right="325"/>
              <w:jc w:val="center"/>
              <w:rPr>
                <w:sz w:val="36"/>
              </w:rPr>
            </w:pPr>
            <w:r>
              <w:rPr>
                <w:sz w:val="36"/>
              </w:rPr>
              <w:t>35</w:t>
            </w:r>
          </w:p>
        </w:tc>
        <w:tc>
          <w:tcPr>
            <w:tcW w:w="1419" w:type="dxa"/>
          </w:tcPr>
          <w:p>
            <w:pPr>
              <w:pStyle w:val="TableParagraph"/>
              <w:spacing w:before="8"/>
              <w:rPr>
                <w:sz w:val="37"/>
              </w:rPr>
            </w:pPr>
          </w:p>
          <w:p>
            <w:pPr>
              <w:pStyle w:val="TableParagraph"/>
              <w:ind w:left="329" w:right="324"/>
              <w:jc w:val="center"/>
              <w:rPr>
                <w:sz w:val="36"/>
              </w:rPr>
            </w:pPr>
            <w:r>
              <w:rPr>
                <w:sz w:val="36"/>
              </w:rPr>
              <w:t>46</w:t>
            </w:r>
          </w:p>
        </w:tc>
        <w:tc>
          <w:tcPr>
            <w:tcW w:w="1419" w:type="dxa"/>
          </w:tcPr>
          <w:p>
            <w:pPr>
              <w:pStyle w:val="TableParagraph"/>
              <w:rPr>
                <w:rFonts w:ascii="Times New Roman"/>
                <w:sz w:val="36"/>
              </w:rPr>
            </w:pPr>
          </w:p>
        </w:tc>
        <w:tc>
          <w:tcPr>
            <w:tcW w:w="1118" w:type="dxa"/>
          </w:tcPr>
          <w:p>
            <w:pPr>
              <w:pStyle w:val="TableParagraph"/>
              <w:rPr>
                <w:rFonts w:ascii="Times New Roman"/>
                <w:sz w:val="36"/>
              </w:rPr>
            </w:pPr>
          </w:p>
        </w:tc>
      </w:tr>
      <w:tr>
        <w:tblPrEx>
          <w:tblW w:w="0" w:type="auto"/>
          <w:jc w:val="left"/>
          <w:tblInd w:w="1289" w:type="dxa"/>
          <w:tblLayout w:type="fixed"/>
          <w:tblCellMar>
            <w:top w:w="0" w:type="dxa"/>
            <w:left w:w="0" w:type="dxa"/>
            <w:bottom w:w="0" w:type="dxa"/>
            <w:right w:w="0" w:type="dxa"/>
          </w:tblCellMar>
          <w:tblLook w:val="01E0"/>
        </w:tblPrEx>
        <w:trPr>
          <w:trHeight w:val="957"/>
          <w:jc w:val="left"/>
        </w:trPr>
        <w:tc>
          <w:tcPr>
            <w:tcW w:w="1119" w:type="dxa"/>
          </w:tcPr>
          <w:p>
            <w:pPr>
              <w:pStyle w:val="TableParagraph"/>
              <w:rPr>
                <w:rFonts w:ascii="Times New Roman"/>
                <w:sz w:val="36"/>
              </w:rPr>
            </w:pPr>
          </w:p>
        </w:tc>
        <w:tc>
          <w:tcPr>
            <w:tcW w:w="1420" w:type="dxa"/>
          </w:tcPr>
          <w:p>
            <w:pPr>
              <w:pStyle w:val="TableParagraph"/>
              <w:rPr>
                <w:rFonts w:ascii="Times New Roman"/>
                <w:sz w:val="36"/>
              </w:rPr>
            </w:pPr>
          </w:p>
        </w:tc>
        <w:tc>
          <w:tcPr>
            <w:tcW w:w="1332" w:type="dxa"/>
          </w:tcPr>
          <w:p>
            <w:pPr>
              <w:pStyle w:val="TableParagraph"/>
              <w:rPr>
                <w:rFonts w:ascii="Times New Roman"/>
                <w:sz w:val="36"/>
              </w:rPr>
            </w:pPr>
          </w:p>
        </w:tc>
        <w:tc>
          <w:tcPr>
            <w:tcW w:w="1506" w:type="dxa"/>
          </w:tcPr>
          <w:p>
            <w:pPr>
              <w:pStyle w:val="TableParagraph"/>
              <w:rPr>
                <w:rFonts w:ascii="Times New Roman"/>
                <w:sz w:val="36"/>
              </w:rPr>
            </w:pPr>
          </w:p>
        </w:tc>
        <w:tc>
          <w:tcPr>
            <w:tcW w:w="1609" w:type="dxa"/>
          </w:tcPr>
          <w:p>
            <w:pPr>
              <w:pStyle w:val="TableParagraph"/>
              <w:rPr>
                <w:rFonts w:ascii="Times New Roman"/>
                <w:sz w:val="36"/>
              </w:rPr>
            </w:pPr>
          </w:p>
        </w:tc>
        <w:tc>
          <w:tcPr>
            <w:tcW w:w="1234" w:type="dxa"/>
          </w:tcPr>
          <w:p>
            <w:pPr>
              <w:pStyle w:val="TableParagraph"/>
              <w:rPr>
                <w:rFonts w:ascii="Times New Roman"/>
                <w:sz w:val="36"/>
              </w:rPr>
            </w:pPr>
          </w:p>
        </w:tc>
        <w:tc>
          <w:tcPr>
            <w:tcW w:w="1419" w:type="dxa"/>
          </w:tcPr>
          <w:p>
            <w:pPr>
              <w:pStyle w:val="TableParagraph"/>
              <w:rPr>
                <w:rFonts w:ascii="Times New Roman"/>
                <w:sz w:val="36"/>
              </w:rPr>
            </w:pPr>
          </w:p>
        </w:tc>
        <w:tc>
          <w:tcPr>
            <w:tcW w:w="1419" w:type="dxa"/>
          </w:tcPr>
          <w:p>
            <w:pPr>
              <w:pStyle w:val="TableParagraph"/>
              <w:rPr>
                <w:rFonts w:ascii="Times New Roman"/>
                <w:sz w:val="36"/>
              </w:rPr>
            </w:pPr>
          </w:p>
        </w:tc>
        <w:tc>
          <w:tcPr>
            <w:tcW w:w="1118" w:type="dxa"/>
          </w:tcPr>
          <w:p>
            <w:pPr>
              <w:pStyle w:val="TableParagraph"/>
              <w:spacing w:before="6"/>
              <w:rPr>
                <w:sz w:val="38"/>
              </w:rPr>
            </w:pPr>
          </w:p>
          <w:p>
            <w:pPr>
              <w:pStyle w:val="TableParagraph"/>
              <w:spacing w:line="445" w:lineRule="exact"/>
              <w:ind w:left="335" w:right="22"/>
              <w:jc w:val="center"/>
              <w:rPr>
                <w:sz w:val="36"/>
              </w:rPr>
            </w:pPr>
            <w:r>
              <w:rPr>
                <w:sz w:val="36"/>
              </w:rPr>
              <w:t>600</w:t>
            </w:r>
          </w:p>
        </w:tc>
      </w:tr>
      <w:tr>
        <w:tblPrEx>
          <w:tblW w:w="0" w:type="auto"/>
          <w:jc w:val="left"/>
          <w:tblInd w:w="1289" w:type="dxa"/>
          <w:tblLayout w:type="fixed"/>
          <w:tblCellMar>
            <w:top w:w="0" w:type="dxa"/>
            <w:left w:w="0" w:type="dxa"/>
            <w:bottom w:w="0" w:type="dxa"/>
            <w:right w:w="0" w:type="dxa"/>
          </w:tblCellMar>
          <w:tblLook w:val="01E0"/>
        </w:tblPrEx>
        <w:trPr>
          <w:trHeight w:val="936"/>
          <w:jc w:val="left"/>
        </w:trPr>
        <w:tc>
          <w:tcPr>
            <w:tcW w:w="1119" w:type="dxa"/>
          </w:tcPr>
          <w:p>
            <w:pPr>
              <w:pStyle w:val="TableParagraph"/>
              <w:spacing w:before="3"/>
              <w:rPr>
                <w:sz w:val="36"/>
              </w:rPr>
            </w:pPr>
          </w:p>
          <w:p>
            <w:pPr>
              <w:pStyle w:val="TableParagraph"/>
              <w:spacing w:line="452" w:lineRule="exact"/>
              <w:ind w:left="50"/>
              <w:rPr>
                <w:sz w:val="36"/>
              </w:rPr>
            </w:pPr>
            <w:r>
              <w:rPr>
                <w:sz w:val="36"/>
              </w:rPr>
              <w:t>KG36</w:t>
            </w:r>
          </w:p>
        </w:tc>
        <w:tc>
          <w:tcPr>
            <w:tcW w:w="1420" w:type="dxa"/>
          </w:tcPr>
          <w:p>
            <w:pPr>
              <w:pStyle w:val="TableParagraph"/>
              <w:spacing w:before="3"/>
              <w:rPr>
                <w:sz w:val="36"/>
              </w:rPr>
            </w:pPr>
          </w:p>
          <w:p>
            <w:pPr>
              <w:pStyle w:val="TableParagraph"/>
              <w:spacing w:line="452" w:lineRule="exact"/>
              <w:ind w:left="329" w:right="330"/>
              <w:jc w:val="center"/>
              <w:rPr>
                <w:sz w:val="36"/>
              </w:rPr>
            </w:pPr>
            <w:r>
              <w:rPr>
                <w:sz w:val="36"/>
              </w:rPr>
              <w:t>36</w:t>
            </w:r>
          </w:p>
        </w:tc>
        <w:tc>
          <w:tcPr>
            <w:tcW w:w="1332" w:type="dxa"/>
          </w:tcPr>
          <w:p>
            <w:pPr>
              <w:pStyle w:val="TableParagraph"/>
              <w:rPr>
                <w:rFonts w:ascii="Times New Roman"/>
                <w:sz w:val="36"/>
              </w:rPr>
            </w:pPr>
          </w:p>
        </w:tc>
        <w:tc>
          <w:tcPr>
            <w:tcW w:w="1506" w:type="dxa"/>
          </w:tcPr>
          <w:p>
            <w:pPr>
              <w:pStyle w:val="TableParagraph"/>
              <w:spacing w:before="3"/>
              <w:rPr>
                <w:sz w:val="36"/>
              </w:rPr>
            </w:pPr>
          </w:p>
          <w:p>
            <w:pPr>
              <w:pStyle w:val="TableParagraph"/>
              <w:spacing w:line="452" w:lineRule="exact"/>
              <w:ind w:left="242" w:right="144"/>
              <w:jc w:val="center"/>
              <w:rPr>
                <w:sz w:val="36"/>
              </w:rPr>
            </w:pPr>
            <w:r>
              <w:rPr>
                <w:sz w:val="36"/>
              </w:rPr>
              <w:t>1-9/16</w:t>
            </w:r>
          </w:p>
        </w:tc>
        <w:tc>
          <w:tcPr>
            <w:tcW w:w="1609" w:type="dxa"/>
          </w:tcPr>
          <w:p>
            <w:pPr>
              <w:pStyle w:val="TableParagraph"/>
              <w:spacing w:before="3"/>
              <w:rPr>
                <w:sz w:val="36"/>
              </w:rPr>
            </w:pPr>
          </w:p>
          <w:p>
            <w:pPr>
              <w:pStyle w:val="TableParagraph"/>
              <w:spacing w:line="452" w:lineRule="exact"/>
              <w:ind w:left="534"/>
              <w:rPr>
                <w:sz w:val="36"/>
              </w:rPr>
            </w:pPr>
            <w:r>
              <w:rPr>
                <w:sz w:val="36"/>
              </w:rPr>
              <w:t>50</w:t>
            </w:r>
          </w:p>
        </w:tc>
        <w:tc>
          <w:tcPr>
            <w:tcW w:w="1234" w:type="dxa"/>
          </w:tcPr>
          <w:p>
            <w:pPr>
              <w:pStyle w:val="TableParagraph"/>
              <w:spacing w:before="3"/>
              <w:rPr>
                <w:sz w:val="36"/>
              </w:rPr>
            </w:pPr>
          </w:p>
          <w:p>
            <w:pPr>
              <w:pStyle w:val="TableParagraph"/>
              <w:spacing w:line="452" w:lineRule="exact"/>
              <w:ind w:left="148" w:right="325"/>
              <w:jc w:val="center"/>
              <w:rPr>
                <w:sz w:val="36"/>
              </w:rPr>
            </w:pPr>
            <w:r>
              <w:rPr>
                <w:sz w:val="36"/>
              </w:rPr>
              <w:t>35</w:t>
            </w:r>
          </w:p>
        </w:tc>
        <w:tc>
          <w:tcPr>
            <w:tcW w:w="1419" w:type="dxa"/>
          </w:tcPr>
          <w:p>
            <w:pPr>
              <w:pStyle w:val="TableParagraph"/>
              <w:spacing w:before="3"/>
              <w:rPr>
                <w:sz w:val="36"/>
              </w:rPr>
            </w:pPr>
          </w:p>
          <w:p>
            <w:pPr>
              <w:pStyle w:val="TableParagraph"/>
              <w:spacing w:line="452" w:lineRule="exact"/>
              <w:ind w:left="329" w:right="324"/>
              <w:jc w:val="center"/>
              <w:rPr>
                <w:sz w:val="36"/>
              </w:rPr>
            </w:pPr>
            <w:r>
              <w:rPr>
                <w:sz w:val="36"/>
              </w:rPr>
              <w:t>46</w:t>
            </w:r>
          </w:p>
        </w:tc>
        <w:tc>
          <w:tcPr>
            <w:tcW w:w="1419" w:type="dxa"/>
          </w:tcPr>
          <w:p>
            <w:pPr>
              <w:pStyle w:val="TableParagraph"/>
              <w:spacing w:before="3"/>
              <w:ind w:left="332" w:right="321"/>
              <w:jc w:val="center"/>
              <w:rPr>
                <w:sz w:val="36"/>
              </w:rPr>
            </w:pPr>
            <w:r>
              <w:rPr>
                <w:sz w:val="36"/>
              </w:rPr>
              <w:t>7500</w:t>
            </w:r>
          </w:p>
        </w:tc>
        <w:tc>
          <w:tcPr>
            <w:tcW w:w="1118" w:type="dxa"/>
          </w:tcPr>
          <w:p>
            <w:pPr>
              <w:pStyle w:val="TableParagraph"/>
              <w:spacing w:before="10"/>
              <w:rPr>
                <w:sz w:val="36"/>
              </w:rPr>
            </w:pPr>
          </w:p>
          <w:p>
            <w:pPr>
              <w:pStyle w:val="TableParagraph"/>
              <w:spacing w:line="445" w:lineRule="exact"/>
              <w:ind w:left="335" w:right="22"/>
              <w:jc w:val="center"/>
              <w:rPr>
                <w:sz w:val="36"/>
              </w:rPr>
            </w:pPr>
            <w:r>
              <w:rPr>
                <w:sz w:val="36"/>
              </w:rPr>
              <w:t>1000</w:t>
            </w:r>
          </w:p>
        </w:tc>
      </w:tr>
      <w:tr>
        <w:tblPrEx>
          <w:tblW w:w="0" w:type="auto"/>
          <w:jc w:val="left"/>
          <w:tblInd w:w="1289" w:type="dxa"/>
          <w:tblLayout w:type="fixed"/>
          <w:tblCellMar>
            <w:top w:w="0" w:type="dxa"/>
            <w:left w:w="0" w:type="dxa"/>
            <w:bottom w:w="0" w:type="dxa"/>
            <w:right w:w="0" w:type="dxa"/>
          </w:tblCellMar>
          <w:tblLook w:val="01E0"/>
        </w:tblPrEx>
        <w:trPr>
          <w:trHeight w:val="468"/>
          <w:jc w:val="left"/>
        </w:trPr>
        <w:tc>
          <w:tcPr>
            <w:tcW w:w="1119" w:type="dxa"/>
          </w:tcPr>
          <w:p>
            <w:pPr>
              <w:pStyle w:val="TableParagraph"/>
              <w:rPr>
                <w:rFonts w:ascii="Times New Roman"/>
                <w:sz w:val="36"/>
              </w:rPr>
            </w:pPr>
          </w:p>
        </w:tc>
        <w:tc>
          <w:tcPr>
            <w:tcW w:w="1420" w:type="dxa"/>
          </w:tcPr>
          <w:p>
            <w:pPr>
              <w:pStyle w:val="TableParagraph"/>
              <w:rPr>
                <w:rFonts w:ascii="Times New Roman"/>
                <w:sz w:val="36"/>
              </w:rPr>
            </w:pPr>
          </w:p>
        </w:tc>
        <w:tc>
          <w:tcPr>
            <w:tcW w:w="1332" w:type="dxa"/>
          </w:tcPr>
          <w:p>
            <w:pPr>
              <w:pStyle w:val="TableParagraph"/>
              <w:rPr>
                <w:rFonts w:ascii="Times New Roman"/>
                <w:sz w:val="36"/>
              </w:rPr>
            </w:pPr>
          </w:p>
        </w:tc>
        <w:tc>
          <w:tcPr>
            <w:tcW w:w="1506" w:type="dxa"/>
          </w:tcPr>
          <w:p>
            <w:pPr>
              <w:pStyle w:val="TableParagraph"/>
              <w:rPr>
                <w:rFonts w:ascii="Times New Roman"/>
                <w:sz w:val="36"/>
              </w:rPr>
            </w:pPr>
          </w:p>
        </w:tc>
        <w:tc>
          <w:tcPr>
            <w:tcW w:w="1609" w:type="dxa"/>
          </w:tcPr>
          <w:p>
            <w:pPr>
              <w:pStyle w:val="TableParagraph"/>
              <w:rPr>
                <w:rFonts w:ascii="Times New Roman"/>
                <w:sz w:val="36"/>
              </w:rPr>
            </w:pPr>
          </w:p>
        </w:tc>
        <w:tc>
          <w:tcPr>
            <w:tcW w:w="1234" w:type="dxa"/>
          </w:tcPr>
          <w:p>
            <w:pPr>
              <w:pStyle w:val="TableParagraph"/>
              <w:rPr>
                <w:rFonts w:ascii="Times New Roman"/>
                <w:sz w:val="36"/>
              </w:rPr>
            </w:pPr>
          </w:p>
        </w:tc>
        <w:tc>
          <w:tcPr>
            <w:tcW w:w="1419" w:type="dxa"/>
          </w:tcPr>
          <w:p>
            <w:pPr>
              <w:pStyle w:val="TableParagraph"/>
              <w:rPr>
                <w:rFonts w:ascii="Times New Roman"/>
                <w:sz w:val="36"/>
              </w:rPr>
            </w:pPr>
          </w:p>
        </w:tc>
        <w:tc>
          <w:tcPr>
            <w:tcW w:w="1419" w:type="dxa"/>
          </w:tcPr>
          <w:p>
            <w:pPr>
              <w:pStyle w:val="TableParagraph"/>
              <w:spacing w:before="3" w:line="445" w:lineRule="exact"/>
              <w:ind w:left="11"/>
              <w:jc w:val="center"/>
              <w:rPr>
                <w:sz w:val="36"/>
              </w:rPr>
            </w:pPr>
            <w:r>
              <w:rPr>
                <w:sz w:val="36"/>
              </w:rPr>
              <w:t>︱</w:t>
            </w:r>
          </w:p>
        </w:tc>
        <w:tc>
          <w:tcPr>
            <w:tcW w:w="1118" w:type="dxa"/>
          </w:tcPr>
          <w:p>
            <w:pPr>
              <w:pStyle w:val="TableParagraph"/>
              <w:rPr>
                <w:rFonts w:ascii="Times New Roman"/>
                <w:sz w:val="36"/>
              </w:rPr>
            </w:pPr>
          </w:p>
        </w:tc>
      </w:tr>
      <w:tr>
        <w:tblPrEx>
          <w:tblW w:w="0" w:type="auto"/>
          <w:jc w:val="left"/>
          <w:tblInd w:w="1289" w:type="dxa"/>
          <w:tblLayout w:type="fixed"/>
          <w:tblCellMar>
            <w:top w:w="0" w:type="dxa"/>
            <w:left w:w="0" w:type="dxa"/>
            <w:bottom w:w="0" w:type="dxa"/>
            <w:right w:w="0" w:type="dxa"/>
          </w:tblCellMar>
          <w:tblLook w:val="01E0"/>
        </w:tblPrEx>
        <w:trPr>
          <w:trHeight w:val="467"/>
          <w:jc w:val="left"/>
        </w:trPr>
        <w:tc>
          <w:tcPr>
            <w:tcW w:w="1119" w:type="dxa"/>
          </w:tcPr>
          <w:p>
            <w:pPr>
              <w:pStyle w:val="TableParagraph"/>
              <w:rPr>
                <w:rFonts w:ascii="Times New Roman"/>
                <w:sz w:val="36"/>
              </w:rPr>
            </w:pPr>
          </w:p>
        </w:tc>
        <w:tc>
          <w:tcPr>
            <w:tcW w:w="1420" w:type="dxa"/>
          </w:tcPr>
          <w:p>
            <w:pPr>
              <w:pStyle w:val="TableParagraph"/>
              <w:rPr>
                <w:rFonts w:ascii="Times New Roman"/>
                <w:sz w:val="36"/>
              </w:rPr>
            </w:pPr>
          </w:p>
        </w:tc>
        <w:tc>
          <w:tcPr>
            <w:tcW w:w="1332" w:type="dxa"/>
          </w:tcPr>
          <w:p>
            <w:pPr>
              <w:pStyle w:val="TableParagraph"/>
              <w:rPr>
                <w:rFonts w:ascii="Times New Roman"/>
                <w:sz w:val="36"/>
              </w:rPr>
            </w:pPr>
          </w:p>
        </w:tc>
        <w:tc>
          <w:tcPr>
            <w:tcW w:w="1506" w:type="dxa"/>
          </w:tcPr>
          <w:p>
            <w:pPr>
              <w:pStyle w:val="TableParagraph"/>
              <w:rPr>
                <w:rFonts w:ascii="Times New Roman"/>
                <w:sz w:val="36"/>
              </w:rPr>
            </w:pPr>
          </w:p>
        </w:tc>
        <w:tc>
          <w:tcPr>
            <w:tcW w:w="1609" w:type="dxa"/>
          </w:tcPr>
          <w:p>
            <w:pPr>
              <w:pStyle w:val="TableParagraph"/>
              <w:rPr>
                <w:rFonts w:ascii="Times New Roman"/>
                <w:sz w:val="36"/>
              </w:rPr>
            </w:pPr>
          </w:p>
        </w:tc>
        <w:tc>
          <w:tcPr>
            <w:tcW w:w="1234" w:type="dxa"/>
          </w:tcPr>
          <w:p>
            <w:pPr>
              <w:pStyle w:val="TableParagraph"/>
              <w:rPr>
                <w:rFonts w:ascii="Times New Roman"/>
                <w:sz w:val="36"/>
              </w:rPr>
            </w:pPr>
          </w:p>
        </w:tc>
        <w:tc>
          <w:tcPr>
            <w:tcW w:w="1419" w:type="dxa"/>
          </w:tcPr>
          <w:p>
            <w:pPr>
              <w:pStyle w:val="TableParagraph"/>
              <w:rPr>
                <w:rFonts w:ascii="Times New Roman"/>
                <w:sz w:val="36"/>
              </w:rPr>
            </w:pPr>
          </w:p>
        </w:tc>
        <w:tc>
          <w:tcPr>
            <w:tcW w:w="1419" w:type="dxa"/>
          </w:tcPr>
          <w:p>
            <w:pPr>
              <w:pStyle w:val="TableParagraph"/>
              <w:rPr>
                <w:rFonts w:ascii="Times New Roman"/>
                <w:sz w:val="36"/>
              </w:rPr>
            </w:pPr>
          </w:p>
        </w:tc>
        <w:tc>
          <w:tcPr>
            <w:tcW w:w="1118" w:type="dxa"/>
          </w:tcPr>
          <w:p>
            <w:pPr>
              <w:pStyle w:val="TableParagraph"/>
              <w:spacing w:before="3" w:line="445" w:lineRule="exact"/>
              <w:ind w:left="335" w:right="22"/>
              <w:jc w:val="center"/>
              <w:rPr>
                <w:sz w:val="36"/>
              </w:rPr>
            </w:pPr>
            <w:r>
              <w:rPr>
                <w:sz w:val="36"/>
              </w:rPr>
              <w:t>2000</w:t>
            </w:r>
          </w:p>
        </w:tc>
      </w:tr>
      <w:tr>
        <w:tblPrEx>
          <w:tblW w:w="0" w:type="auto"/>
          <w:jc w:val="left"/>
          <w:tblInd w:w="1289" w:type="dxa"/>
          <w:tblLayout w:type="fixed"/>
          <w:tblCellMar>
            <w:top w:w="0" w:type="dxa"/>
            <w:left w:w="0" w:type="dxa"/>
            <w:bottom w:w="0" w:type="dxa"/>
            <w:right w:w="0" w:type="dxa"/>
          </w:tblCellMar>
          <w:tblLook w:val="01E0"/>
        </w:tblPrEx>
        <w:trPr>
          <w:trHeight w:val="467"/>
          <w:jc w:val="left"/>
        </w:trPr>
        <w:tc>
          <w:tcPr>
            <w:tcW w:w="1119" w:type="dxa"/>
          </w:tcPr>
          <w:p>
            <w:pPr>
              <w:pStyle w:val="TableParagraph"/>
              <w:rPr>
                <w:rFonts w:ascii="Times New Roman"/>
                <w:sz w:val="36"/>
              </w:rPr>
            </w:pPr>
          </w:p>
        </w:tc>
        <w:tc>
          <w:tcPr>
            <w:tcW w:w="1420" w:type="dxa"/>
          </w:tcPr>
          <w:p>
            <w:pPr>
              <w:pStyle w:val="TableParagraph"/>
              <w:rPr>
                <w:rFonts w:ascii="Times New Roman"/>
                <w:sz w:val="36"/>
              </w:rPr>
            </w:pPr>
          </w:p>
        </w:tc>
        <w:tc>
          <w:tcPr>
            <w:tcW w:w="1332" w:type="dxa"/>
          </w:tcPr>
          <w:p>
            <w:pPr>
              <w:pStyle w:val="TableParagraph"/>
              <w:rPr>
                <w:rFonts w:ascii="Times New Roman"/>
                <w:sz w:val="36"/>
              </w:rPr>
            </w:pPr>
          </w:p>
        </w:tc>
        <w:tc>
          <w:tcPr>
            <w:tcW w:w="1506" w:type="dxa"/>
          </w:tcPr>
          <w:p>
            <w:pPr>
              <w:pStyle w:val="TableParagraph"/>
              <w:rPr>
                <w:rFonts w:ascii="Times New Roman"/>
                <w:sz w:val="36"/>
              </w:rPr>
            </w:pPr>
          </w:p>
        </w:tc>
        <w:tc>
          <w:tcPr>
            <w:tcW w:w="1609" w:type="dxa"/>
          </w:tcPr>
          <w:p>
            <w:pPr>
              <w:pStyle w:val="TableParagraph"/>
              <w:rPr>
                <w:rFonts w:ascii="Times New Roman"/>
                <w:sz w:val="36"/>
              </w:rPr>
            </w:pPr>
          </w:p>
        </w:tc>
        <w:tc>
          <w:tcPr>
            <w:tcW w:w="1234" w:type="dxa"/>
          </w:tcPr>
          <w:p>
            <w:pPr>
              <w:pStyle w:val="TableParagraph"/>
              <w:rPr>
                <w:rFonts w:ascii="Times New Roman"/>
                <w:sz w:val="36"/>
              </w:rPr>
            </w:pPr>
          </w:p>
        </w:tc>
        <w:tc>
          <w:tcPr>
            <w:tcW w:w="1419" w:type="dxa"/>
          </w:tcPr>
          <w:p>
            <w:pPr>
              <w:pStyle w:val="TableParagraph"/>
              <w:rPr>
                <w:rFonts w:ascii="Times New Roman"/>
                <w:sz w:val="36"/>
              </w:rPr>
            </w:pPr>
          </w:p>
        </w:tc>
        <w:tc>
          <w:tcPr>
            <w:tcW w:w="1419" w:type="dxa"/>
          </w:tcPr>
          <w:p>
            <w:pPr>
              <w:pStyle w:val="TableParagraph"/>
              <w:spacing w:before="3" w:line="445" w:lineRule="exact"/>
              <w:ind w:left="332" w:right="321"/>
              <w:jc w:val="center"/>
              <w:rPr>
                <w:sz w:val="36"/>
              </w:rPr>
            </w:pPr>
            <w:r>
              <w:rPr>
                <w:sz w:val="36"/>
              </w:rPr>
              <w:t>8500</w:t>
            </w:r>
          </w:p>
        </w:tc>
        <w:tc>
          <w:tcPr>
            <w:tcW w:w="1118" w:type="dxa"/>
          </w:tcPr>
          <w:p>
            <w:pPr>
              <w:pStyle w:val="TableParagraph"/>
              <w:rPr>
                <w:rFonts w:ascii="Times New Roman"/>
                <w:sz w:val="36"/>
              </w:rPr>
            </w:pPr>
          </w:p>
        </w:tc>
      </w:tr>
      <w:tr>
        <w:tblPrEx>
          <w:tblW w:w="0" w:type="auto"/>
          <w:jc w:val="left"/>
          <w:tblInd w:w="1289" w:type="dxa"/>
          <w:tblLayout w:type="fixed"/>
          <w:tblCellMar>
            <w:top w:w="0" w:type="dxa"/>
            <w:left w:w="0" w:type="dxa"/>
            <w:bottom w:w="0" w:type="dxa"/>
            <w:right w:w="0" w:type="dxa"/>
          </w:tblCellMar>
          <w:tblLook w:val="01E0"/>
        </w:tblPrEx>
        <w:trPr>
          <w:trHeight w:val="734"/>
          <w:jc w:val="left"/>
        </w:trPr>
        <w:tc>
          <w:tcPr>
            <w:tcW w:w="1119" w:type="dxa"/>
          </w:tcPr>
          <w:p>
            <w:pPr>
              <w:pStyle w:val="TableParagraph"/>
              <w:spacing w:before="28"/>
              <w:ind w:left="50"/>
              <w:rPr>
                <w:sz w:val="36"/>
              </w:rPr>
            </w:pPr>
            <w:r>
              <w:rPr>
                <w:sz w:val="36"/>
              </w:rPr>
              <w:t>KG38</w:t>
            </w:r>
          </w:p>
        </w:tc>
        <w:tc>
          <w:tcPr>
            <w:tcW w:w="1420" w:type="dxa"/>
          </w:tcPr>
          <w:p>
            <w:pPr>
              <w:pStyle w:val="TableParagraph"/>
              <w:spacing w:before="28"/>
              <w:ind w:left="329" w:right="330"/>
              <w:jc w:val="center"/>
              <w:rPr>
                <w:sz w:val="36"/>
              </w:rPr>
            </w:pPr>
            <w:r>
              <w:rPr>
                <w:sz w:val="36"/>
              </w:rPr>
              <w:t>38</w:t>
            </w:r>
          </w:p>
        </w:tc>
        <w:tc>
          <w:tcPr>
            <w:tcW w:w="1332" w:type="dxa"/>
          </w:tcPr>
          <w:p>
            <w:pPr>
              <w:pStyle w:val="TableParagraph"/>
              <w:rPr>
                <w:rFonts w:ascii="Times New Roman"/>
                <w:sz w:val="36"/>
              </w:rPr>
            </w:pPr>
          </w:p>
        </w:tc>
        <w:tc>
          <w:tcPr>
            <w:tcW w:w="1506" w:type="dxa"/>
          </w:tcPr>
          <w:p>
            <w:pPr>
              <w:pStyle w:val="TableParagraph"/>
              <w:spacing w:before="28"/>
              <w:ind w:left="242" w:right="144"/>
              <w:jc w:val="center"/>
              <w:rPr>
                <w:sz w:val="36"/>
              </w:rPr>
            </w:pPr>
            <w:r>
              <w:rPr>
                <w:sz w:val="36"/>
              </w:rPr>
              <w:t>1-3/4</w:t>
            </w:r>
          </w:p>
        </w:tc>
        <w:tc>
          <w:tcPr>
            <w:tcW w:w="1609" w:type="dxa"/>
          </w:tcPr>
          <w:p>
            <w:pPr>
              <w:pStyle w:val="TableParagraph"/>
              <w:spacing w:before="28"/>
              <w:ind w:left="534"/>
              <w:rPr>
                <w:sz w:val="36"/>
              </w:rPr>
            </w:pPr>
            <w:r>
              <w:rPr>
                <w:sz w:val="36"/>
              </w:rPr>
              <w:t>56</w:t>
            </w:r>
          </w:p>
        </w:tc>
        <w:tc>
          <w:tcPr>
            <w:tcW w:w="1234" w:type="dxa"/>
          </w:tcPr>
          <w:p>
            <w:pPr>
              <w:pStyle w:val="TableParagraph"/>
              <w:spacing w:before="28"/>
              <w:ind w:left="148" w:right="325"/>
              <w:jc w:val="center"/>
              <w:rPr>
                <w:sz w:val="36"/>
              </w:rPr>
            </w:pPr>
            <w:r>
              <w:rPr>
                <w:sz w:val="36"/>
              </w:rPr>
              <w:t>41</w:t>
            </w:r>
          </w:p>
        </w:tc>
        <w:tc>
          <w:tcPr>
            <w:tcW w:w="1419" w:type="dxa"/>
          </w:tcPr>
          <w:p>
            <w:pPr>
              <w:pStyle w:val="TableParagraph"/>
              <w:spacing w:before="28"/>
              <w:ind w:left="329" w:right="324"/>
              <w:jc w:val="center"/>
              <w:rPr>
                <w:sz w:val="36"/>
              </w:rPr>
            </w:pPr>
            <w:r>
              <w:rPr>
                <w:sz w:val="36"/>
              </w:rPr>
              <w:t>49</w:t>
            </w:r>
          </w:p>
        </w:tc>
        <w:tc>
          <w:tcPr>
            <w:tcW w:w="1419" w:type="dxa"/>
          </w:tcPr>
          <w:p>
            <w:pPr>
              <w:pStyle w:val="TableParagraph"/>
              <w:rPr>
                <w:rFonts w:ascii="Times New Roman"/>
                <w:sz w:val="36"/>
              </w:rPr>
            </w:pPr>
          </w:p>
        </w:tc>
        <w:tc>
          <w:tcPr>
            <w:tcW w:w="1118" w:type="dxa"/>
          </w:tcPr>
          <w:p>
            <w:pPr>
              <w:pStyle w:val="TableParagraph"/>
              <w:spacing w:before="3"/>
              <w:ind w:left="335" w:right="22"/>
              <w:jc w:val="center"/>
              <w:rPr>
                <w:sz w:val="36"/>
              </w:rPr>
            </w:pPr>
            <w:r>
              <w:rPr>
                <w:sz w:val="36"/>
              </w:rPr>
              <w:t>3000</w:t>
            </w:r>
          </w:p>
        </w:tc>
      </w:tr>
      <w:tr>
        <w:tblPrEx>
          <w:tblW w:w="0" w:type="auto"/>
          <w:jc w:val="left"/>
          <w:tblInd w:w="1289" w:type="dxa"/>
          <w:tblLayout w:type="fixed"/>
          <w:tblCellMar>
            <w:top w:w="0" w:type="dxa"/>
            <w:left w:w="0" w:type="dxa"/>
            <w:bottom w:w="0" w:type="dxa"/>
            <w:right w:w="0" w:type="dxa"/>
          </w:tblCellMar>
          <w:tblLook w:val="01E0"/>
        </w:tblPrEx>
        <w:trPr>
          <w:trHeight w:val="950"/>
          <w:jc w:val="left"/>
        </w:trPr>
        <w:tc>
          <w:tcPr>
            <w:tcW w:w="1119" w:type="dxa"/>
          </w:tcPr>
          <w:p>
            <w:pPr>
              <w:pStyle w:val="TableParagraph"/>
              <w:spacing w:before="244"/>
              <w:ind w:left="50"/>
              <w:rPr>
                <w:sz w:val="36"/>
              </w:rPr>
            </w:pPr>
            <w:r>
              <w:rPr>
                <w:sz w:val="36"/>
              </w:rPr>
              <w:t>KG42</w:t>
            </w:r>
          </w:p>
        </w:tc>
        <w:tc>
          <w:tcPr>
            <w:tcW w:w="1420" w:type="dxa"/>
          </w:tcPr>
          <w:p>
            <w:pPr>
              <w:pStyle w:val="TableParagraph"/>
              <w:spacing w:before="244"/>
              <w:ind w:left="329" w:right="330"/>
              <w:jc w:val="center"/>
              <w:rPr>
                <w:sz w:val="36"/>
              </w:rPr>
            </w:pPr>
            <w:r>
              <w:rPr>
                <w:sz w:val="36"/>
              </w:rPr>
              <w:t>42</w:t>
            </w:r>
          </w:p>
        </w:tc>
        <w:tc>
          <w:tcPr>
            <w:tcW w:w="1332" w:type="dxa"/>
          </w:tcPr>
          <w:p>
            <w:pPr>
              <w:pStyle w:val="TableParagraph"/>
              <w:rPr>
                <w:rFonts w:ascii="Times New Roman"/>
                <w:sz w:val="36"/>
              </w:rPr>
            </w:pPr>
          </w:p>
        </w:tc>
        <w:tc>
          <w:tcPr>
            <w:tcW w:w="1506" w:type="dxa"/>
          </w:tcPr>
          <w:p>
            <w:pPr>
              <w:pStyle w:val="TableParagraph"/>
              <w:spacing w:before="244"/>
              <w:ind w:left="242" w:right="144"/>
              <w:jc w:val="center"/>
              <w:rPr>
                <w:sz w:val="36"/>
              </w:rPr>
            </w:pPr>
            <w:r>
              <w:rPr>
                <w:sz w:val="36"/>
              </w:rPr>
              <w:t>1-7/8</w:t>
            </w:r>
          </w:p>
        </w:tc>
        <w:tc>
          <w:tcPr>
            <w:tcW w:w="1609" w:type="dxa"/>
          </w:tcPr>
          <w:p>
            <w:pPr>
              <w:pStyle w:val="TableParagraph"/>
              <w:spacing w:before="244"/>
              <w:ind w:left="534"/>
              <w:rPr>
                <w:sz w:val="36"/>
              </w:rPr>
            </w:pPr>
            <w:r>
              <w:rPr>
                <w:sz w:val="36"/>
              </w:rPr>
              <w:t>60</w:t>
            </w:r>
          </w:p>
        </w:tc>
        <w:tc>
          <w:tcPr>
            <w:tcW w:w="1234" w:type="dxa"/>
          </w:tcPr>
          <w:p>
            <w:pPr>
              <w:pStyle w:val="TableParagraph"/>
              <w:spacing w:before="244"/>
              <w:ind w:left="148" w:right="325"/>
              <w:jc w:val="center"/>
              <w:rPr>
                <w:sz w:val="36"/>
              </w:rPr>
            </w:pPr>
            <w:r>
              <w:rPr>
                <w:sz w:val="36"/>
              </w:rPr>
              <w:t>41</w:t>
            </w:r>
          </w:p>
        </w:tc>
        <w:tc>
          <w:tcPr>
            <w:tcW w:w="1419" w:type="dxa"/>
          </w:tcPr>
          <w:p>
            <w:pPr>
              <w:pStyle w:val="TableParagraph"/>
              <w:spacing w:before="244"/>
              <w:ind w:left="329" w:right="324"/>
              <w:jc w:val="center"/>
              <w:rPr>
                <w:sz w:val="36"/>
              </w:rPr>
            </w:pPr>
            <w:r>
              <w:rPr>
                <w:sz w:val="36"/>
              </w:rPr>
              <w:t>54</w:t>
            </w:r>
          </w:p>
        </w:tc>
        <w:tc>
          <w:tcPr>
            <w:tcW w:w="1419" w:type="dxa"/>
          </w:tcPr>
          <w:p>
            <w:pPr>
              <w:pStyle w:val="TableParagraph"/>
              <w:rPr>
                <w:rFonts w:ascii="Times New Roman"/>
                <w:sz w:val="36"/>
              </w:rPr>
            </w:pPr>
          </w:p>
        </w:tc>
        <w:tc>
          <w:tcPr>
            <w:tcW w:w="1118" w:type="dxa"/>
          </w:tcPr>
          <w:p>
            <w:pPr>
              <w:pStyle w:val="TableParagraph"/>
              <w:rPr>
                <w:rFonts w:ascii="Times New Roman"/>
                <w:sz w:val="36"/>
              </w:rPr>
            </w:pPr>
          </w:p>
        </w:tc>
      </w:tr>
      <w:tr>
        <w:tblPrEx>
          <w:tblW w:w="0" w:type="auto"/>
          <w:jc w:val="left"/>
          <w:tblInd w:w="1289" w:type="dxa"/>
          <w:tblLayout w:type="fixed"/>
          <w:tblCellMar>
            <w:top w:w="0" w:type="dxa"/>
            <w:left w:w="0" w:type="dxa"/>
            <w:bottom w:w="0" w:type="dxa"/>
            <w:right w:w="0" w:type="dxa"/>
          </w:tblCellMar>
          <w:tblLook w:val="01E0"/>
        </w:tblPrEx>
        <w:trPr>
          <w:trHeight w:val="950"/>
          <w:jc w:val="left"/>
        </w:trPr>
        <w:tc>
          <w:tcPr>
            <w:tcW w:w="1119" w:type="dxa"/>
          </w:tcPr>
          <w:p>
            <w:pPr>
              <w:pStyle w:val="TableParagraph"/>
              <w:spacing w:before="244"/>
              <w:ind w:left="50"/>
              <w:rPr>
                <w:sz w:val="36"/>
              </w:rPr>
            </w:pPr>
            <w:r>
              <w:rPr>
                <w:sz w:val="36"/>
              </w:rPr>
              <w:t>KG45</w:t>
            </w:r>
          </w:p>
        </w:tc>
        <w:tc>
          <w:tcPr>
            <w:tcW w:w="1420" w:type="dxa"/>
          </w:tcPr>
          <w:p>
            <w:pPr>
              <w:pStyle w:val="TableParagraph"/>
              <w:spacing w:before="244"/>
              <w:ind w:left="329" w:right="330"/>
              <w:jc w:val="center"/>
              <w:rPr>
                <w:sz w:val="36"/>
              </w:rPr>
            </w:pPr>
            <w:r>
              <w:rPr>
                <w:sz w:val="36"/>
              </w:rPr>
              <w:t>45</w:t>
            </w:r>
          </w:p>
        </w:tc>
        <w:tc>
          <w:tcPr>
            <w:tcW w:w="1332" w:type="dxa"/>
          </w:tcPr>
          <w:p>
            <w:pPr>
              <w:pStyle w:val="TableParagraph"/>
              <w:rPr>
                <w:rFonts w:ascii="Times New Roman"/>
                <w:sz w:val="36"/>
              </w:rPr>
            </w:pPr>
          </w:p>
        </w:tc>
        <w:tc>
          <w:tcPr>
            <w:tcW w:w="1506" w:type="dxa"/>
          </w:tcPr>
          <w:p>
            <w:pPr>
              <w:pStyle w:val="TableParagraph"/>
              <w:spacing w:before="244"/>
              <w:ind w:left="98"/>
              <w:jc w:val="center"/>
              <w:rPr>
                <w:sz w:val="36"/>
              </w:rPr>
            </w:pPr>
            <w:r>
              <w:rPr>
                <w:sz w:val="36"/>
              </w:rPr>
              <w:t>2</w:t>
            </w:r>
          </w:p>
        </w:tc>
        <w:tc>
          <w:tcPr>
            <w:tcW w:w="1609" w:type="dxa"/>
          </w:tcPr>
          <w:p>
            <w:pPr>
              <w:pStyle w:val="TableParagraph"/>
              <w:spacing w:before="244"/>
              <w:ind w:left="534"/>
              <w:rPr>
                <w:sz w:val="36"/>
              </w:rPr>
            </w:pPr>
            <w:r>
              <w:rPr>
                <w:sz w:val="36"/>
              </w:rPr>
              <w:t>62</w:t>
            </w:r>
          </w:p>
        </w:tc>
        <w:tc>
          <w:tcPr>
            <w:tcW w:w="1234" w:type="dxa"/>
          </w:tcPr>
          <w:p>
            <w:pPr>
              <w:pStyle w:val="TableParagraph"/>
              <w:spacing w:before="244"/>
              <w:ind w:left="148" w:right="325"/>
              <w:jc w:val="center"/>
              <w:rPr>
                <w:sz w:val="36"/>
              </w:rPr>
            </w:pPr>
            <w:r>
              <w:rPr>
                <w:sz w:val="36"/>
              </w:rPr>
              <w:t>41</w:t>
            </w:r>
          </w:p>
        </w:tc>
        <w:tc>
          <w:tcPr>
            <w:tcW w:w="1419" w:type="dxa"/>
          </w:tcPr>
          <w:p>
            <w:pPr>
              <w:pStyle w:val="TableParagraph"/>
              <w:spacing w:before="244"/>
              <w:ind w:left="329" w:right="324"/>
              <w:jc w:val="center"/>
              <w:rPr>
                <w:sz w:val="36"/>
              </w:rPr>
            </w:pPr>
            <w:r>
              <w:rPr>
                <w:sz w:val="36"/>
              </w:rPr>
              <w:t>58</w:t>
            </w:r>
          </w:p>
        </w:tc>
        <w:tc>
          <w:tcPr>
            <w:tcW w:w="1419" w:type="dxa"/>
          </w:tcPr>
          <w:p>
            <w:pPr>
              <w:pStyle w:val="TableParagraph"/>
              <w:rPr>
                <w:rFonts w:ascii="Times New Roman"/>
                <w:sz w:val="36"/>
              </w:rPr>
            </w:pPr>
          </w:p>
        </w:tc>
        <w:tc>
          <w:tcPr>
            <w:tcW w:w="1118" w:type="dxa"/>
          </w:tcPr>
          <w:p>
            <w:pPr>
              <w:pStyle w:val="TableParagraph"/>
              <w:rPr>
                <w:rFonts w:ascii="Times New Roman"/>
                <w:sz w:val="36"/>
              </w:rPr>
            </w:pPr>
          </w:p>
        </w:tc>
      </w:tr>
      <w:tr>
        <w:tblPrEx>
          <w:tblW w:w="0" w:type="auto"/>
          <w:jc w:val="left"/>
          <w:tblInd w:w="1289" w:type="dxa"/>
          <w:tblLayout w:type="fixed"/>
          <w:tblCellMar>
            <w:top w:w="0" w:type="dxa"/>
            <w:left w:w="0" w:type="dxa"/>
            <w:bottom w:w="0" w:type="dxa"/>
            <w:right w:w="0" w:type="dxa"/>
          </w:tblCellMar>
          <w:tblLook w:val="01E0"/>
        </w:tblPrEx>
        <w:trPr>
          <w:trHeight w:val="655"/>
          <w:jc w:val="left"/>
        </w:trPr>
        <w:tc>
          <w:tcPr>
            <w:tcW w:w="1119" w:type="dxa"/>
          </w:tcPr>
          <w:p>
            <w:pPr>
              <w:pStyle w:val="TableParagraph"/>
              <w:spacing w:before="245" w:line="391" w:lineRule="exact"/>
              <w:ind w:left="50"/>
              <w:rPr>
                <w:sz w:val="36"/>
              </w:rPr>
            </w:pPr>
            <w:r>
              <w:rPr>
                <w:sz w:val="36"/>
              </w:rPr>
              <w:t>KG48</w:t>
            </w:r>
          </w:p>
        </w:tc>
        <w:tc>
          <w:tcPr>
            <w:tcW w:w="1420" w:type="dxa"/>
          </w:tcPr>
          <w:p>
            <w:pPr>
              <w:pStyle w:val="TableParagraph"/>
              <w:spacing w:before="245" w:line="391" w:lineRule="exact"/>
              <w:ind w:left="329" w:right="330"/>
              <w:jc w:val="center"/>
              <w:rPr>
                <w:sz w:val="36"/>
              </w:rPr>
            </w:pPr>
            <w:r>
              <w:rPr>
                <w:sz w:val="36"/>
              </w:rPr>
              <w:t>48</w:t>
            </w:r>
          </w:p>
        </w:tc>
        <w:tc>
          <w:tcPr>
            <w:tcW w:w="1332" w:type="dxa"/>
          </w:tcPr>
          <w:p>
            <w:pPr>
              <w:pStyle w:val="TableParagraph"/>
              <w:rPr>
                <w:rFonts w:ascii="Times New Roman"/>
                <w:sz w:val="36"/>
              </w:rPr>
            </w:pPr>
          </w:p>
        </w:tc>
        <w:tc>
          <w:tcPr>
            <w:tcW w:w="1506" w:type="dxa"/>
          </w:tcPr>
          <w:p>
            <w:pPr>
              <w:pStyle w:val="TableParagraph"/>
              <w:spacing w:before="245" w:line="391" w:lineRule="exact"/>
              <w:ind w:left="98"/>
              <w:jc w:val="center"/>
              <w:rPr>
                <w:sz w:val="36"/>
              </w:rPr>
            </w:pPr>
            <w:r>
              <w:rPr>
                <w:sz w:val="36"/>
              </w:rPr>
              <w:t>2</w:t>
            </w:r>
          </w:p>
        </w:tc>
        <w:tc>
          <w:tcPr>
            <w:tcW w:w="1609" w:type="dxa"/>
          </w:tcPr>
          <w:p>
            <w:pPr>
              <w:pStyle w:val="TableParagraph"/>
              <w:spacing w:before="245" w:line="391" w:lineRule="exact"/>
              <w:ind w:left="534"/>
              <w:rPr>
                <w:sz w:val="36"/>
              </w:rPr>
            </w:pPr>
            <w:r>
              <w:rPr>
                <w:sz w:val="36"/>
              </w:rPr>
              <w:t>62</w:t>
            </w:r>
          </w:p>
        </w:tc>
        <w:tc>
          <w:tcPr>
            <w:tcW w:w="1234" w:type="dxa"/>
          </w:tcPr>
          <w:p>
            <w:pPr>
              <w:pStyle w:val="TableParagraph"/>
              <w:spacing w:before="245" w:line="391" w:lineRule="exact"/>
              <w:ind w:left="148" w:right="325"/>
              <w:jc w:val="center"/>
              <w:rPr>
                <w:sz w:val="36"/>
              </w:rPr>
            </w:pPr>
            <w:r>
              <w:rPr>
                <w:sz w:val="36"/>
              </w:rPr>
              <w:t>41</w:t>
            </w:r>
          </w:p>
        </w:tc>
        <w:tc>
          <w:tcPr>
            <w:tcW w:w="1419" w:type="dxa"/>
          </w:tcPr>
          <w:p>
            <w:pPr>
              <w:pStyle w:val="TableParagraph"/>
              <w:spacing w:before="245" w:line="391" w:lineRule="exact"/>
              <w:ind w:left="329" w:right="324"/>
              <w:jc w:val="center"/>
              <w:rPr>
                <w:sz w:val="36"/>
              </w:rPr>
            </w:pPr>
            <w:r>
              <w:rPr>
                <w:sz w:val="36"/>
              </w:rPr>
              <w:t>58</w:t>
            </w:r>
          </w:p>
        </w:tc>
        <w:tc>
          <w:tcPr>
            <w:tcW w:w="1419" w:type="dxa"/>
          </w:tcPr>
          <w:p>
            <w:pPr>
              <w:pStyle w:val="TableParagraph"/>
              <w:rPr>
                <w:rFonts w:ascii="Times New Roman"/>
                <w:sz w:val="36"/>
              </w:rPr>
            </w:pPr>
          </w:p>
        </w:tc>
        <w:tc>
          <w:tcPr>
            <w:tcW w:w="1118" w:type="dxa"/>
          </w:tcPr>
          <w:p>
            <w:pPr>
              <w:pStyle w:val="TableParagraph"/>
              <w:rPr>
                <w:rFonts w:ascii="Times New Roman"/>
                <w:sz w:val="36"/>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4"/>
        <w:ind w:left="816" w:right="894"/>
        <w:jc w:val="center"/>
      </w:pPr>
      <w:r>
        <w:drawing>
          <wp:anchor distT="0" distB="0" distL="0" distR="0" simplePos="0" relativeHeight="251660288" behindDoc="1" locked="0" layoutInCell="1" allowOverlap="1">
            <wp:simplePos x="0" y="0"/>
            <wp:positionH relativeFrom="page">
              <wp:posOffset>1600200</wp:posOffset>
            </wp:positionH>
            <wp:positionV relativeFrom="paragraph">
              <wp:posOffset>560578</wp:posOffset>
            </wp:positionV>
            <wp:extent cx="8145842" cy="1241488"/>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8145842" cy="1241488"/>
                    </a:xfrm>
                    <a:prstGeom prst="rect">
                      <a:avLst/>
                    </a:prstGeom>
                  </pic:spPr>
                </pic:pic>
              </a:graphicData>
            </a:graphic>
          </wp:anchor>
        </w:drawing>
      </w:r>
      <w:r>
        <w:t>表二空心抽油杆机械性能</w:t>
      </w:r>
    </w:p>
    <w:p>
      <w:pPr>
        <w:pStyle w:val="BodyText"/>
        <w:rPr>
          <w:sz w:val="20"/>
        </w:rPr>
      </w:pPr>
    </w:p>
    <w:p>
      <w:pPr>
        <w:pStyle w:val="BodyText"/>
        <w:spacing w:before="2"/>
        <w:rPr>
          <w:sz w:val="22"/>
        </w:rPr>
      </w:pPr>
    </w:p>
    <w:tbl>
      <w:tblPr>
        <w:tblStyle w:val="TableNormal0"/>
        <w:tblW w:w="0" w:type="auto"/>
        <w:jc w:val="left"/>
        <w:tblInd w:w="1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4"/>
        <w:gridCol w:w="1831"/>
        <w:gridCol w:w="1838"/>
        <w:gridCol w:w="1669"/>
        <w:gridCol w:w="2205"/>
        <w:gridCol w:w="1953"/>
        <w:gridCol w:w="1085"/>
      </w:tblGrid>
      <w:tr>
        <w:tblPrEx>
          <w:tblW w:w="0" w:type="auto"/>
          <w:jc w:val="left"/>
          <w:tblInd w:w="1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1"/>
          <w:jc w:val="left"/>
        </w:trPr>
        <w:tc>
          <w:tcPr>
            <w:tcW w:w="1684" w:type="dxa"/>
          </w:tcPr>
          <w:p>
            <w:pPr>
              <w:pStyle w:val="TableParagraph"/>
              <w:spacing w:before="7"/>
              <w:rPr>
                <w:sz w:val="32"/>
              </w:rPr>
            </w:pPr>
          </w:p>
          <w:p>
            <w:pPr>
              <w:pStyle w:val="TableParagraph"/>
              <w:spacing w:line="445" w:lineRule="exact"/>
              <w:ind w:left="50"/>
              <w:rPr>
                <w:sz w:val="36"/>
              </w:rPr>
            </w:pPr>
            <w:r>
              <w:rPr>
                <w:sz w:val="36"/>
              </w:rPr>
              <w:t>强度级别</w:t>
            </w:r>
          </w:p>
        </w:tc>
        <w:tc>
          <w:tcPr>
            <w:tcW w:w="1831" w:type="dxa"/>
          </w:tcPr>
          <w:p>
            <w:pPr>
              <w:pStyle w:val="TableParagraph"/>
              <w:spacing w:line="411" w:lineRule="exact"/>
              <w:ind w:left="175" w:right="176"/>
              <w:jc w:val="center"/>
              <w:rPr>
                <w:sz w:val="36"/>
              </w:rPr>
            </w:pPr>
            <w:r>
              <w:rPr>
                <w:sz w:val="36"/>
              </w:rPr>
              <w:t>屈服强度</w:t>
            </w:r>
          </w:p>
        </w:tc>
        <w:tc>
          <w:tcPr>
            <w:tcW w:w="1838" w:type="dxa"/>
          </w:tcPr>
          <w:p>
            <w:pPr>
              <w:pStyle w:val="TableParagraph"/>
              <w:spacing w:line="411" w:lineRule="exact"/>
              <w:ind w:left="178" w:right="180"/>
              <w:jc w:val="center"/>
              <w:rPr>
                <w:sz w:val="36"/>
              </w:rPr>
            </w:pPr>
            <w:r>
              <w:rPr>
                <w:sz w:val="36"/>
              </w:rPr>
              <w:t>抗拉强度</w:t>
            </w:r>
          </w:p>
        </w:tc>
        <w:tc>
          <w:tcPr>
            <w:tcW w:w="1669" w:type="dxa"/>
          </w:tcPr>
          <w:p>
            <w:pPr>
              <w:pStyle w:val="TableParagraph"/>
              <w:spacing w:line="411" w:lineRule="exact"/>
              <w:ind w:left="183" w:right="185"/>
              <w:jc w:val="center"/>
              <w:rPr>
                <w:sz w:val="36"/>
              </w:rPr>
            </w:pPr>
            <w:r>
              <w:rPr>
                <w:sz w:val="36"/>
              </w:rPr>
              <w:t>延伸率</w:t>
            </w:r>
          </w:p>
        </w:tc>
        <w:tc>
          <w:tcPr>
            <w:tcW w:w="2205" w:type="dxa"/>
          </w:tcPr>
          <w:p>
            <w:pPr>
              <w:pStyle w:val="TableParagraph"/>
              <w:spacing w:line="411" w:lineRule="exact"/>
              <w:ind w:left="187" w:right="177"/>
              <w:jc w:val="center"/>
              <w:rPr>
                <w:sz w:val="36"/>
              </w:rPr>
            </w:pPr>
            <w:r>
              <w:rPr>
                <w:sz w:val="36"/>
              </w:rPr>
              <w:t>断面收缩率</w:t>
            </w:r>
          </w:p>
        </w:tc>
        <w:tc>
          <w:tcPr>
            <w:tcW w:w="1953" w:type="dxa"/>
          </w:tcPr>
          <w:p>
            <w:pPr>
              <w:pStyle w:val="TableParagraph"/>
              <w:spacing w:line="411" w:lineRule="exact"/>
              <w:ind w:left="180" w:right="293"/>
              <w:jc w:val="center"/>
              <w:rPr>
                <w:sz w:val="36"/>
              </w:rPr>
            </w:pPr>
            <w:r>
              <w:rPr>
                <w:sz w:val="36"/>
              </w:rPr>
              <w:t>冲击韧性</w:t>
            </w:r>
          </w:p>
        </w:tc>
        <w:tc>
          <w:tcPr>
            <w:tcW w:w="1085" w:type="dxa"/>
          </w:tcPr>
          <w:p>
            <w:pPr>
              <w:pStyle w:val="TableParagraph"/>
              <w:spacing w:line="411" w:lineRule="exact"/>
              <w:ind w:left="296" w:right="28"/>
              <w:jc w:val="center"/>
              <w:rPr>
                <w:sz w:val="36"/>
              </w:rPr>
            </w:pPr>
            <w:r>
              <w:rPr>
                <w:sz w:val="36"/>
              </w:rPr>
              <w:t>硬度</w:t>
            </w:r>
          </w:p>
        </w:tc>
      </w:tr>
      <w:tr>
        <w:tblPrEx>
          <w:tblW w:w="0" w:type="auto"/>
          <w:jc w:val="left"/>
          <w:tblInd w:w="1119" w:type="dxa"/>
          <w:tblLayout w:type="fixed"/>
          <w:tblCellMar>
            <w:top w:w="0" w:type="dxa"/>
            <w:left w:w="0" w:type="dxa"/>
            <w:bottom w:w="0" w:type="dxa"/>
            <w:right w:w="0" w:type="dxa"/>
          </w:tblCellMar>
          <w:tblLook w:val="01E0"/>
        </w:tblPrEx>
        <w:trPr>
          <w:trHeight w:val="413"/>
          <w:jc w:val="left"/>
        </w:trPr>
        <w:tc>
          <w:tcPr>
            <w:tcW w:w="1684" w:type="dxa"/>
          </w:tcPr>
          <w:p>
            <w:pPr>
              <w:pStyle w:val="TableParagraph"/>
              <w:rPr>
                <w:rFonts w:ascii="Times New Roman"/>
                <w:sz w:val="32"/>
              </w:rPr>
            </w:pPr>
          </w:p>
        </w:tc>
        <w:tc>
          <w:tcPr>
            <w:tcW w:w="1831" w:type="dxa"/>
          </w:tcPr>
          <w:p>
            <w:pPr>
              <w:pStyle w:val="TableParagraph"/>
              <w:spacing w:before="3" w:line="391" w:lineRule="exact"/>
              <w:ind w:left="175" w:right="176"/>
              <w:jc w:val="center"/>
              <w:rPr>
                <w:sz w:val="36"/>
              </w:rPr>
            </w:pPr>
            <w:r>
              <w:rPr>
                <w:sz w:val="36"/>
              </w:rPr>
              <w:t>δs(Ma)</w:t>
            </w:r>
          </w:p>
        </w:tc>
        <w:tc>
          <w:tcPr>
            <w:tcW w:w="1838" w:type="dxa"/>
          </w:tcPr>
          <w:p>
            <w:pPr>
              <w:pStyle w:val="TableParagraph"/>
              <w:spacing w:before="3" w:line="391" w:lineRule="exact"/>
              <w:ind w:left="178" w:right="180"/>
              <w:jc w:val="center"/>
              <w:rPr>
                <w:sz w:val="36"/>
              </w:rPr>
            </w:pPr>
            <w:r>
              <w:rPr>
                <w:sz w:val="36"/>
              </w:rPr>
              <w:t>δb(Ma)</w:t>
            </w:r>
          </w:p>
        </w:tc>
        <w:tc>
          <w:tcPr>
            <w:tcW w:w="1669" w:type="dxa"/>
          </w:tcPr>
          <w:p>
            <w:pPr>
              <w:pStyle w:val="TableParagraph"/>
              <w:spacing w:before="3" w:line="391" w:lineRule="exact"/>
              <w:ind w:left="183" w:right="185"/>
              <w:jc w:val="center"/>
              <w:rPr>
                <w:sz w:val="36"/>
              </w:rPr>
            </w:pPr>
            <w:r>
              <w:rPr>
                <w:sz w:val="36"/>
              </w:rPr>
              <w:t>δ (﹪)</w:t>
            </w:r>
          </w:p>
        </w:tc>
        <w:tc>
          <w:tcPr>
            <w:tcW w:w="2205" w:type="dxa"/>
          </w:tcPr>
          <w:p>
            <w:pPr>
              <w:pStyle w:val="TableParagraph"/>
              <w:spacing w:before="3" w:line="391" w:lineRule="exact"/>
              <w:ind w:left="187" w:right="177"/>
              <w:jc w:val="center"/>
              <w:rPr>
                <w:sz w:val="36"/>
              </w:rPr>
            </w:pPr>
            <w:r>
              <w:rPr>
                <w:sz w:val="36"/>
              </w:rPr>
              <w:t>Ψ(﹪)</w:t>
            </w:r>
          </w:p>
        </w:tc>
        <w:tc>
          <w:tcPr>
            <w:tcW w:w="1953" w:type="dxa"/>
          </w:tcPr>
          <w:p>
            <w:pPr>
              <w:pStyle w:val="TableParagraph"/>
              <w:spacing w:before="3" w:line="391" w:lineRule="exact"/>
              <w:ind w:left="180" w:right="293"/>
              <w:jc w:val="center"/>
              <w:rPr>
                <w:sz w:val="36"/>
              </w:rPr>
            </w:pPr>
            <w:r>
              <w:rPr>
                <w:sz w:val="36"/>
              </w:rPr>
              <w:t>ak(J)</w:t>
            </w:r>
          </w:p>
        </w:tc>
        <w:tc>
          <w:tcPr>
            <w:tcW w:w="1085" w:type="dxa"/>
          </w:tcPr>
          <w:p>
            <w:pPr>
              <w:pStyle w:val="TableParagraph"/>
              <w:spacing w:before="3" w:line="391" w:lineRule="exact"/>
              <w:ind w:left="296" w:right="28"/>
              <w:jc w:val="center"/>
              <w:rPr>
                <w:sz w:val="36"/>
              </w:rPr>
            </w:pPr>
            <w:r>
              <w:rPr>
                <w:sz w:val="36"/>
              </w:rPr>
              <w:t>HB</w:t>
            </w:r>
          </w:p>
        </w:tc>
      </w:tr>
    </w:tbl>
    <w:p>
      <w:pPr>
        <w:spacing w:after="0" w:line="391" w:lineRule="exact"/>
        <w:jc w:val="center"/>
        <w:rPr>
          <w:sz w:val="36"/>
        </w:rPr>
        <w:sectPr>
          <w:pgSz w:w="17860" w:h="25260"/>
          <w:pgMar w:top="1940" w:right="1480" w:bottom="280" w:left="1560" w:header="708" w:footer="708"/>
          <w:pgNumType w:start="7"/>
          <w:cols w:space="708"/>
        </w:sectPr>
      </w:pPr>
    </w:p>
    <w:p>
      <w:pPr>
        <w:pStyle w:val="BodyText"/>
        <w:spacing w:before="8"/>
        <w:rPr>
          <w:sz w:val="23"/>
        </w:rPr>
      </w:pPr>
    </w:p>
    <w:tbl>
      <w:tblPr>
        <w:tblStyle w:val="TableNormal1"/>
        <w:tblW w:w="0" w:type="auto"/>
        <w:jc w:val="left"/>
        <w:tblInd w:w="1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13"/>
        <w:gridCol w:w="1765"/>
        <w:gridCol w:w="2109"/>
        <w:gridCol w:w="1670"/>
        <w:gridCol w:w="2702"/>
        <w:gridCol w:w="2680"/>
      </w:tblGrid>
      <w:tr>
        <w:tblPrEx>
          <w:tblW w:w="0" w:type="auto"/>
          <w:jc w:val="left"/>
          <w:tblInd w:w="1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5"/>
          <w:jc w:val="left"/>
        </w:trPr>
        <w:tc>
          <w:tcPr>
            <w:tcW w:w="1213" w:type="dxa"/>
          </w:tcPr>
          <w:p>
            <w:pPr>
              <w:pStyle w:val="TableParagraph"/>
              <w:spacing w:line="411" w:lineRule="exact"/>
              <w:ind w:right="482"/>
              <w:jc w:val="center"/>
              <w:rPr>
                <w:sz w:val="36"/>
              </w:rPr>
            </w:pPr>
            <w:r>
              <w:rPr>
                <w:sz w:val="36"/>
              </w:rPr>
              <w:t>D 级</w:t>
            </w:r>
          </w:p>
        </w:tc>
        <w:tc>
          <w:tcPr>
            <w:tcW w:w="1765" w:type="dxa"/>
          </w:tcPr>
          <w:p>
            <w:pPr>
              <w:pStyle w:val="TableParagraph"/>
              <w:spacing w:line="411" w:lineRule="exact"/>
              <w:ind w:right="330"/>
              <w:jc w:val="right"/>
              <w:rPr>
                <w:sz w:val="36"/>
              </w:rPr>
            </w:pPr>
            <w:r>
              <w:rPr>
                <w:sz w:val="36"/>
              </w:rPr>
              <w:t>≥620</w:t>
            </w:r>
          </w:p>
        </w:tc>
        <w:tc>
          <w:tcPr>
            <w:tcW w:w="2109" w:type="dxa"/>
          </w:tcPr>
          <w:p>
            <w:pPr>
              <w:pStyle w:val="TableParagraph"/>
              <w:spacing w:line="411" w:lineRule="exact"/>
              <w:ind w:left="312" w:right="317"/>
              <w:jc w:val="center"/>
              <w:rPr>
                <w:sz w:val="36"/>
              </w:rPr>
            </w:pPr>
            <w:r>
              <w:rPr>
                <w:sz w:val="36"/>
              </w:rPr>
              <w:t>793-965</w:t>
            </w:r>
          </w:p>
        </w:tc>
        <w:tc>
          <w:tcPr>
            <w:tcW w:w="1670" w:type="dxa"/>
          </w:tcPr>
          <w:p>
            <w:pPr>
              <w:pStyle w:val="TableParagraph"/>
              <w:spacing w:line="411" w:lineRule="exact"/>
              <w:ind w:left="335"/>
              <w:rPr>
                <w:sz w:val="36"/>
              </w:rPr>
            </w:pPr>
            <w:r>
              <w:rPr>
                <w:sz w:val="36"/>
              </w:rPr>
              <w:t>≥10</w:t>
            </w:r>
          </w:p>
        </w:tc>
        <w:tc>
          <w:tcPr>
            <w:tcW w:w="2702" w:type="dxa"/>
          </w:tcPr>
          <w:p>
            <w:pPr>
              <w:pStyle w:val="TableParagraph"/>
              <w:spacing w:line="411" w:lineRule="exact"/>
              <w:ind w:left="609"/>
              <w:rPr>
                <w:sz w:val="36"/>
              </w:rPr>
            </w:pPr>
            <w:r>
              <w:rPr>
                <w:sz w:val="36"/>
              </w:rPr>
              <w:t>≥46</w:t>
            </w:r>
          </w:p>
        </w:tc>
        <w:tc>
          <w:tcPr>
            <w:tcW w:w="2680" w:type="dxa"/>
          </w:tcPr>
          <w:p>
            <w:pPr>
              <w:pStyle w:val="TableParagraph"/>
              <w:spacing w:line="411" w:lineRule="exact"/>
              <w:ind w:right="53"/>
              <w:jc w:val="right"/>
              <w:rPr>
                <w:sz w:val="36"/>
              </w:rPr>
            </w:pPr>
            <w:r>
              <w:rPr>
                <w:sz w:val="36"/>
              </w:rPr>
              <w:t>237-291</w:t>
            </w:r>
          </w:p>
        </w:tc>
      </w:tr>
      <w:tr>
        <w:tblPrEx>
          <w:tblW w:w="0" w:type="auto"/>
          <w:jc w:val="left"/>
          <w:tblInd w:w="1522" w:type="dxa"/>
          <w:tblLayout w:type="fixed"/>
          <w:tblCellMar>
            <w:top w:w="0" w:type="dxa"/>
            <w:left w:w="0" w:type="dxa"/>
            <w:bottom w:w="0" w:type="dxa"/>
            <w:right w:w="0" w:type="dxa"/>
          </w:tblCellMar>
          <w:tblLook w:val="01E0"/>
        </w:tblPrEx>
        <w:trPr>
          <w:trHeight w:val="655"/>
          <w:jc w:val="left"/>
        </w:trPr>
        <w:tc>
          <w:tcPr>
            <w:tcW w:w="1213" w:type="dxa"/>
          </w:tcPr>
          <w:p>
            <w:pPr>
              <w:pStyle w:val="TableParagraph"/>
              <w:spacing w:before="244" w:line="391" w:lineRule="exact"/>
              <w:ind w:right="477"/>
              <w:jc w:val="center"/>
              <w:rPr>
                <w:sz w:val="36"/>
              </w:rPr>
            </w:pPr>
            <w:r>
              <w:rPr>
                <w:sz w:val="36"/>
              </w:rPr>
              <w:t>HL</w:t>
            </w:r>
          </w:p>
        </w:tc>
        <w:tc>
          <w:tcPr>
            <w:tcW w:w="1765" w:type="dxa"/>
          </w:tcPr>
          <w:p>
            <w:pPr>
              <w:pStyle w:val="TableParagraph"/>
              <w:spacing w:before="244" w:line="391" w:lineRule="exact"/>
              <w:ind w:right="330"/>
              <w:jc w:val="right"/>
              <w:rPr>
                <w:sz w:val="36"/>
              </w:rPr>
            </w:pPr>
            <w:r>
              <w:rPr>
                <w:sz w:val="36"/>
              </w:rPr>
              <w:t>≥620</w:t>
            </w:r>
          </w:p>
        </w:tc>
        <w:tc>
          <w:tcPr>
            <w:tcW w:w="2109" w:type="dxa"/>
          </w:tcPr>
          <w:p>
            <w:pPr>
              <w:pStyle w:val="TableParagraph"/>
              <w:spacing w:before="244" w:line="391" w:lineRule="exact"/>
              <w:ind w:left="312" w:right="317"/>
              <w:jc w:val="center"/>
              <w:rPr>
                <w:sz w:val="36"/>
              </w:rPr>
            </w:pPr>
            <w:r>
              <w:rPr>
                <w:sz w:val="36"/>
              </w:rPr>
              <w:t>965-1195</w:t>
            </w:r>
          </w:p>
        </w:tc>
        <w:tc>
          <w:tcPr>
            <w:tcW w:w="1670" w:type="dxa"/>
          </w:tcPr>
          <w:p>
            <w:pPr>
              <w:pStyle w:val="TableParagraph"/>
              <w:spacing w:before="244" w:line="391" w:lineRule="exact"/>
              <w:ind w:left="335"/>
              <w:rPr>
                <w:sz w:val="36"/>
              </w:rPr>
            </w:pPr>
            <w:r>
              <w:rPr>
                <w:sz w:val="36"/>
              </w:rPr>
              <w:t>≥10</w:t>
            </w:r>
          </w:p>
        </w:tc>
        <w:tc>
          <w:tcPr>
            <w:tcW w:w="2702" w:type="dxa"/>
          </w:tcPr>
          <w:p>
            <w:pPr>
              <w:pStyle w:val="TableParagraph"/>
              <w:spacing w:before="244" w:line="391" w:lineRule="exact"/>
              <w:ind w:left="609"/>
              <w:rPr>
                <w:sz w:val="36"/>
              </w:rPr>
            </w:pPr>
            <w:r>
              <w:rPr>
                <w:sz w:val="36"/>
              </w:rPr>
              <w:t>≥46</w:t>
            </w:r>
          </w:p>
        </w:tc>
        <w:tc>
          <w:tcPr>
            <w:tcW w:w="2680" w:type="dxa"/>
          </w:tcPr>
          <w:p>
            <w:pPr>
              <w:pStyle w:val="TableParagraph"/>
              <w:spacing w:before="244" w:line="391" w:lineRule="exact"/>
              <w:ind w:right="53"/>
              <w:jc w:val="right"/>
              <w:rPr>
                <w:sz w:val="36"/>
              </w:rPr>
            </w:pPr>
            <w:r>
              <w:rPr>
                <w:sz w:val="36"/>
              </w:rPr>
              <w:t>291-356</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p>
    <w:p>
      <w:pPr>
        <w:pStyle w:val="Heading2"/>
        <w:spacing w:before="42"/>
      </w:pPr>
      <w:r>
        <w:drawing>
          <wp:anchor distT="0" distB="0" distL="0" distR="0" simplePos="0" relativeHeight="251661312" behindDoc="1" locked="0" layoutInCell="1" allowOverlap="1">
            <wp:simplePos x="0" y="0"/>
            <wp:positionH relativeFrom="page">
              <wp:posOffset>1600200</wp:posOffset>
            </wp:positionH>
            <wp:positionV relativeFrom="paragraph">
              <wp:posOffset>-2472182</wp:posOffset>
            </wp:positionV>
            <wp:extent cx="8145842" cy="1241488"/>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8145842" cy="1241488"/>
                    </a:xfrm>
                    <a:prstGeom prst="rect">
                      <a:avLst/>
                    </a:prstGeom>
                  </pic:spPr>
                </pic:pic>
              </a:graphicData>
            </a:graphic>
          </wp:anchor>
        </w:drawing>
      </w:r>
      <w:r>
        <w:t>、空心抽油杆光杆：</w:t>
      </w:r>
    </w:p>
    <w:p>
      <w:pPr>
        <w:pStyle w:val="BodyText"/>
        <w:spacing w:before="2"/>
        <w:rPr>
          <w:b/>
          <w:sz w:val="38"/>
        </w:rPr>
      </w:pPr>
    </w:p>
    <w:p>
      <w:pPr>
        <w:pStyle w:val="BodyText"/>
        <w:ind w:left="1144"/>
      </w:pPr>
      <w:r>
        <w:t>空心抽油光杆的性能指标和空心抽油杆相同。</w:t>
      </w:r>
    </w:p>
    <w:p>
      <w:pPr>
        <w:pStyle w:val="BodyText"/>
        <w:spacing w:before="2"/>
        <w:rPr>
          <w:sz w:val="37"/>
        </w:rPr>
      </w:pPr>
    </w:p>
    <w:p>
      <w:pPr>
        <w:pStyle w:val="BodyText"/>
        <w:spacing w:line="487" w:lineRule="auto"/>
        <w:ind w:left="1144" w:right="4313"/>
      </w:pPr>
      <w:r>
        <w:t>主要规格有：Φ36×、Φ36×、Φ38×、Φ42×、Φ45×、Φ48×</w:t>
      </w:r>
    </w:p>
    <w:p>
      <w:pPr>
        <w:pStyle w:val="Heading2"/>
        <w:spacing w:line="446" w:lineRule="exact"/>
      </w:pPr>
      <w:r>
        <w:t>、空心抽油杆配套用途：</w:t>
      </w:r>
    </w:p>
    <w:p>
      <w:pPr>
        <w:pStyle w:val="BodyText"/>
        <w:spacing w:before="2"/>
        <w:rPr>
          <w:b/>
          <w:sz w:val="38"/>
        </w:rPr>
      </w:pPr>
    </w:p>
    <w:p>
      <w:pPr>
        <w:pStyle w:val="BodyText"/>
        <w:ind w:left="1504"/>
      </w:pPr>
      <w:r>
        <w:t>空心抽油杆可配套用于：⑴ 空心抽油杆注入热载体采油装置</w:t>
      </w:r>
    </w:p>
    <w:p>
      <w:pPr>
        <w:pStyle w:val="BodyText"/>
        <w:rPr>
          <w:sz w:val="37"/>
        </w:rPr>
      </w:pPr>
    </w:p>
    <w:p>
      <w:pPr>
        <w:pStyle w:val="BodyText"/>
        <w:spacing w:before="1"/>
        <w:ind w:left="5465"/>
      </w:pPr>
      <w:r>
        <w:t>⑵ 空心抽油杆电加热装置</w:t>
      </w:r>
    </w:p>
    <w:p>
      <w:pPr>
        <w:pStyle w:val="BodyText"/>
        <w:rPr>
          <w:sz w:val="37"/>
        </w:rPr>
      </w:pPr>
    </w:p>
    <w:p>
      <w:pPr>
        <w:pStyle w:val="BodyText"/>
        <w:ind w:left="5465"/>
      </w:pPr>
      <w:r>
        <w:t>⑶ 空心抽油杆过泵电加热装置</w:t>
      </w:r>
    </w:p>
    <w:p>
      <w:pPr>
        <w:spacing w:after="0"/>
        <w:sectPr>
          <w:pgSz w:w="17860" w:h="25260"/>
          <w:pgMar w:top="1740" w:right="1480" w:bottom="280" w:left="1560" w:header="708" w:footer="708"/>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7"/>
        </w:rPr>
      </w:pPr>
    </w:p>
    <w:p>
      <w:pPr>
        <w:pStyle w:val="Heading2"/>
        <w:spacing w:before="42"/>
      </w:pPr>
      <w:r>
        <w:t>二、空心抽油杆注入热载体采油装置：</w:t>
      </w:r>
    </w:p>
    <w:p>
      <w:pPr>
        <w:pStyle w:val="BodyText"/>
        <w:spacing w:before="2"/>
        <w:rPr>
          <w:b/>
          <w:sz w:val="38"/>
        </w:rPr>
      </w:pPr>
    </w:p>
    <w:p>
      <w:pPr>
        <w:pStyle w:val="BodyText"/>
        <w:ind w:left="1144"/>
      </w:pPr>
      <w:r>
        <w:t>2..一、装置用途及特点：</w:t>
      </w:r>
    </w:p>
    <w:p>
      <w:pPr>
        <w:pStyle w:val="BodyText"/>
        <w:spacing w:before="1"/>
        <w:rPr>
          <w:sz w:val="37"/>
        </w:rPr>
      </w:pPr>
    </w:p>
    <w:p>
      <w:pPr>
        <w:pStyle w:val="BodyText"/>
        <w:spacing w:line="487" w:lineRule="auto"/>
        <w:ind w:left="1144" w:right="1253" w:firstLine="539"/>
      </w:pPr>
      <w:r>
        <w:t>空心抽油杆注入热载体采油装置时为了有效开采高凝、高粘、高含蜡原油而研制的专用装置。该装置有以下主要特点：</w:t>
      </w:r>
    </w:p>
    <w:p>
      <w:pPr>
        <w:pStyle w:val="BodyText"/>
        <w:spacing w:line="461" w:lineRule="exact"/>
        <w:ind w:left="1144"/>
      </w:pPr>
      <w:r>
        <w:t>a、不干扰、不污染油层，热效果好。</w:t>
      </w:r>
    </w:p>
    <w:p>
      <w:pPr>
        <w:pStyle w:val="BodyText"/>
        <w:spacing w:before="1"/>
        <w:rPr>
          <w:sz w:val="37"/>
        </w:rPr>
      </w:pPr>
    </w:p>
    <w:p>
      <w:pPr>
        <w:pStyle w:val="BodyText"/>
        <w:spacing w:line="487" w:lineRule="auto"/>
        <w:ind w:left="1144" w:right="2333"/>
      </w:pPr>
      <w:r>
        <w:t>b、在不断井条件下可按照需要随时进行洗井作业，不需要回抽洗井液。c、工艺简单，利用方便，节约效果明显。</w:t>
      </w:r>
    </w:p>
    <w:p>
      <w:pPr>
        <w:pStyle w:val="BodyText"/>
        <w:spacing w:line="461" w:lineRule="exact"/>
        <w:ind w:left="1144"/>
      </w:pPr>
      <w:r>
        <w:t>d、可增加柱塞有效行程，提高泵效，延长检泵周期。</w:t>
      </w:r>
    </w:p>
    <w:p>
      <w:pPr>
        <w:pStyle w:val="BodyText"/>
        <w:spacing w:before="1"/>
        <w:rPr>
          <w:sz w:val="37"/>
        </w:rPr>
      </w:pPr>
    </w:p>
    <w:p>
      <w:pPr>
        <w:pStyle w:val="BodyText"/>
        <w:spacing w:line="487" w:lineRule="auto"/>
        <w:ind w:left="1144" w:right="1253"/>
      </w:pPr>
      <w:r>
        <w:t>e、适用范围广，既能够注入热载体，又能够注入化学降粘剂，同时还能够进行井下测试等。</w:t>
      </w:r>
    </w:p>
    <w:p>
      <w:pPr>
        <w:pStyle w:val="BodyText"/>
        <w:spacing w:line="461" w:lineRule="exact"/>
        <w:ind w:left="1144"/>
      </w:pPr>
      <w:r>
        <w:t>f、注入量大，具有高效携砂的性能。</w:t>
      </w:r>
    </w:p>
    <w:p>
      <w:pPr>
        <w:pStyle w:val="BodyText"/>
        <w:spacing w:before="1"/>
        <w:rPr>
          <w:sz w:val="37"/>
        </w:rPr>
      </w:pPr>
    </w:p>
    <w:p>
      <w:pPr>
        <w:pStyle w:val="BodyText"/>
        <w:spacing w:line="487" w:lineRule="auto"/>
        <w:ind w:left="1144" w:right="9713"/>
      </w:pPr>
      <w:r>
        <w:t>、装置结构与工作原理： a、装置的主要工作原理</w:t>
      </w:r>
    </w:p>
    <w:p>
      <w:pPr>
        <w:pStyle w:val="BodyText"/>
        <w:spacing w:line="487" w:lineRule="auto"/>
        <w:ind w:left="1144" w:right="1073" w:firstLine="359"/>
      </w:pPr>
      <w:r>
        <w:t>空心抽油杆注入热载体采油装置是利用在井筒油管内形成的正循环系统，以持续或中断方式通过空心抽油杆内腔，向井内注入热载体（热水、热油、蒸汽）或化学药剂等来提高井筒温度，降低原油粘度，消除井筒结蜡，使油井能正常生产</w:t>
      </w:r>
    </w:p>
    <w:p>
      <w:pPr>
        <w:pStyle w:val="BodyText"/>
        <w:ind w:left="1144"/>
      </w:pPr>
      <w:r>
        <w:t>（注：注入热油时，热油要求用过滤、脱胶质、脱蜡的热稀油</w:t>
      </w:r>
      <w:r>
        <w:rPr>
          <w:spacing w:val="-180"/>
        </w:rPr>
        <w:t>）</w:t>
      </w:r>
      <w:r>
        <w:t>。</w:t>
      </w:r>
    </w:p>
    <w:p>
      <w:pPr>
        <w:pStyle w:val="BodyText"/>
        <w:rPr>
          <w:sz w:val="37"/>
        </w:rPr>
      </w:pPr>
    </w:p>
    <w:p>
      <w:pPr>
        <w:pStyle w:val="BodyText"/>
        <w:ind w:left="1684"/>
      </w:pPr>
      <w:r>
        <w:t>空心抽油杆内的热载体由地面掺水流程，通过掺水立管、软管、悬接器、空</w:t>
      </w:r>
    </w:p>
    <w:p>
      <w:pPr>
        <w:spacing w:after="0"/>
        <w:sectPr>
          <w:pgSz w:w="17860" w:h="25260"/>
          <w:pgMar w:top="2420" w:right="1480" w:bottom="280" w:left="1560" w:header="708" w:footer="708"/>
          <w:pgNumType w:start="9"/>
          <w:cols w:space="708"/>
        </w:sectPr>
      </w:pPr>
    </w:p>
    <w:p>
      <w:pPr>
        <w:pStyle w:val="BodyText"/>
        <w:spacing w:before="37" w:line="487" w:lineRule="auto"/>
        <w:ind w:left="1144" w:right="1224"/>
      </w:pPr>
      <w:r>
        <w:pict>
          <v:group id="_x0000_s1032" style="width:532pt;height:414.15pt;margin-top:58.89pt;margin-left:173.47pt;mso-position-horizontal-relative:page;position:absolute;z-index:-251652096" coordorigin="3469,1178" coordsize="10640,8283">
            <v:shape id="_x0000_s1033" type="#_x0000_t75" style="width:10640;height:8283;left:3469;position:absolute;top:1177" stroked="f">
              <v:imagedata r:id="rId15" o:title=""/>
            </v:shape>
            <v:line id="_x0000_s1034" style="position:absolute" from="6124,7225" to="7437,7225" stroked="t" strokecolor="black" strokeweight="1.08pt">
              <v:stroke dashstyle="solid"/>
            </v:line>
            <v:line id="_x0000_s1035" style="position:absolute" from="5886,7903" to="7574,7903" stroked="t" strokecolor="black" strokeweight="1.8pt">
              <v:stroke dashstyle="solid"/>
            </v:line>
          </v:group>
        </w:pict>
      </w:r>
      <w:r>
        <w:pict>
          <v:line id="_x0000_s1036" style="mso-position-horizontal-relative:page;position:absolute;z-index:-251651072" from="172.4pt,43.05pt" to="724.2pt,43.05pt" stroked="t" strokecolor="black" strokeweight="1.44pt">
            <v:stroke dashstyle="solid"/>
          </v:line>
        </w:pict>
      </w:r>
      <w:r>
        <w:rPr>
          <w:spacing w:val="-14"/>
        </w:rPr>
        <w:t>心光杆、空心抽油杆、单向掺水阀进入油管与空心抽油杆的环空中，在油管内与</w:t>
      </w:r>
      <w:r>
        <w:t>原油混合上返进入地面采输系统。</w:t>
      </w:r>
    </w:p>
    <w:p>
      <w:pPr>
        <w:pStyle w:val="BodyText"/>
      </w:pPr>
    </w:p>
    <w:p>
      <w:pPr>
        <w:pStyle w:val="BodyText"/>
      </w:pPr>
    </w:p>
    <w:p>
      <w:pPr>
        <w:pStyle w:val="BodyText"/>
      </w:pPr>
    </w:p>
    <w:p>
      <w:pPr>
        <w:pStyle w:val="BodyText"/>
        <w:spacing w:before="1"/>
        <w:rPr>
          <w:sz w:val="38"/>
        </w:rPr>
      </w:pPr>
    </w:p>
    <w:p>
      <w:pPr>
        <w:pStyle w:val="BodyText"/>
        <w:ind w:left="1144"/>
      </w:pPr>
      <w:r>
        <w:t>b、装置结构见下图：</w:t>
      </w:r>
    </w:p>
    <w:p>
      <w:pPr>
        <w:pStyle w:val="BodyText"/>
        <w:rPr>
          <w:sz w:val="20"/>
        </w:rPr>
      </w:pPr>
    </w:p>
    <w:p>
      <w:pPr>
        <w:pStyle w:val="BodyText"/>
        <w:rPr>
          <w:sz w:val="20"/>
        </w:rPr>
      </w:pPr>
    </w:p>
    <w:p>
      <w:pPr>
        <w:pStyle w:val="BodyText"/>
        <w:spacing w:before="11"/>
        <w:rPr>
          <w:sz w:val="19"/>
        </w:rPr>
      </w:pPr>
    </w:p>
    <w:p>
      <w:pPr>
        <w:spacing w:before="68"/>
        <w:ind w:left="0" w:right="2274" w:firstLine="0"/>
        <w:jc w:val="right"/>
        <w:rPr>
          <w:rFonts w:ascii="Times New Roman" w:eastAsia="Times New Roman"/>
          <w:sz w:val="12"/>
        </w:rPr>
      </w:pPr>
      <w:r>
        <w:rPr>
          <w:color w:val="59595B"/>
          <w:w w:val="105"/>
          <w:sz w:val="23"/>
        </w:rPr>
        <w:t>掺入立</w:t>
      </w:r>
      <w:r>
        <w:rPr>
          <w:rFonts w:ascii="Times New Roman" w:eastAsia="Times New Roman"/>
          <w:color w:val="59595B"/>
          <w:w w:val="105"/>
          <w:sz w:val="12"/>
        </w:rPr>
        <w:t>Cl</w:t>
      </w:r>
      <w:r>
        <w:rPr>
          <w:rFonts w:ascii="Times New Roman" w:eastAsia="Times New Roman"/>
          <w:color w:val="9C9E9E"/>
          <w:w w:val="105"/>
          <w:sz w:val="12"/>
        </w:rPr>
        <w:t>1</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3"/>
        </w:rPr>
      </w:pPr>
    </w:p>
    <w:p>
      <w:pPr>
        <w:tabs>
          <w:tab w:val="left" w:pos="11717"/>
        </w:tabs>
        <w:spacing w:before="63"/>
        <w:ind w:left="4567" w:right="0" w:firstLine="0"/>
        <w:jc w:val="left"/>
        <w:rPr>
          <w:sz w:val="24"/>
        </w:rPr>
      </w:pPr>
      <w:r>
        <w:rPr>
          <w:color w:val="59595B"/>
          <w:w w:val="95"/>
          <w:sz w:val="27"/>
        </w:rPr>
        <w:t>井口四逍</w:t>
        <w:tab/>
      </w:r>
      <w:r>
        <w:rPr>
          <w:color w:val="59595B"/>
          <w:position w:val="-8"/>
          <w:sz w:val="24"/>
        </w:rPr>
        <w:t>入口</w:t>
      </w:r>
    </w:p>
    <w:p>
      <w:pPr>
        <w:pStyle w:val="BodyText"/>
      </w:pPr>
    </w:p>
    <w:p>
      <w:pPr>
        <w:pStyle w:val="BodyText"/>
        <w:spacing w:before="8"/>
        <w:rPr>
          <w:sz w:val="38"/>
        </w:rPr>
      </w:pPr>
    </w:p>
    <w:p>
      <w:pPr>
        <w:spacing w:before="0"/>
        <w:ind w:left="23" w:right="3650" w:firstLine="0"/>
        <w:jc w:val="center"/>
        <w:rPr>
          <w:sz w:val="27"/>
        </w:rPr>
      </w:pPr>
      <w:r>
        <w:rPr>
          <w:color w:val="676969"/>
          <w:sz w:val="27"/>
        </w:rPr>
        <w:t>空心杆</w:t>
      </w:r>
    </w:p>
    <w:p>
      <w:pPr>
        <w:pStyle w:val="BodyText"/>
        <w:rPr>
          <w:sz w:val="20"/>
        </w:rPr>
      </w:pPr>
    </w:p>
    <w:p>
      <w:pPr>
        <w:pStyle w:val="BodyText"/>
        <w:rPr>
          <w:sz w:val="20"/>
        </w:rPr>
      </w:pPr>
    </w:p>
    <w:p>
      <w:pPr>
        <w:pStyle w:val="BodyText"/>
        <w:rPr>
          <w:sz w:val="20"/>
        </w:rPr>
      </w:pPr>
    </w:p>
    <w:p>
      <w:pPr>
        <w:pStyle w:val="BodyText"/>
        <w:spacing w:before="5"/>
        <w:rPr>
          <w:sz w:val="15"/>
        </w:rPr>
      </w:pPr>
      <w:r>
        <w:drawing>
          <wp:anchor distT="0" distB="0" distL="0" distR="0" simplePos="0" relativeHeight="251662336" behindDoc="0" locked="0" layoutInCell="1" allowOverlap="1">
            <wp:simplePos x="0" y="0"/>
            <wp:positionH relativeFrom="page">
              <wp:posOffset>3618434</wp:posOffset>
            </wp:positionH>
            <wp:positionV relativeFrom="paragraph">
              <wp:posOffset>1207885</wp:posOffset>
            </wp:positionV>
            <wp:extent cx="516984" cy="1495044"/>
            <wp:effectExtent l="0" t="0" r="0" b="0"/>
            <wp:wrapTopAndBottom/>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jpeg"/>
                    <pic:cNvPicPr/>
                  </pic:nvPicPr>
                  <pic:blipFill>
                    <a:blip xmlns:r="http://schemas.openxmlformats.org/officeDocument/2006/relationships" r:embed="rId16" cstate="print"/>
                    <a:stretch>
                      <a:fillRect/>
                    </a:stretch>
                  </pic:blipFill>
                  <pic:spPr>
                    <a:xfrm>
                      <a:off x="0" y="0"/>
                      <a:ext cx="516984" cy="1495044"/>
                    </a:xfrm>
                    <a:prstGeom prst="rect">
                      <a:avLst/>
                    </a:prstGeom>
                  </pic:spPr>
                </pic:pic>
              </a:graphicData>
            </a:graphic>
          </wp:anchor>
        </w:drawing>
      </w:r>
      <w:r>
        <w:pict>
          <v:group id="_x0000_s1037" style="width:203.9pt;height:201.15pt;margin-top:11.85pt;margin-left:339.61pt;mso-position-horizontal-relative:page;mso-wrap-distance-left:0;mso-wrap-distance-right:0;position:absolute;z-index:-251650048" coordorigin="6792,237" coordsize="4078,4023">
            <v:shape id="_x0000_s1038" type="#_x0000_t75" style="width:4040;height:4023;left:6830;position:absolute;top:237" stroked="f">
              <v:imagedata r:id="rId17" o:title=""/>
            </v:shape>
            <v:shape id="_x0000_s1039" type="#_x0000_t202" style="width:1192;height:823;left:6792;position:absolute;top:634" filled="f" stroked="f">
              <v:textbox inset="0,0,0,0">
                <w:txbxContent>
                  <w:p>
                    <w:pPr>
                      <w:spacing w:before="0" w:line="285" w:lineRule="exact"/>
                      <w:ind w:left="219" w:right="0" w:firstLine="0"/>
                      <w:jc w:val="left"/>
                      <w:rPr>
                        <w:sz w:val="25"/>
                      </w:rPr>
                    </w:pPr>
                    <w:r>
                      <w:rPr>
                        <w:color w:val="676969"/>
                        <w:w w:val="95"/>
                        <w:sz w:val="25"/>
                      </w:rPr>
                      <w:t>向掺水闷</w:t>
                    </w:r>
                  </w:p>
                  <w:p>
                    <w:pPr>
                      <w:spacing w:before="11" w:line="240" w:lineRule="auto"/>
                      <w:rPr>
                        <w:sz w:val="17"/>
                      </w:rPr>
                    </w:pPr>
                  </w:p>
                  <w:p>
                    <w:pPr>
                      <w:spacing w:before="0" w:line="308" w:lineRule="exact"/>
                      <w:ind w:left="0" w:right="0" w:firstLine="0"/>
                      <w:jc w:val="left"/>
                      <w:rPr>
                        <w:sz w:val="27"/>
                      </w:rPr>
                    </w:pPr>
                    <w:r>
                      <w:rPr>
                        <w:color w:val="676969"/>
                        <w:w w:val="95"/>
                        <w:sz w:val="27"/>
                      </w:rPr>
                      <w:t>实心杆</w:t>
                    </w:r>
                  </w:p>
                </w:txbxContent>
              </v:textbox>
            </v:shape>
            <v:shape id="_x0000_s1040" type="#_x0000_t202" style="width:474;height:261;left:7076;position:absolute;top:3163" filled="f" stroked="f">
              <v:textbox inset="0,0,0,0">
                <w:txbxContent>
                  <w:p>
                    <w:pPr>
                      <w:spacing w:before="0" w:line="260" w:lineRule="exact"/>
                      <w:ind w:left="0" w:right="0" w:firstLine="0"/>
                      <w:jc w:val="left"/>
                      <w:rPr>
                        <w:sz w:val="26"/>
                      </w:rPr>
                    </w:pPr>
                    <w:r>
                      <w:rPr>
                        <w:color w:val="674B1F"/>
                        <w:w w:val="85"/>
                        <w:sz w:val="26"/>
                      </w:rPr>
                      <w:t>油屡</w:t>
                    </w:r>
                  </w:p>
                </w:txbxContent>
              </v:textbox>
            </v:shape>
            <w10:wrap type="topAndBottom"/>
          </v:group>
        </w:pict>
      </w:r>
      <w:r>
        <w:drawing>
          <wp:anchor distT="0" distB="0" distL="0" distR="0" simplePos="0" relativeHeight="251663360" behindDoc="0" locked="0" layoutInCell="1" allowOverlap="1">
            <wp:simplePos x="0" y="0"/>
            <wp:positionH relativeFrom="page">
              <wp:posOffset>7662836</wp:posOffset>
            </wp:positionH>
            <wp:positionV relativeFrom="paragraph">
              <wp:posOffset>1207885</wp:posOffset>
            </wp:positionV>
            <wp:extent cx="361431" cy="1495044"/>
            <wp:effectExtent l="0" t="0" r="0" b="0"/>
            <wp:wrapTopAndBottom/>
            <wp:docPr id="2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jpeg"/>
                    <pic:cNvPicPr/>
                  </pic:nvPicPr>
                  <pic:blipFill>
                    <a:blip xmlns:r="http://schemas.openxmlformats.org/officeDocument/2006/relationships" r:embed="rId18" cstate="print"/>
                    <a:stretch>
                      <a:fillRect/>
                    </a:stretch>
                  </pic:blipFill>
                  <pic:spPr>
                    <a:xfrm>
                      <a:off x="0" y="0"/>
                      <a:ext cx="361431" cy="1495044"/>
                    </a:xfrm>
                    <a:prstGeom prst="rect">
                      <a:avLst/>
                    </a:prstGeom>
                  </pic:spPr>
                </pic:pic>
              </a:graphicData>
            </a:graphic>
          </wp:anchor>
        </w:drawing>
      </w:r>
      <w:r>
        <w:pict>
          <v:shape id="_x0000_s1041" style="width:551.8pt;height:0.1pt;margin-top:234.59pt;margin-left:172.75pt;mso-position-horizontal-relative:page;mso-wrap-distance-left:0;mso-wrap-distance-right:0;position:absolute;z-index:-251649024" coordorigin="3455,4692" coordsize="11036,0" path="m3455,4692l14491,4692e" filled="f" stroked="t" strokecolor="black" strokeweight="3.96pt">
            <v:stroke dashstyle="solid"/>
            <v:path arrowok="t"/>
            <w10:wrap type="topAndBottom"/>
          </v:shape>
        </w:pict>
      </w:r>
    </w:p>
    <w:p>
      <w:pPr>
        <w:pStyle w:val="BodyText"/>
        <w:spacing w:before="4"/>
        <w:rPr>
          <w:sz w:val="25"/>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5"/>
        </w:rPr>
      </w:pPr>
    </w:p>
    <w:p>
      <w:pPr>
        <w:pStyle w:val="BodyText"/>
        <w:spacing w:before="50"/>
        <w:ind w:left="4745"/>
      </w:pPr>
      <w:r>
        <w:t>空心抽油杆注入热载体采油装置结构图</w:t>
      </w:r>
    </w:p>
    <w:p>
      <w:pPr>
        <w:pStyle w:val="BodyText"/>
        <w:rPr>
          <w:sz w:val="20"/>
        </w:rPr>
      </w:pPr>
    </w:p>
    <w:p>
      <w:pPr>
        <w:pStyle w:val="BodyText"/>
        <w:spacing w:before="218"/>
        <w:ind w:left="1144"/>
      </w:pPr>
      <w:r>
        <w:t>、装置参数见表三：</w:t>
      </w:r>
    </w:p>
    <w:p>
      <w:pPr>
        <w:pStyle w:val="BodyText"/>
        <w:rPr>
          <w:sz w:val="20"/>
        </w:rPr>
      </w:pPr>
    </w:p>
    <w:p>
      <w:pPr>
        <w:pStyle w:val="BodyText"/>
        <w:spacing w:before="219"/>
        <w:ind w:left="816" w:right="894"/>
        <w:jc w:val="center"/>
      </w:pPr>
      <w:r>
        <w:t>表三装置参数</w:t>
      </w:r>
    </w:p>
    <w:p>
      <w:pPr>
        <w:spacing w:after="0"/>
        <w:jc w:val="center"/>
        <w:sectPr>
          <w:pgSz w:w="17860" w:h="25260"/>
          <w:pgMar w:top="1940" w:right="1480" w:bottom="280" w:left="1560" w:header="708" w:footer="708"/>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p>
      <w:pPr>
        <w:spacing w:after="0"/>
        <w:rPr>
          <w:sz w:val="28"/>
        </w:rPr>
        <w:sectPr>
          <w:pgSz w:w="17860" w:h="25260"/>
          <w:pgMar w:top="2420" w:right="1480" w:bottom="280" w:left="1560" w:header="708" w:footer="708"/>
          <w:pgNumType w:start="11"/>
          <w:cols w:space="708"/>
        </w:sectPr>
      </w:pPr>
    </w:p>
    <w:p>
      <w:pPr>
        <w:pStyle w:val="BodyText"/>
        <w:spacing w:before="125" w:line="511" w:lineRule="auto"/>
        <w:ind w:left="1540"/>
        <w:jc w:val="center"/>
      </w:pPr>
      <w:r>
        <w:t>装置额定工作压力18MPa</w:t>
      </w:r>
    </w:p>
    <w:p>
      <w:pPr>
        <w:pStyle w:val="BodyText"/>
        <w:spacing w:before="125" w:line="487" w:lineRule="auto"/>
        <w:ind w:left="1075" w:firstLine="2"/>
        <w:jc w:val="center"/>
      </w:pPr>
      <w:r>
        <w:br w:type="column"/>
      </w:r>
      <w:r>
        <w:t xml:space="preserve">热载体 </w:t>
      </w:r>
      <w:r>
        <w:rPr>
          <w:spacing w:val="-5"/>
        </w:rPr>
        <w:t>进口温度</w:t>
      </w:r>
    </w:p>
    <w:p>
      <w:pPr>
        <w:pStyle w:val="BodyText"/>
        <w:spacing w:before="89"/>
        <w:ind w:left="1236" w:right="159"/>
        <w:jc w:val="center"/>
      </w:pPr>
      <w:r>
        <w:t>≥75℃</w:t>
      </w:r>
    </w:p>
    <w:p>
      <w:pPr>
        <w:pStyle w:val="BodyText"/>
        <w:spacing w:before="125" w:line="511" w:lineRule="auto"/>
        <w:ind w:left="1346" w:right="38" w:firstLine="90"/>
        <w:jc w:val="both"/>
      </w:pPr>
      <w:r>
        <w:br w:type="column"/>
      </w:r>
      <w:r>
        <w:t>系统排量9m3/h</w:t>
      </w:r>
    </w:p>
    <w:p>
      <w:pPr>
        <w:pStyle w:val="BodyText"/>
        <w:spacing w:before="49"/>
        <w:ind w:right="341"/>
        <w:jc w:val="center"/>
      </w:pPr>
      <w:r>
        <w:br w:type="column"/>
      </w:r>
      <w:r>
        <w:t>油管每千米容积</w:t>
      </w:r>
    </w:p>
    <w:p>
      <w:pPr>
        <w:pStyle w:val="BodyText"/>
        <w:spacing w:before="7"/>
        <w:rPr>
          <w:sz w:val="43"/>
        </w:rPr>
      </w:pPr>
    </w:p>
    <w:p>
      <w:pPr>
        <w:pStyle w:val="BodyText"/>
        <w:tabs>
          <w:tab w:val="left" w:pos="2560"/>
        </w:tabs>
        <w:ind w:right="337"/>
        <w:jc w:val="center"/>
      </w:pPr>
      <w:r>
        <w:t>2-7/8</w:t>
        <w:tab/>
        <w:t>3-1/2</w:t>
      </w:r>
    </w:p>
    <w:p>
      <w:pPr>
        <w:spacing w:after="0"/>
        <w:jc w:val="center"/>
        <w:sectPr>
          <w:type w:val="continuous"/>
          <w:pgSz w:w="17860" w:h="25260"/>
          <w:pgMar w:top="2420" w:right="1480" w:bottom="280" w:left="1560" w:header="708" w:footer="708"/>
          <w:pgNumType w:start="12"/>
          <w:cols w:num="4" w:space="708" w:equalWidth="0">
            <w:col w:w="2981" w:space="40"/>
            <w:col w:w="2516" w:space="39"/>
            <w:col w:w="2287" w:space="76"/>
            <w:col w:w="6881" w:space="0"/>
          </w:cols>
        </w:sectPr>
      </w:pPr>
    </w:p>
    <w:p>
      <w:pPr>
        <w:pStyle w:val="BodyText"/>
        <w:spacing w:line="427" w:lineRule="exact"/>
        <w:ind w:left="1144"/>
      </w:pPr>
      <w:r>
        <w:pict>
          <v:group id="_x0000_s1042" style="width:893pt;height:1248pt;margin-top:0;margin-left:0;mso-position-horizontal-relative:page;mso-position-vertical-relative:page;position:absolute;z-index:-251648000" coordorigin="0,0" coordsize="17860,24960">
            <v:shape id="_x0000_s1043" type="#_x0000_t75" style="width:13035;height:3239;left:2420;position:absolute;top:9420" stroked="f">
              <v:imagedata r:id="rId19" o:title=""/>
            </v:shape>
            <v:shape id="_x0000_s1044" type="#_x0000_t75" style="width:17860;height:24960;position:absolute" stroked="f">
              <v:imagedata r:id="rId20" o:title=""/>
            </v:shape>
            <v:shape id="_x0000_s1045" type="#_x0000_t75" style="width:13700;height:10260;left:2520;position:absolute;top:2300" stroked="f">
              <v:imagedata r:id="rId21" o:title=""/>
            </v:shape>
          </v:group>
        </w:pict>
      </w:r>
      <w:r>
        <w:t>注：单向掺水阀阀球开启压差 。</w:t>
      </w:r>
    </w:p>
    <w:p>
      <w:pPr>
        <w:pStyle w:val="BodyText"/>
        <w:rPr>
          <w:sz w:val="37"/>
        </w:rPr>
      </w:pPr>
    </w:p>
    <w:p>
      <w:pPr>
        <w:pStyle w:val="BodyText"/>
        <w:spacing w:line="487" w:lineRule="auto"/>
        <w:ind w:left="1144" w:right="10433"/>
      </w:pPr>
      <w:r>
        <w:t>、正确利用防喷盒： 一、C 型防喷盒</w:t>
      </w:r>
    </w:p>
    <w:p>
      <w:pPr>
        <w:pStyle w:val="BodyText"/>
        <w:spacing w:line="487" w:lineRule="auto"/>
        <w:ind w:left="1144" w:right="1073"/>
      </w:pPr>
      <w:r>
        <w:t>一、正常工作时：压帽体与防喷盒体之间用手拧紧，拧紧程度视现场情形而定， 不宜拧的过紧，以不漏油为原则。</w:t>
      </w:r>
    </w:p>
    <w:p>
      <w:pPr>
        <w:pStyle w:val="BodyText"/>
        <w:spacing w:line="461" w:lineRule="exact"/>
        <w:ind w:left="1144"/>
      </w:pPr>
      <w:r>
        <w:t>二、改换密封圈时：</w:t>
      </w:r>
    </w:p>
    <w:p>
      <w:pPr>
        <w:pStyle w:val="BodyText"/>
        <w:spacing w:before="1"/>
        <w:rPr>
          <w:sz w:val="37"/>
        </w:rPr>
      </w:pPr>
    </w:p>
    <w:p>
      <w:pPr>
        <w:pStyle w:val="ListParagraph"/>
        <w:numPr>
          <w:ilvl w:val="0"/>
          <w:numId w:val="9"/>
        </w:numPr>
        <w:tabs>
          <w:tab w:val="left" w:pos="1685"/>
        </w:tabs>
        <w:spacing w:before="0" w:after="0" w:line="240" w:lineRule="auto"/>
        <w:ind w:left="1684" w:right="0" w:hanging="541"/>
        <w:jc w:val="left"/>
        <w:rPr>
          <w:sz w:val="36"/>
        </w:rPr>
      </w:pPr>
      <w:r>
        <w:rPr>
          <w:sz w:val="36"/>
        </w:rPr>
        <w:t>用扳手逆时针方向转动顶杆，使两防喷圈抱紧光杆。</w:t>
      </w:r>
    </w:p>
    <w:p>
      <w:pPr>
        <w:pStyle w:val="BodyText"/>
        <w:spacing w:before="1"/>
        <w:rPr>
          <w:sz w:val="37"/>
        </w:rPr>
      </w:pPr>
    </w:p>
    <w:p>
      <w:pPr>
        <w:pStyle w:val="ListParagraph"/>
        <w:numPr>
          <w:ilvl w:val="0"/>
          <w:numId w:val="9"/>
        </w:numPr>
        <w:tabs>
          <w:tab w:val="left" w:pos="1685"/>
        </w:tabs>
        <w:spacing w:before="0" w:after="0" w:line="240" w:lineRule="auto"/>
        <w:ind w:left="1684" w:right="0" w:hanging="541"/>
        <w:jc w:val="left"/>
        <w:rPr>
          <w:sz w:val="36"/>
        </w:rPr>
      </w:pPr>
      <w:r>
        <w:rPr>
          <w:sz w:val="36"/>
        </w:rPr>
        <w:t>松开压帽体，掏出压盖Ⅰ、压盖Ⅲ、压盖Ⅱ。</w:t>
      </w:r>
    </w:p>
    <w:p>
      <w:pPr>
        <w:pStyle w:val="BodyText"/>
        <w:spacing w:before="1"/>
        <w:rPr>
          <w:sz w:val="37"/>
        </w:rPr>
      </w:pPr>
    </w:p>
    <w:p>
      <w:pPr>
        <w:pStyle w:val="ListParagraph"/>
        <w:numPr>
          <w:ilvl w:val="0"/>
          <w:numId w:val="9"/>
        </w:numPr>
        <w:tabs>
          <w:tab w:val="left" w:pos="1685"/>
        </w:tabs>
        <w:spacing w:before="0" w:after="0" w:line="240" w:lineRule="auto"/>
        <w:ind w:left="1684" w:right="0" w:hanging="541"/>
        <w:jc w:val="left"/>
        <w:rPr>
          <w:sz w:val="36"/>
        </w:rPr>
      </w:pPr>
      <w:r>
        <w:rPr>
          <w:sz w:val="36"/>
        </w:rPr>
        <w:t>改换密封圈，然后装好压盖Ⅱ、压盖Ⅲ、压盖Ⅰ，用手拧紧压帽体。</w:t>
      </w:r>
    </w:p>
    <w:p>
      <w:pPr>
        <w:pStyle w:val="BodyText"/>
        <w:rPr>
          <w:sz w:val="37"/>
        </w:rPr>
      </w:pPr>
    </w:p>
    <w:p>
      <w:pPr>
        <w:pStyle w:val="ListParagraph"/>
        <w:numPr>
          <w:ilvl w:val="0"/>
          <w:numId w:val="9"/>
        </w:numPr>
        <w:tabs>
          <w:tab w:val="left" w:pos="1685"/>
        </w:tabs>
        <w:spacing w:before="0" w:after="0" w:line="240" w:lineRule="auto"/>
        <w:ind w:left="1684" w:right="0" w:hanging="541"/>
        <w:jc w:val="left"/>
        <w:rPr>
          <w:sz w:val="36"/>
        </w:rPr>
      </w:pPr>
      <w:r>
        <w:rPr>
          <w:sz w:val="36"/>
        </w:rPr>
        <w:t>用扳手顺时针方向转动顶杆，使两防喷圈松开光杆，即可恢复正常生产。</w:t>
      </w:r>
    </w:p>
    <w:p>
      <w:pPr>
        <w:spacing w:after="0" w:line="240" w:lineRule="auto"/>
        <w:jc w:val="left"/>
        <w:rPr>
          <w:sz w:val="36"/>
        </w:rPr>
        <w:sectPr>
          <w:type w:val="continuous"/>
          <w:pgSz w:w="17860" w:h="25260"/>
          <w:pgMar w:top="2420" w:right="1480" w:bottom="280" w:left="1560" w:header="708" w:footer="708"/>
          <w:pgNumType w:start="13"/>
          <w:cols w:space="708"/>
        </w:sectPr>
      </w:pPr>
    </w:p>
    <w:p>
      <w:pPr>
        <w:pStyle w:val="BodyText"/>
        <w:spacing w:before="37"/>
        <w:ind w:left="1144"/>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219"/>
            <wp:effectExtent l="0" t="0" r="0" b="0"/>
            <wp:wrapNone/>
            <wp:docPr id="2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9.png"/>
                    <pic:cNvPicPr/>
                  </pic:nvPicPr>
                  <pic:blipFill>
                    <a:blip xmlns:r="http://schemas.openxmlformats.org/officeDocument/2006/relationships" r:embed="rId22" cstate="print"/>
                    <a:stretch>
                      <a:fillRect/>
                    </a:stretch>
                  </pic:blipFill>
                  <pic:spPr>
                    <a:xfrm>
                      <a:off x="0" y="0"/>
                      <a:ext cx="11340845" cy="15849219"/>
                    </a:xfrm>
                    <a:prstGeom prst="rect">
                      <a:avLst/>
                    </a:prstGeom>
                  </pic:spPr>
                </pic:pic>
              </a:graphicData>
            </a:graphic>
          </wp:anchor>
        </w:drawing>
      </w:r>
      <w:r>
        <w:t>二、B 型防喷盒（可调偏型）</w:t>
      </w:r>
    </w:p>
    <w:p>
      <w:pPr>
        <w:pStyle w:val="BodyText"/>
        <w:spacing w:before="1"/>
        <w:rPr>
          <w:sz w:val="37"/>
        </w:rPr>
      </w:pPr>
    </w:p>
    <w:p>
      <w:pPr>
        <w:pStyle w:val="BodyText"/>
        <w:tabs>
          <w:tab w:val="left" w:pos="5860"/>
        </w:tabs>
        <w:ind w:left="100"/>
        <w:jc w:val="center"/>
      </w:pPr>
      <w:r>
        <w:t>1—压套、2—压帽、3—防尘圈、</w:t>
        <w:tab/>
        <w:t>4—密封圈、5—内筒、6—螺母</w:t>
      </w:r>
    </w:p>
    <w:p>
      <w:pPr>
        <w:pStyle w:val="BodyText"/>
        <w:spacing w:before="1"/>
        <w:rPr>
          <w:sz w:val="37"/>
        </w:rPr>
      </w:pPr>
    </w:p>
    <w:p>
      <w:pPr>
        <w:pStyle w:val="BodyText"/>
        <w:ind w:left="100"/>
        <w:jc w:val="center"/>
      </w:pPr>
      <w:r>
        <w:t>7—上支撑套、8—“O”型圈、</w:t>
      </w:r>
    </w:p>
    <w:p>
      <w:pPr>
        <w:pStyle w:val="BodyText"/>
        <w:rPr>
          <w:sz w:val="37"/>
        </w:rPr>
      </w:pPr>
    </w:p>
    <w:p>
      <w:pPr>
        <w:pStyle w:val="BodyText"/>
        <w:spacing w:before="1"/>
        <w:ind w:left="99"/>
        <w:jc w:val="center"/>
      </w:pPr>
      <w:r>
        <w:t>9—压紧锥套、10—密封皮碗、</w:t>
      </w:r>
    </w:p>
    <w:p>
      <w:pPr>
        <w:pStyle w:val="BodyText"/>
        <w:rPr>
          <w:sz w:val="37"/>
        </w:rPr>
      </w:pPr>
    </w:p>
    <w:p>
      <w:pPr>
        <w:pStyle w:val="BodyText"/>
        <w:ind w:left="5029"/>
      </w:pPr>
      <w:r>
        <w:t>11—支撑套、12—内六角螺钉</w:t>
      </w:r>
    </w:p>
    <w:p>
      <w:pPr>
        <w:pStyle w:val="BodyText"/>
        <w:spacing w:before="1"/>
        <w:rPr>
          <w:sz w:val="37"/>
        </w:rPr>
      </w:pPr>
    </w:p>
    <w:p>
      <w:pPr>
        <w:pStyle w:val="BodyText"/>
        <w:ind w:left="5029"/>
      </w:pPr>
      <w:r>
        <w:t>13—紫铜垫、14—球面外筒、</w:t>
      </w:r>
    </w:p>
    <w:p>
      <w:pPr>
        <w:pStyle w:val="BodyText"/>
        <w:spacing w:before="1"/>
        <w:rPr>
          <w:sz w:val="37"/>
        </w:rPr>
      </w:pPr>
    </w:p>
    <w:p>
      <w:pPr>
        <w:pStyle w:val="BodyText"/>
        <w:ind w:left="5029"/>
      </w:pPr>
      <w:r>
        <w:t>15—联接套、16—“O”型圈、</w:t>
      </w:r>
    </w:p>
    <w:p>
      <w:pPr>
        <w:pStyle w:val="BodyText"/>
        <w:spacing w:before="1"/>
        <w:rPr>
          <w:sz w:val="37"/>
        </w:rPr>
      </w:pPr>
    </w:p>
    <w:p>
      <w:pPr>
        <w:pStyle w:val="BodyText"/>
        <w:ind w:left="1324"/>
      </w:pPr>
      <w:r>
        <w:t>17—联接短节</w:t>
      </w:r>
    </w:p>
    <w:p>
      <w:pPr>
        <w:pStyle w:val="BodyText"/>
      </w:pPr>
    </w:p>
    <w:p>
      <w:pPr>
        <w:pStyle w:val="BodyText"/>
      </w:pPr>
    </w:p>
    <w:p>
      <w:pPr>
        <w:pStyle w:val="BodyText"/>
        <w:spacing w:before="1"/>
        <w:rPr>
          <w:sz w:val="38"/>
        </w:rPr>
      </w:pPr>
    </w:p>
    <w:p>
      <w:pPr>
        <w:pStyle w:val="BodyText"/>
        <w:ind w:left="1144"/>
      </w:pPr>
      <w:r>
        <w:t>B 型防喷盒的安装进程：</w:t>
      </w:r>
    </w:p>
    <w:p>
      <w:pPr>
        <w:pStyle w:val="BodyText"/>
        <w:spacing w:before="1"/>
        <w:rPr>
          <w:sz w:val="37"/>
        </w:rPr>
      </w:pPr>
    </w:p>
    <w:p>
      <w:pPr>
        <w:pStyle w:val="BodyText"/>
        <w:spacing w:line="487" w:lineRule="auto"/>
        <w:ind w:left="1144" w:right="1038"/>
      </w:pPr>
      <w:r>
        <w:t>a</w:t>
      </w:r>
      <w:r>
        <w:rPr>
          <w:spacing w:val="-4"/>
        </w:rPr>
        <w:t xml:space="preserve">、先将防喷盒解体：参照防喷盒的组装图，注意下部件 </w:t>
      </w:r>
      <w:r>
        <w:t>1</w:t>
      </w:r>
      <w:r>
        <w:rPr>
          <w:spacing w:val="-30"/>
        </w:rPr>
        <w:t xml:space="preserve"> 二、</w:t>
      </w:r>
      <w:r>
        <w:t>13、14、 1</w:t>
      </w:r>
      <w:r>
        <w:rPr>
          <w:spacing w:val="-30"/>
        </w:rPr>
        <w:t xml:space="preserve"> 五、16</w:t>
      </w:r>
      <w:r>
        <w:rPr>
          <w:spacing w:val="-61"/>
        </w:rPr>
        <w:t xml:space="preserve"> 和 </w:t>
      </w:r>
      <w:r>
        <w:t>17</w:t>
      </w:r>
      <w:r>
        <w:rPr>
          <w:spacing w:val="-14"/>
        </w:rPr>
        <w:t xml:space="preserve"> 不要拆卸，只把上部件一、二、</w:t>
      </w:r>
      <w:r>
        <w:t>3</w:t>
      </w:r>
      <w:r>
        <w:rPr>
          <w:spacing w:val="-14"/>
        </w:rPr>
        <w:t>、</w:t>
      </w:r>
      <w:r>
        <w:t>4</w:t>
      </w:r>
      <w:r>
        <w:rPr>
          <w:spacing w:val="-9"/>
        </w:rPr>
        <w:t>、五、六、</w:t>
      </w:r>
      <w:r>
        <w:t>7</w:t>
      </w:r>
      <w:r>
        <w:rPr>
          <w:spacing w:val="-10"/>
        </w:rPr>
        <w:t>、九、</w:t>
      </w:r>
      <w:r>
        <w:t>10</w:t>
      </w:r>
      <w:r>
        <w:rPr>
          <w:spacing w:val="-14"/>
        </w:rPr>
        <w:t>、</w:t>
      </w:r>
      <w:r>
        <w:t>12</w:t>
      </w:r>
      <w:r>
        <w:rPr>
          <w:spacing w:val="-22"/>
        </w:rPr>
        <w:t xml:space="preserve"> 等拆卸。</w:t>
      </w:r>
      <w:r>
        <w:t>b、将联接短节</w:t>
      </w:r>
      <w:r>
        <w:rPr>
          <w:spacing w:val="-1"/>
        </w:rPr>
        <w:t>（</w:t>
      </w:r>
      <w:r>
        <w:t>1</w:t>
      </w:r>
      <w:r>
        <w:rPr>
          <w:spacing w:val="1"/>
        </w:rPr>
        <w:t>7</w:t>
      </w:r>
      <w:r>
        <w:rPr>
          <w:spacing w:val="-180"/>
        </w:rPr>
        <w:t>）</w:t>
      </w:r>
      <w:r>
        <w:t>、内筒、压</w:t>
      </w:r>
    </w:p>
    <w:p>
      <w:pPr>
        <w:pStyle w:val="BodyText"/>
        <w:spacing w:line="487" w:lineRule="auto"/>
        <w:ind w:left="1144" w:right="8993"/>
      </w:pPr>
      <w:r>
        <w:t>帽依次穿于短节上（</w:t>
      </w:r>
      <w:r>
        <w:rPr>
          <w:spacing w:val="-5"/>
        </w:rPr>
        <w:t>注意其方</w:t>
      </w:r>
      <w:r>
        <w:t>向</w:t>
      </w:r>
      <w:r>
        <w:rPr>
          <w:spacing w:val="-180"/>
        </w:rPr>
        <w:t>）</w:t>
      </w:r>
      <w:r>
        <w:t>。</w:t>
      </w:r>
    </w:p>
    <w:p>
      <w:pPr>
        <w:pStyle w:val="BodyText"/>
        <w:spacing w:line="487" w:lineRule="auto"/>
        <w:ind w:left="1144" w:right="8568"/>
        <w:jc w:val="both"/>
      </w:pPr>
      <w:r>
        <w:t>c</w:t>
      </w:r>
      <w:r>
        <w:rPr>
          <w:spacing w:val="-13"/>
        </w:rPr>
        <w:t>、将另一吊卡打在短节上，上提</w:t>
      </w:r>
      <w:r>
        <w:rPr>
          <w:spacing w:val="-31"/>
        </w:rPr>
        <w:t xml:space="preserve">杆柱 </w:t>
      </w:r>
      <w:r>
        <w:t>1—2</w:t>
      </w:r>
      <w:r>
        <w:rPr>
          <w:spacing w:val="-23"/>
        </w:rPr>
        <w:t xml:space="preserve"> 米，现在应使杆柱维持</w:t>
      </w:r>
      <w:r>
        <w:t>不动，拆掉光杆上的吊卡，并使联接短节、内筒、压帽下滑至光杆杆体上。</w:t>
      </w:r>
    </w:p>
    <w:p>
      <w:pPr>
        <w:pStyle w:val="BodyText"/>
        <w:spacing w:line="487" w:lineRule="auto"/>
        <w:ind w:left="1144" w:right="1224"/>
      </w:pPr>
      <w:r>
        <w:t>d、将联接短节紧固于井口上，再将支承套、二次盘根、压紧锥套抱紧光杆装入</w:t>
      </w:r>
      <w:r>
        <w:rPr>
          <w:spacing w:val="-10"/>
        </w:rPr>
        <w:t>联接短节体内，将内筒与联接短节适度旋紧</w:t>
      </w:r>
      <w:r>
        <w:t>（</w:t>
      </w:r>
      <w:r>
        <w:rPr>
          <w:spacing w:val="-9"/>
        </w:rPr>
        <w:t>不可拧死，以避免二次盘根抱紧光</w:t>
      </w:r>
    </w:p>
    <w:p>
      <w:pPr>
        <w:spacing w:after="0" w:line="487" w:lineRule="auto"/>
        <w:sectPr>
          <w:pgSz w:w="17860" w:h="25260"/>
          <w:pgMar w:top="1940" w:right="1480" w:bottom="280" w:left="1560" w:header="708" w:footer="708"/>
          <w:pgNumType w:start="14"/>
          <w:cols w:space="708"/>
        </w:sectPr>
      </w:pPr>
    </w:p>
    <w:p>
      <w:pPr>
        <w:pStyle w:val="BodyText"/>
        <w:spacing w:before="37"/>
        <w:ind w:left="1144"/>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219"/>
            <wp:effectExtent l="0" t="0" r="0" b="0"/>
            <wp:wrapNone/>
            <wp:docPr id="2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0.png"/>
                    <pic:cNvPicPr/>
                  </pic:nvPicPr>
                  <pic:blipFill>
                    <a:blip xmlns:r="http://schemas.openxmlformats.org/officeDocument/2006/relationships" r:embed="rId23" cstate="print"/>
                    <a:stretch>
                      <a:fillRect/>
                    </a:stretch>
                  </pic:blipFill>
                  <pic:spPr>
                    <a:xfrm>
                      <a:off x="0" y="0"/>
                      <a:ext cx="11340845" cy="15849219"/>
                    </a:xfrm>
                    <a:prstGeom prst="rect">
                      <a:avLst/>
                    </a:prstGeom>
                  </pic:spPr>
                </pic:pic>
              </a:graphicData>
            </a:graphic>
          </wp:anchor>
        </w:drawing>
      </w:r>
      <w:r>
        <w:t>杆</w:t>
      </w:r>
      <w:r>
        <w:rPr>
          <w:spacing w:val="-180"/>
        </w:rPr>
        <w:t>）</w:t>
      </w:r>
      <w:r>
        <w:t>，并紧固锁紧螺母。</w:t>
      </w:r>
    </w:p>
    <w:p>
      <w:pPr>
        <w:pStyle w:val="BodyText"/>
        <w:spacing w:before="1"/>
        <w:rPr>
          <w:sz w:val="37"/>
        </w:rPr>
      </w:pPr>
    </w:p>
    <w:p>
      <w:pPr>
        <w:pStyle w:val="BodyText"/>
        <w:spacing w:line="487" w:lineRule="auto"/>
        <w:ind w:left="1144" w:right="1253"/>
      </w:pPr>
      <w:r>
        <w:t>e、将上支承套、螺旋盘根抱紧光杆装入内筒，装好防尘圈与压套，最后把压帽上紧。</w:t>
      </w:r>
    </w:p>
    <w:p>
      <w:pPr>
        <w:pStyle w:val="BodyText"/>
        <w:spacing w:line="487" w:lineRule="auto"/>
        <w:ind w:left="1144" w:right="7013"/>
      </w:pPr>
      <w:r>
        <w:t>f、将吊卡打在光杆上，下放杆柱，坐于防喷盒上，拆下短节及其上的吊卡。</w:t>
      </w:r>
    </w:p>
    <w:p>
      <w:pPr>
        <w:pStyle w:val="BodyText"/>
        <w:spacing w:line="461" w:lineRule="exact"/>
        <w:ind w:left="1144"/>
      </w:pPr>
      <w:r>
        <w:t>、正确利用单向掺水阀</w:t>
      </w:r>
    </w:p>
    <w:p>
      <w:pPr>
        <w:pStyle w:val="BodyText"/>
        <w:spacing w:before="1"/>
        <w:rPr>
          <w:sz w:val="37"/>
        </w:rPr>
      </w:pPr>
    </w:p>
    <w:p>
      <w:pPr>
        <w:pStyle w:val="BodyText"/>
        <w:spacing w:line="487" w:lineRule="auto"/>
        <w:ind w:left="1144" w:right="6740"/>
      </w:pPr>
      <w:r>
        <w:rPr>
          <w:spacing w:val="5"/>
        </w:rPr>
        <w:t>单向掺水阀两头均为</w:t>
      </w:r>
      <w:r>
        <w:t>1-9/16</w:t>
      </w:r>
      <w:r>
        <w:rPr>
          <w:spacing w:val="-21"/>
        </w:rPr>
        <w:t xml:space="preserve"> 抽油杆内螺纹， </w:t>
      </w:r>
      <w:r>
        <w:rPr>
          <w:spacing w:val="-9"/>
        </w:rPr>
        <w:t>安装时注意方向，不要装反，应使有出液孔的一端方向朝上。</w:t>
      </w:r>
    </w:p>
    <w:p>
      <w:pPr>
        <w:pStyle w:val="BodyText"/>
      </w:pPr>
    </w:p>
    <w:p>
      <w:pPr>
        <w:pStyle w:val="BodyText"/>
        <w:spacing w:before="12"/>
      </w:pPr>
    </w:p>
    <w:p>
      <w:pPr>
        <w:pStyle w:val="BodyText"/>
        <w:spacing w:line="487" w:lineRule="auto"/>
        <w:ind w:left="1144" w:right="6920"/>
      </w:pPr>
      <w:r>
        <w:t>1—</w:t>
      </w:r>
      <w:r>
        <w:rPr>
          <w:spacing w:val="-8"/>
        </w:rPr>
        <w:t>上接头、</w:t>
      </w:r>
      <w:r>
        <w:t>2—</w:t>
      </w:r>
      <w:r>
        <w:rPr>
          <w:spacing w:val="-7"/>
        </w:rPr>
        <w:t>悬挂体、</w:t>
      </w:r>
      <w:r>
        <w:t>3—</w:t>
      </w:r>
      <w:r>
        <w:rPr>
          <w:spacing w:val="-8"/>
        </w:rPr>
        <w:t>阀座体、</w:t>
      </w:r>
      <w:r>
        <w:t>4—</w:t>
      </w:r>
      <w:r>
        <w:rPr>
          <w:spacing w:val="-19"/>
        </w:rPr>
        <w:t>阀</w:t>
      </w:r>
      <w:r>
        <w:t>球、5—阀座、6—阀座顶丝、7—下接头</w:t>
      </w:r>
    </w:p>
    <w:p>
      <w:pPr>
        <w:pStyle w:val="BodyText"/>
      </w:pPr>
    </w:p>
    <w:p>
      <w:pPr>
        <w:pStyle w:val="BodyText"/>
        <w:spacing w:before="1"/>
        <w:rPr>
          <w:sz w:val="37"/>
        </w:rPr>
      </w:pPr>
    </w:p>
    <w:p>
      <w:pPr>
        <w:pStyle w:val="BodyText"/>
        <w:ind w:left="3077"/>
      </w:pPr>
      <w:r>
        <w:t>单向掺水阀结构图</w:t>
      </w:r>
    </w:p>
    <w:p>
      <w:pPr>
        <w:pStyle w:val="BodyText"/>
        <w:spacing w:before="12"/>
        <w:rPr>
          <w:sz w:val="29"/>
        </w:rPr>
      </w:pPr>
    </w:p>
    <w:p>
      <w:pPr>
        <w:pStyle w:val="Heading2"/>
      </w:pPr>
      <w:r>
        <w:t>三、空心抽油杆电加热装置：</w:t>
      </w:r>
    </w:p>
    <w:p>
      <w:pPr>
        <w:pStyle w:val="BodyText"/>
        <w:spacing w:before="2"/>
        <w:rPr>
          <w:b/>
          <w:sz w:val="38"/>
        </w:rPr>
      </w:pPr>
    </w:p>
    <w:p>
      <w:pPr>
        <w:pStyle w:val="BodyText"/>
        <w:ind w:left="1144"/>
      </w:pPr>
      <w:r>
        <w:t>、装置用途：</w:t>
      </w:r>
    </w:p>
    <w:p>
      <w:pPr>
        <w:pStyle w:val="BodyText"/>
        <w:spacing w:before="1"/>
        <w:rPr>
          <w:sz w:val="37"/>
        </w:rPr>
      </w:pPr>
    </w:p>
    <w:p>
      <w:pPr>
        <w:pStyle w:val="BodyText"/>
        <w:spacing w:line="487" w:lineRule="auto"/>
        <w:ind w:left="1144" w:right="1073" w:firstLine="359"/>
      </w:pPr>
      <w:r>
        <w:rPr>
          <w:spacing w:val="-13"/>
        </w:rPr>
        <w:t>随着稠油、高凝油井开采比例的逐渐增大，我公司针对稠油、高凝油开采进程中诸多难题（</w:t>
      </w:r>
      <w:r>
        <w:rPr>
          <w:spacing w:val="-14"/>
        </w:rPr>
        <w:t>如；原油举升困难、抽油杆负载过重、抽油机载荷加大、抽油杆下</w:t>
      </w:r>
      <w:r>
        <w:t>行困难、原油进泵困难等</w:t>
      </w:r>
      <w:r>
        <w:rPr>
          <w:spacing w:val="-171"/>
        </w:rPr>
        <w:t>）</w:t>
      </w:r>
      <w:r>
        <w:t>，成功研制了空心抽油杆电加热装置，能有效地解决高凝、高粘油开采进程中碰到的各类技术难题。</w:t>
      </w:r>
    </w:p>
    <w:p>
      <w:pPr>
        <w:pStyle w:val="BodyText"/>
        <w:spacing w:line="461" w:lineRule="exact"/>
        <w:ind w:left="1144"/>
      </w:pPr>
      <w:r>
        <w:t>、装置特点</w:t>
      </w:r>
    </w:p>
    <w:p>
      <w:pPr>
        <w:pStyle w:val="BodyText"/>
        <w:rPr>
          <w:sz w:val="37"/>
        </w:rPr>
      </w:pPr>
    </w:p>
    <w:p>
      <w:pPr>
        <w:pStyle w:val="BodyText"/>
        <w:ind w:left="1144"/>
      </w:pPr>
      <w:r>
        <w:t>a、施工简单：对空心抽油杆正常作业后，将电缆用电缆绞车下入空心抽油杆内</w:t>
      </w:r>
    </w:p>
    <w:p>
      <w:pPr>
        <w:spacing w:after="0"/>
        <w:sectPr>
          <w:pgSz w:w="17860" w:h="25260"/>
          <w:pgMar w:top="1940" w:right="1480" w:bottom="280" w:left="1560" w:header="708" w:footer="708"/>
          <w:pgNumType w:start="15"/>
          <w:cols w:space="708"/>
        </w:sectPr>
      </w:pPr>
    </w:p>
    <w:p>
      <w:pPr>
        <w:pStyle w:val="BodyText"/>
        <w:spacing w:before="37"/>
        <w:ind w:left="1144"/>
      </w:pPr>
      <w:r>
        <w:pict>
          <v:group id="_x0000_s1046" style="width:893pt;height:1248pt;margin-top:0;margin-left:0;mso-position-horizontal-relative:page;mso-position-vertical-relative:page;position:absolute;z-index:-251644928" coordorigin="0,0" coordsize="17860,24960">
            <v:shape id="_x0000_s1047" type="#_x0000_t75" style="width:17860;height:24960;position:absolute" stroked="f">
              <v:imagedata r:id="rId24" o:title=""/>
            </v:shape>
            <v:shape id="_x0000_s1048" type="#_x0000_t75" style="width:11180;height:14300;left:3240;position:absolute;top:6120" stroked="f">
              <v:imagedata r:id="rId25" o:title=""/>
            </v:shape>
          </v:group>
        </w:pict>
      </w:r>
      <w:r>
        <w:t>孔，并接好回路电缆，预热后即可开井，可做到当天作业，当天开抽。</w:t>
      </w:r>
    </w:p>
    <w:p>
      <w:pPr>
        <w:pStyle w:val="BodyText"/>
        <w:spacing w:before="1"/>
        <w:rPr>
          <w:sz w:val="37"/>
        </w:rPr>
      </w:pPr>
    </w:p>
    <w:p>
      <w:pPr>
        <w:pStyle w:val="BodyText"/>
        <w:spacing w:line="487" w:lineRule="auto"/>
        <w:ind w:left="1144" w:right="1253"/>
      </w:pPr>
      <w:r>
        <w:t>b、地面设置简单，利用方便，易于管理：与普通抽油杆井相较，地面设备只增加了一台专用供电装置，结构比较简单。</w:t>
      </w:r>
    </w:p>
    <w:p>
      <w:pPr>
        <w:pStyle w:val="BodyText"/>
        <w:spacing w:line="487" w:lineRule="auto"/>
        <w:ind w:left="1144" w:right="1044"/>
      </w:pPr>
      <w:r>
        <w:t>c</w:t>
      </w:r>
      <w:r>
        <w:rPr>
          <w:spacing w:val="-14"/>
        </w:rPr>
        <w:t xml:space="preserve">、加热温度均匀，热效率高，可实现温度自动控制：由于直接加热抽油杆杆体， </w:t>
      </w:r>
      <w:r>
        <w:t>所以热损失小，且能实现抽油杆全程加热。</w:t>
      </w:r>
    </w:p>
    <w:p>
      <w:pPr>
        <w:pStyle w:val="BodyText"/>
        <w:spacing w:line="487" w:lineRule="auto"/>
        <w:ind w:left="1144" w:right="1253"/>
      </w:pPr>
      <w:r>
        <w:t>d、由于原油加热后粘度降低，所以抽油杆下行阻力减小，可增加柱塞的有效行程，提高泵效，延长检泵周期。</w:t>
      </w:r>
    </w:p>
    <w:p>
      <w:pPr>
        <w:pStyle w:val="BodyText"/>
        <w:spacing w:line="487" w:lineRule="auto"/>
        <w:ind w:left="1144" w:right="1253"/>
      </w:pPr>
      <w:r>
        <w:t>e、结构安全靠得住，可重复作业性好：检泵时，只需用电缆绞车将电缆提出， 再将抽油杆全数提出，电缆和抽油杆都可重复利用。</w:t>
      </w:r>
    </w:p>
    <w:p>
      <w:pPr>
        <w:pStyle w:val="BodyText"/>
        <w:spacing w:line="487" w:lineRule="auto"/>
        <w:ind w:left="1144" w:right="1253"/>
      </w:pPr>
      <w:r>
        <w:t>f、原油粘度降低后，抽油杆摩擦阻力减小，抽油机上行程载荷减小，下行程速度加速，可有效改善抽油机负荷状况。</w:t>
      </w:r>
    </w:p>
    <w:p>
      <w:pPr>
        <w:pStyle w:val="BodyText"/>
        <w:spacing w:line="487" w:lineRule="auto"/>
        <w:ind w:left="1144" w:right="9696"/>
      </w:pPr>
      <w:r>
        <w:t>、装置结构与工作原理： a、装置工作原理：</w:t>
      </w:r>
    </w:p>
    <w:p>
      <w:pPr>
        <w:pStyle w:val="BodyText"/>
        <w:spacing w:line="487" w:lineRule="auto"/>
        <w:ind w:left="1144" w:right="1073"/>
      </w:pPr>
      <w:r>
        <w:rPr>
          <w:spacing w:val="-5"/>
        </w:rPr>
        <w:t>空心杆电加热装置是在空心抽油杆内穿入电缆并与抽油杆杆体形成回路，通以工</w:t>
      </w:r>
      <w:r>
        <w:rPr>
          <w:spacing w:val="-14"/>
        </w:rPr>
        <w:t>频交流电，利用内集肤效应原理在空心抽油杆壁上产生热能，对油管内原油进行</w:t>
      </w:r>
      <w:r>
        <w:rPr>
          <w:spacing w:val="-15"/>
        </w:rPr>
        <w:t>全程加热，以提高油管内原油温度，降低原油粘度，改善其流动性，避免油管内</w:t>
      </w:r>
      <w:r>
        <w:t>原油结蜡，从而有效地开采高凝、高粘、高含蜡原油。</w:t>
      </w:r>
    </w:p>
    <w:p>
      <w:pPr>
        <w:pStyle w:val="BodyText"/>
        <w:spacing w:line="460" w:lineRule="exact"/>
        <w:ind w:left="1144"/>
      </w:pPr>
      <w:r>
        <w:t>b、装置结构见下图：</w:t>
      </w:r>
    </w:p>
    <w:p>
      <w:pPr>
        <w:spacing w:after="0" w:line="460" w:lineRule="exact"/>
        <w:sectPr>
          <w:pgSz w:w="17860" w:h="25260"/>
          <w:pgMar w:top="1940" w:right="1480" w:bottom="280" w:left="1560" w:header="708" w:footer="708"/>
          <w:pgNumType w:start="1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8"/>
        </w:rPr>
      </w:pPr>
    </w:p>
    <w:p>
      <w:pPr>
        <w:pStyle w:val="BodyText"/>
        <w:spacing w:before="50"/>
        <w:ind w:left="816" w:right="894"/>
        <w:jc w:val="center"/>
      </w:pPr>
      <w:r>
        <w:t>空心抽油杆电加热装置结构图</w:t>
      </w:r>
    </w:p>
    <w:p>
      <w:pPr>
        <w:pStyle w:val="BodyText"/>
        <w:spacing w:before="1"/>
        <w:rPr>
          <w:sz w:val="37"/>
        </w:rPr>
      </w:pPr>
    </w:p>
    <w:p>
      <w:pPr>
        <w:pStyle w:val="BodyText"/>
        <w:spacing w:line="487" w:lineRule="auto"/>
        <w:ind w:left="1144" w:right="8633"/>
      </w:pPr>
      <w:r>
        <w:pict>
          <v:group id="_x0000_s1049" style="width:744.75pt;height:239.95pt;margin-top:97.01pt;margin-left:74.25pt;mso-position-horizontal-relative:page;position:absolute;z-index:-251643904" coordorigin="1485,1940" coordsize="14895,4799">
            <v:shape id="_x0000_s1050" type="#_x0000_t75" style="width:14895;height:4799;left:1485;position:absolute;top:1940" stroked="f">
              <v:imagedata r:id="rId26" o:title=""/>
            </v:shape>
            <v:shape id="_x0000_s1051" type="#_x0000_t202" style="width:9141;height:360;left:1674;position:absolute;top:2250" filled="f" stroked="f">
              <v:textbox inset="0,0,0,0">
                <w:txbxContent>
                  <w:p>
                    <w:pPr>
                      <w:spacing w:before="0" w:line="360" w:lineRule="exact"/>
                      <w:ind w:left="0" w:right="0" w:firstLine="0"/>
                      <w:jc w:val="left"/>
                      <w:rPr>
                        <w:sz w:val="36"/>
                      </w:rPr>
                    </w:pPr>
                    <w:r>
                      <w:rPr>
                        <w:spacing w:val="-20"/>
                        <w:sz w:val="36"/>
                      </w:rPr>
                      <w:t>导体截面积</w:t>
                    </w:r>
                    <w:r>
                      <w:rPr>
                        <w:sz w:val="36"/>
                      </w:rPr>
                      <w:t>（mm2）</w:t>
                    </w:r>
                    <w:r>
                      <w:rPr>
                        <w:spacing w:val="-6"/>
                        <w:sz w:val="36"/>
                      </w:rPr>
                      <w:t xml:space="preserve"> 电缆最大外径</w:t>
                    </w:r>
                    <w:r>
                      <w:rPr>
                        <w:sz w:val="36"/>
                      </w:rPr>
                      <w:t>（mm）</w:t>
                    </w:r>
                    <w:r>
                      <w:rPr>
                        <w:spacing w:val="14"/>
                        <w:sz w:val="36"/>
                      </w:rPr>
                      <w:t xml:space="preserve"> 耐温等级</w:t>
                    </w:r>
                    <w:r>
                      <w:rPr>
                        <w:sz w:val="36"/>
                      </w:rPr>
                      <w:t>（℃）</w:t>
                    </w:r>
                  </w:p>
                </w:txbxContent>
              </v:textbox>
            </v:shape>
            <v:shape id="_x0000_s1052" type="#_x0000_t202" style="width:4961;height:360;left:11194;position:absolute;top:2250" filled="f" stroked="f">
              <v:textbox inset="0,0,0,0">
                <w:txbxContent>
                  <w:p>
                    <w:pPr>
                      <w:spacing w:before="0" w:line="360" w:lineRule="exact"/>
                      <w:ind w:left="0" w:right="0" w:firstLine="0"/>
                      <w:jc w:val="left"/>
                      <w:rPr>
                        <w:sz w:val="36"/>
                      </w:rPr>
                    </w:pPr>
                    <w:r>
                      <w:rPr>
                        <w:sz w:val="36"/>
                      </w:rPr>
                      <w:t>抗拉强度（T） 额定电压（V）</w:t>
                    </w:r>
                  </w:p>
                </w:txbxContent>
              </v:textbox>
            </v:shape>
            <v:shape id="_x0000_s1053" type="#_x0000_t202" style="width:380;height:360;left:2132;position:absolute;top:3204" filled="f" stroked="f">
              <v:textbox inset="0,0,0,0">
                <w:txbxContent>
                  <w:p>
                    <w:pPr>
                      <w:spacing w:before="0" w:line="360" w:lineRule="exact"/>
                      <w:ind w:left="0" w:right="0" w:firstLine="0"/>
                      <w:jc w:val="left"/>
                      <w:rPr>
                        <w:sz w:val="36"/>
                      </w:rPr>
                    </w:pPr>
                    <w:r>
                      <w:rPr>
                        <w:sz w:val="36"/>
                      </w:rPr>
                      <w:t>30</w:t>
                    </w:r>
                  </w:p>
                </w:txbxContent>
              </v:textbox>
            </v:shape>
            <v:shape id="_x0000_s1054" type="#_x0000_t202" style="width:380;height:360;left:3687;position:absolute;top:3204" filled="f" stroked="f">
              <v:textbox inset="0,0,0,0">
                <w:txbxContent>
                  <w:p>
                    <w:pPr>
                      <w:spacing w:before="0" w:line="360" w:lineRule="exact"/>
                      <w:ind w:left="0" w:right="0" w:firstLine="0"/>
                      <w:jc w:val="left"/>
                      <w:rPr>
                        <w:sz w:val="36"/>
                      </w:rPr>
                    </w:pPr>
                    <w:r>
                      <w:rPr>
                        <w:sz w:val="36"/>
                      </w:rPr>
                      <w:t>35</w:t>
                    </w:r>
                  </w:p>
                </w:txbxContent>
              </v:textbox>
            </v:shape>
            <v:shape id="_x0000_s1055" type="#_x0000_t202" style="width:380;height:360;left:6150;position:absolute;top:3204" filled="f" stroked="f">
              <v:textbox inset="0,0,0,0">
                <w:txbxContent>
                  <w:p>
                    <w:pPr>
                      <w:spacing w:before="0" w:line="360" w:lineRule="exact"/>
                      <w:ind w:left="0" w:right="0" w:firstLine="0"/>
                      <w:jc w:val="left"/>
                      <w:rPr>
                        <w:sz w:val="36"/>
                      </w:rPr>
                    </w:pPr>
                    <w:r>
                      <w:rPr>
                        <w:sz w:val="36"/>
                      </w:rPr>
                      <w:t>17</w:t>
                    </w:r>
                  </w:p>
                </w:txbxContent>
              </v:textbox>
            </v:shape>
            <v:shape id="_x0000_s1056" type="#_x0000_t202" style="width:560;height:360;left:8285;position:absolute;top:3204" filled="f" stroked="f">
              <v:textbox inset="0,0,0,0">
                <w:txbxContent>
                  <w:p>
                    <w:pPr>
                      <w:spacing w:before="0" w:line="360" w:lineRule="exact"/>
                      <w:ind w:left="0" w:right="0" w:firstLine="0"/>
                      <w:jc w:val="left"/>
                      <w:rPr>
                        <w:sz w:val="36"/>
                      </w:rPr>
                    </w:pPr>
                    <w:r>
                      <w:rPr>
                        <w:sz w:val="36"/>
                      </w:rPr>
                      <w:t>120</w:t>
                    </w:r>
                  </w:p>
                </w:txbxContent>
              </v:textbox>
            </v:shape>
            <v:shape id="_x0000_s1057" type="#_x0000_t202" style="width:560;height:360;left:9347;position:absolute;top:3204" filled="f" stroked="f">
              <v:textbox inset="0,0,0,0">
                <w:txbxContent>
                  <w:p>
                    <w:pPr>
                      <w:spacing w:before="0" w:line="360" w:lineRule="exact"/>
                      <w:ind w:left="0" w:right="0" w:firstLine="0"/>
                      <w:jc w:val="left"/>
                      <w:rPr>
                        <w:sz w:val="36"/>
                      </w:rPr>
                    </w:pPr>
                    <w:r>
                      <w:rPr>
                        <w:sz w:val="36"/>
                      </w:rPr>
                      <w:t>150</w:t>
                    </w:r>
                  </w:p>
                </w:txbxContent>
              </v:textbox>
            </v:shape>
            <v:shape id="_x0000_s1058" type="#_x0000_t202" style="width:560;height:360;left:10323;position:absolute;top:3204" filled="f" stroked="f">
              <v:textbox inset="0,0,0,0">
                <w:txbxContent>
                  <w:p>
                    <w:pPr>
                      <w:spacing w:before="0" w:line="360" w:lineRule="exact"/>
                      <w:ind w:left="0" w:right="0" w:firstLine="0"/>
                      <w:jc w:val="left"/>
                      <w:rPr>
                        <w:sz w:val="36"/>
                      </w:rPr>
                    </w:pPr>
                    <w:r>
                      <w:rPr>
                        <w:sz w:val="36"/>
                      </w:rPr>
                      <w:t>205</w:t>
                    </w:r>
                  </w:p>
                </w:txbxContent>
              </v:textbox>
            </v:shape>
            <v:shape id="_x0000_s1059" type="#_x0000_t202" style="width:380;height:360;left:12126;position:absolute;top:3204" filled="f" stroked="f">
              <v:textbox inset="0,0,0,0">
                <w:txbxContent>
                  <w:p>
                    <w:pPr>
                      <w:spacing w:before="0" w:line="360" w:lineRule="exact"/>
                      <w:ind w:left="0" w:right="0" w:firstLine="0"/>
                      <w:jc w:val="left"/>
                      <w:rPr>
                        <w:sz w:val="36"/>
                      </w:rPr>
                    </w:pPr>
                    <w:r>
                      <w:rPr>
                        <w:sz w:val="36"/>
                      </w:rPr>
                      <w:t>≥</w:t>
                    </w:r>
                  </w:p>
                </w:txbxContent>
              </v:textbox>
            </v:shape>
            <v:shape id="_x0000_s1060" type="#_x0000_t202" style="width:740;height:360;left:14604;position:absolute;top:3204" filled="f" stroked="f">
              <v:textbox inset="0,0,0,0">
                <w:txbxContent>
                  <w:p>
                    <w:pPr>
                      <w:spacing w:before="0" w:line="360" w:lineRule="exact"/>
                      <w:ind w:left="0" w:right="0" w:firstLine="0"/>
                      <w:jc w:val="left"/>
                      <w:rPr>
                        <w:sz w:val="36"/>
                      </w:rPr>
                    </w:pPr>
                    <w:r>
                      <w:rPr>
                        <w:sz w:val="36"/>
                      </w:rPr>
                      <w:t>1000</w:t>
                    </w:r>
                  </w:p>
                </w:txbxContent>
              </v:textbox>
            </v:shape>
            <v:shape id="_x0000_s1061" type="#_x0000_t202" style="width:2360;height:360;left:1894;position:absolute;top:4155" filled="f" stroked="f">
              <v:textbox inset="0,0,0,0">
                <w:txbxContent>
                  <w:p>
                    <w:pPr>
                      <w:spacing w:before="0" w:line="360" w:lineRule="exact"/>
                      <w:ind w:left="0" w:right="0" w:firstLine="0"/>
                      <w:jc w:val="left"/>
                      <w:rPr>
                        <w:sz w:val="36"/>
                      </w:rPr>
                    </w:pPr>
                    <w:r>
                      <w:rPr>
                        <w:sz w:val="36"/>
                      </w:rPr>
                      <w:t>最高电压（V）</w:t>
                    </w:r>
                  </w:p>
                </w:txbxContent>
              </v:textbox>
            </v:shape>
            <v:shape id="_x0000_s1062" type="#_x0000_t202" style="width:2180;height:360;left:5249;position:absolute;top:4155" filled="f" stroked="f">
              <v:textbox inset="0,0,0,0">
                <w:txbxContent>
                  <w:p>
                    <w:pPr>
                      <w:spacing w:before="0" w:line="360" w:lineRule="exact"/>
                      <w:ind w:left="0" w:right="0" w:firstLine="0"/>
                      <w:jc w:val="left"/>
                      <w:rPr>
                        <w:sz w:val="36"/>
                      </w:rPr>
                    </w:pPr>
                    <w:r>
                      <w:rPr>
                        <w:sz w:val="36"/>
                      </w:rPr>
                      <w:t>最大允许电流</w:t>
                    </w:r>
                  </w:p>
                </w:txbxContent>
              </v:textbox>
            </v:shape>
            <v:shape id="_x0000_s1063" type="#_x0000_t202" style="width:5205;height:360;left:8202;position:absolute;top:4155" filled="f" stroked="f">
              <v:textbox inset="0,0,0,0">
                <w:txbxContent>
                  <w:p>
                    <w:pPr>
                      <w:spacing w:before="0" w:line="360" w:lineRule="exact"/>
                      <w:ind w:left="0" w:right="0" w:firstLine="0"/>
                      <w:jc w:val="left"/>
                      <w:rPr>
                        <w:sz w:val="36"/>
                      </w:rPr>
                    </w:pPr>
                    <w:r>
                      <w:rPr>
                        <w:sz w:val="36"/>
                      </w:rPr>
                      <w:t>耐低温温度（℃）</w:t>
                    </w:r>
                    <w:r>
                      <w:rPr>
                        <w:spacing w:val="-6"/>
                        <w:sz w:val="36"/>
                      </w:rPr>
                      <w:t xml:space="preserve"> 最小弯曲半径</w:t>
                    </w:r>
                  </w:p>
                </w:txbxContent>
              </v:textbox>
            </v:shape>
            <v:shape id="_x0000_s1064" type="#_x0000_t202" style="width:1460;height:360;left:14244;position:absolute;top:4155" filled="f" stroked="f">
              <v:textbox inset="0,0,0,0">
                <w:txbxContent>
                  <w:p>
                    <w:pPr>
                      <w:spacing w:before="0" w:line="360" w:lineRule="exact"/>
                      <w:ind w:left="0" w:right="0" w:firstLine="0"/>
                      <w:jc w:val="left"/>
                      <w:rPr>
                        <w:sz w:val="36"/>
                      </w:rPr>
                    </w:pPr>
                    <w:r>
                      <w:rPr>
                        <w:sz w:val="36"/>
                      </w:rPr>
                      <w:t>绝缘电阻</w:t>
                    </w:r>
                  </w:p>
                </w:txbxContent>
              </v:textbox>
            </v:shape>
            <v:shape id="_x0000_s1065" type="#_x0000_t202" style="width:1100;height:360;left:14424;position:absolute;top:5091" filled="f" stroked="f">
              <v:textbox inset="0,0,0,0">
                <w:txbxContent>
                  <w:p>
                    <w:pPr>
                      <w:spacing w:before="0" w:line="360" w:lineRule="exact"/>
                      <w:ind w:left="0" w:right="0" w:firstLine="0"/>
                      <w:jc w:val="left"/>
                      <w:rPr>
                        <w:sz w:val="36"/>
                      </w:rPr>
                    </w:pPr>
                    <w:r>
                      <w:rPr>
                        <w:sz w:val="36"/>
                      </w:rPr>
                      <w:t>(ΜΩ)</w:t>
                    </w:r>
                  </w:p>
                </w:txbxContent>
              </v:textbox>
            </v:shape>
            <v:shape id="_x0000_s1066" type="#_x0000_t202" style="width:740;height:360;left:2704;position:absolute;top:6042" filled="f" stroked="f">
              <v:textbox inset="0,0,0,0">
                <w:txbxContent>
                  <w:p>
                    <w:pPr>
                      <w:spacing w:before="0" w:line="360" w:lineRule="exact"/>
                      <w:ind w:left="0" w:right="0" w:firstLine="0"/>
                      <w:jc w:val="left"/>
                      <w:rPr>
                        <w:sz w:val="36"/>
                      </w:rPr>
                    </w:pPr>
                    <w:r>
                      <w:rPr>
                        <w:sz w:val="36"/>
                      </w:rPr>
                      <w:t>5000</w:t>
                    </w:r>
                  </w:p>
                </w:txbxContent>
              </v:textbox>
            </v:shape>
            <v:shape id="_x0000_s1067" type="#_x0000_t202" style="width:560;height:360;left:6060;position:absolute;top:6042" filled="f" stroked="f">
              <v:textbox inset="0,0,0,0">
                <w:txbxContent>
                  <w:p>
                    <w:pPr>
                      <w:spacing w:before="0" w:line="360" w:lineRule="exact"/>
                      <w:ind w:left="0" w:right="0" w:firstLine="0"/>
                      <w:jc w:val="left"/>
                      <w:rPr>
                        <w:sz w:val="36"/>
                      </w:rPr>
                    </w:pPr>
                    <w:r>
                      <w:rPr>
                        <w:sz w:val="36"/>
                      </w:rPr>
                      <w:t>50A</w:t>
                    </w:r>
                  </w:p>
                </w:txbxContent>
              </v:textbox>
            </v:shape>
            <v:shape id="_x0000_s1068" type="#_x0000_t202" style="width:560;height:360;left:9264;position:absolute;top:6042" filled="f" stroked="f">
              <v:textbox inset="0,0,0,0">
                <w:txbxContent>
                  <w:p>
                    <w:pPr>
                      <w:spacing w:before="0" w:line="360" w:lineRule="exact"/>
                      <w:ind w:left="0" w:right="0" w:firstLine="0"/>
                      <w:jc w:val="left"/>
                      <w:rPr>
                        <w:sz w:val="36"/>
                      </w:rPr>
                    </w:pPr>
                    <w:r>
                      <w:rPr>
                        <w:sz w:val="36"/>
                      </w:rPr>
                      <w:t>-60</w:t>
                    </w:r>
                  </w:p>
                </w:txbxContent>
              </v:textbox>
            </v:shape>
            <v:shape id="_x0000_s1069" type="#_x0000_t202" style="width:920;height:360;left:11856;position:absolute;top:6042" filled="f" stroked="f">
              <v:textbox inset="0,0,0,0">
                <w:txbxContent>
                  <w:p>
                    <w:pPr>
                      <w:spacing w:before="0" w:line="360" w:lineRule="exact"/>
                      <w:ind w:left="0" w:right="0" w:firstLine="0"/>
                      <w:jc w:val="left"/>
                      <w:rPr>
                        <w:sz w:val="36"/>
                      </w:rPr>
                    </w:pPr>
                    <w:r>
                      <w:rPr>
                        <w:sz w:val="36"/>
                      </w:rPr>
                      <w:t>250mm</w:t>
                    </w:r>
                  </w:p>
                </w:txbxContent>
              </v:textbox>
            </v:shape>
            <v:shape id="_x0000_s1070" type="#_x0000_t202" style="width:1100;height:360;left:14424;position:absolute;top:6042" filled="f" stroked="f">
              <v:textbox inset="0,0,0,0">
                <w:txbxContent>
                  <w:p>
                    <w:pPr>
                      <w:spacing w:before="0" w:line="360" w:lineRule="exact"/>
                      <w:ind w:left="0" w:right="0" w:firstLine="0"/>
                      <w:jc w:val="left"/>
                      <w:rPr>
                        <w:sz w:val="36"/>
                      </w:rPr>
                    </w:pPr>
                    <w:r>
                      <w:rPr>
                        <w:sz w:val="36"/>
                      </w:rPr>
                      <w:t>≥1500</w:t>
                    </w:r>
                  </w:p>
                </w:txbxContent>
              </v:textbox>
            </v:shape>
          </v:group>
        </w:pict>
      </w:r>
      <w:r>
        <w:t>、空心抽油杆电加热装置参数； A.加热电缆大体参数见表四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00" w:line="487" w:lineRule="auto"/>
        <w:ind w:left="1144" w:right="5932" w:firstLine="4140"/>
      </w:pPr>
      <w:r>
        <w:t>表四加热电缆大体参数B、供电装置大体参数和适用加热深度见表五：</w:t>
      </w:r>
    </w:p>
    <w:p>
      <w:pPr>
        <w:spacing w:after="0" w:line="487" w:lineRule="auto"/>
        <w:sectPr>
          <w:pgSz w:w="17860" w:h="25260"/>
          <w:pgMar w:top="2420" w:right="1480" w:bottom="280" w:left="1560" w:header="708" w:footer="708"/>
          <w:pgNumType w:start="17"/>
          <w:cols w:space="708"/>
        </w:sectPr>
      </w:pPr>
    </w:p>
    <w:p>
      <w:pPr>
        <w:pStyle w:val="BodyText"/>
        <w:spacing w:before="37" w:line="487" w:lineRule="auto"/>
        <w:ind w:left="1144" w:right="2913"/>
      </w:pPr>
      <w:r>
        <w:t>一、输入电压：三相，380V±5%，50HZ（三相</w:t>
      </w:r>
      <w:r>
        <w:rPr>
          <w:spacing w:val="-2"/>
        </w:rPr>
        <w:t>，440V±5%，60HZ</w:t>
      </w:r>
      <w:r>
        <w:rPr>
          <w:spacing w:val="-182"/>
        </w:rPr>
        <w:t>）</w:t>
      </w:r>
      <w:r>
        <w:rPr>
          <w:spacing w:val="-2"/>
        </w:rPr>
        <w:t>；</w:t>
      </w:r>
      <w:r>
        <w:t xml:space="preserve"> 2</w:t>
      </w:r>
      <w:r>
        <w:rPr>
          <w:spacing w:val="-12"/>
        </w:rPr>
        <w:t>、 输出电压：单相，</w:t>
      </w:r>
      <w:r>
        <w:t>300-900V</w:t>
      </w:r>
      <w:r>
        <w:rPr>
          <w:spacing w:val="-23"/>
        </w:rPr>
        <w:t xml:space="preserve"> 可调；</w:t>
      </w:r>
    </w:p>
    <w:p>
      <w:pPr>
        <w:pStyle w:val="BodyText"/>
        <w:ind w:left="1144"/>
      </w:pPr>
      <w:r>
        <w:t>3、 供电功率因数：cosФ≥；</w:t>
      </w:r>
    </w:p>
    <w:p>
      <w:pPr>
        <w:pStyle w:val="BodyText"/>
        <w:rPr>
          <w:sz w:val="37"/>
        </w:rPr>
      </w:pPr>
    </w:p>
    <w:p>
      <w:pPr>
        <w:pStyle w:val="BodyText"/>
        <w:spacing w:before="1"/>
        <w:ind w:left="1144"/>
      </w:pPr>
      <w:r>
        <w:drawing>
          <wp:anchor distT="0" distB="0" distL="0" distR="0" simplePos="0" relativeHeight="251673600" behindDoc="1" locked="0" layoutInCell="1" allowOverlap="1">
            <wp:simplePos x="0" y="0"/>
            <wp:positionH relativeFrom="page">
              <wp:posOffset>1600200</wp:posOffset>
            </wp:positionH>
            <wp:positionV relativeFrom="paragraph">
              <wp:posOffset>506476</wp:posOffset>
            </wp:positionV>
            <wp:extent cx="8703087" cy="3635787"/>
            <wp:effectExtent l="0" t="0" r="0" b="0"/>
            <wp:wrapNone/>
            <wp:docPr id="2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4.png"/>
                    <pic:cNvPicPr/>
                  </pic:nvPicPr>
                  <pic:blipFill>
                    <a:blip xmlns:r="http://schemas.openxmlformats.org/officeDocument/2006/relationships" r:embed="rId27" cstate="print"/>
                    <a:stretch>
                      <a:fillRect/>
                    </a:stretch>
                  </pic:blipFill>
                  <pic:spPr>
                    <a:xfrm>
                      <a:off x="0" y="0"/>
                      <a:ext cx="8703087" cy="3635787"/>
                    </a:xfrm>
                    <a:prstGeom prst="rect">
                      <a:avLst/>
                    </a:prstGeom>
                  </pic:spPr>
                </pic:pic>
              </a:graphicData>
            </a:graphic>
          </wp:anchor>
        </w:drawing>
      </w:r>
      <w:r>
        <w:t>4、三相电流不平衡度：≤10%</w:t>
      </w:r>
    </w:p>
    <w:p>
      <w:pPr>
        <w:pStyle w:val="BodyText"/>
        <w:rPr>
          <w:sz w:val="20"/>
        </w:rPr>
      </w:pPr>
    </w:p>
    <w:p>
      <w:pPr>
        <w:pStyle w:val="BodyText"/>
        <w:spacing w:before="8" w:after="1"/>
        <w:rPr>
          <w:sz w:val="29"/>
        </w:rPr>
      </w:pPr>
    </w:p>
    <w:tbl>
      <w:tblPr>
        <w:tblStyle w:val="TableNormal2"/>
        <w:tblW w:w="0" w:type="auto"/>
        <w:jc w:val="left"/>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97"/>
        <w:gridCol w:w="1730"/>
        <w:gridCol w:w="714"/>
        <w:gridCol w:w="1812"/>
        <w:gridCol w:w="1706"/>
        <w:gridCol w:w="1676"/>
        <w:gridCol w:w="1590"/>
      </w:tblGrid>
      <w:tr>
        <w:tblPrEx>
          <w:tblW w:w="0" w:type="auto"/>
          <w:jc w:val="left"/>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4197" w:type="dxa"/>
          </w:tcPr>
          <w:p>
            <w:pPr>
              <w:pStyle w:val="TableParagraph"/>
              <w:spacing w:line="340" w:lineRule="exact"/>
              <w:ind w:right="300"/>
              <w:jc w:val="right"/>
              <w:rPr>
                <w:sz w:val="36"/>
              </w:rPr>
            </w:pPr>
            <w:r>
              <w:rPr>
                <w:sz w:val="36"/>
              </w:rPr>
              <w:t>额定容</w:t>
            </w:r>
          </w:p>
        </w:tc>
        <w:tc>
          <w:tcPr>
            <w:tcW w:w="1730" w:type="dxa"/>
          </w:tcPr>
          <w:p>
            <w:pPr>
              <w:pStyle w:val="TableParagraph"/>
              <w:spacing w:line="340" w:lineRule="exact"/>
              <w:ind w:left="303" w:right="-15"/>
              <w:jc w:val="center"/>
              <w:rPr>
                <w:sz w:val="36"/>
              </w:rPr>
            </w:pPr>
            <w:r>
              <w:rPr>
                <w:spacing w:val="-5"/>
                <w:sz w:val="36"/>
              </w:rPr>
              <w:t>电源电压</w:t>
            </w:r>
          </w:p>
        </w:tc>
        <w:tc>
          <w:tcPr>
            <w:tcW w:w="2526" w:type="dxa"/>
            <w:gridSpan w:val="2"/>
          </w:tcPr>
          <w:p>
            <w:pPr>
              <w:pStyle w:val="TableParagraph"/>
              <w:spacing w:line="340" w:lineRule="exact"/>
              <w:ind w:left="542"/>
              <w:rPr>
                <w:sz w:val="36"/>
              </w:rPr>
            </w:pPr>
            <w:r>
              <w:rPr>
                <w:sz w:val="36"/>
              </w:rPr>
              <w:t>额定输入电</w:t>
            </w:r>
          </w:p>
        </w:tc>
        <w:tc>
          <w:tcPr>
            <w:tcW w:w="1706" w:type="dxa"/>
          </w:tcPr>
          <w:p>
            <w:pPr>
              <w:pStyle w:val="TableParagraph"/>
              <w:spacing w:line="340" w:lineRule="exact"/>
              <w:ind w:left="119" w:right="103"/>
              <w:jc w:val="center"/>
              <w:rPr>
                <w:sz w:val="36"/>
              </w:rPr>
            </w:pPr>
            <w:r>
              <w:rPr>
                <w:sz w:val="36"/>
              </w:rPr>
              <w:t>额定输</w:t>
            </w:r>
          </w:p>
        </w:tc>
        <w:tc>
          <w:tcPr>
            <w:tcW w:w="1676" w:type="dxa"/>
          </w:tcPr>
          <w:p>
            <w:pPr>
              <w:pStyle w:val="TableParagraph"/>
              <w:spacing w:line="340" w:lineRule="exact"/>
              <w:ind w:left="190" w:right="180"/>
              <w:jc w:val="center"/>
              <w:rPr>
                <w:sz w:val="36"/>
              </w:rPr>
            </w:pPr>
            <w:r>
              <w:rPr>
                <w:sz w:val="36"/>
              </w:rPr>
              <w:t>额定输</w:t>
            </w:r>
          </w:p>
        </w:tc>
        <w:tc>
          <w:tcPr>
            <w:tcW w:w="1590" w:type="dxa"/>
          </w:tcPr>
          <w:p>
            <w:pPr>
              <w:pStyle w:val="TableParagraph"/>
              <w:spacing w:line="340" w:lineRule="exact"/>
              <w:ind w:left="327"/>
              <w:rPr>
                <w:sz w:val="36"/>
              </w:rPr>
            </w:pPr>
            <w:r>
              <w:rPr>
                <w:sz w:val="36"/>
              </w:rPr>
              <w:t>适用加</w:t>
            </w:r>
          </w:p>
        </w:tc>
      </w:tr>
      <w:tr>
        <w:tblPrEx>
          <w:tblW w:w="0" w:type="auto"/>
          <w:jc w:val="left"/>
          <w:tblInd w:w="1101" w:type="dxa"/>
          <w:tblLayout w:type="fixed"/>
          <w:tblCellMar>
            <w:top w:w="0" w:type="dxa"/>
            <w:left w:w="0" w:type="dxa"/>
            <w:bottom w:w="0" w:type="dxa"/>
            <w:right w:w="0" w:type="dxa"/>
          </w:tblCellMar>
          <w:tblLook w:val="01E0"/>
        </w:tblPrEx>
        <w:trPr>
          <w:trHeight w:val="522"/>
          <w:jc w:val="left"/>
        </w:trPr>
        <w:tc>
          <w:tcPr>
            <w:tcW w:w="4197" w:type="dxa"/>
          </w:tcPr>
          <w:p>
            <w:pPr>
              <w:pStyle w:val="TableParagraph"/>
              <w:spacing w:before="57" w:line="445" w:lineRule="exact"/>
              <w:ind w:left="132"/>
              <w:rPr>
                <w:sz w:val="36"/>
              </w:rPr>
            </w:pPr>
            <w:r>
              <w:rPr>
                <w:sz w:val="36"/>
              </w:rPr>
              <w:t>供电装置型号</w:t>
            </w:r>
          </w:p>
        </w:tc>
        <w:tc>
          <w:tcPr>
            <w:tcW w:w="1730" w:type="dxa"/>
          </w:tcPr>
          <w:p>
            <w:pPr>
              <w:pStyle w:val="TableParagraph"/>
              <w:rPr>
                <w:rFonts w:ascii="Times New Roman"/>
                <w:sz w:val="36"/>
              </w:rPr>
            </w:pPr>
          </w:p>
        </w:tc>
        <w:tc>
          <w:tcPr>
            <w:tcW w:w="714" w:type="dxa"/>
          </w:tcPr>
          <w:p>
            <w:pPr>
              <w:pStyle w:val="TableParagraph"/>
              <w:rPr>
                <w:rFonts w:ascii="Times New Roman"/>
                <w:sz w:val="36"/>
              </w:rPr>
            </w:pPr>
          </w:p>
        </w:tc>
        <w:tc>
          <w:tcPr>
            <w:tcW w:w="1812" w:type="dxa"/>
          </w:tcPr>
          <w:p>
            <w:pPr>
              <w:pStyle w:val="TableParagraph"/>
              <w:rPr>
                <w:rFonts w:ascii="Times New Roman"/>
                <w:sz w:val="36"/>
              </w:rPr>
            </w:pPr>
          </w:p>
        </w:tc>
        <w:tc>
          <w:tcPr>
            <w:tcW w:w="1706" w:type="dxa"/>
          </w:tcPr>
          <w:p>
            <w:pPr>
              <w:pStyle w:val="TableParagraph"/>
              <w:rPr>
                <w:rFonts w:ascii="Times New Roman"/>
                <w:sz w:val="36"/>
              </w:rPr>
            </w:pPr>
          </w:p>
        </w:tc>
        <w:tc>
          <w:tcPr>
            <w:tcW w:w="1676" w:type="dxa"/>
          </w:tcPr>
          <w:p>
            <w:pPr>
              <w:pStyle w:val="TableParagraph"/>
              <w:rPr>
                <w:rFonts w:ascii="Times New Roman"/>
                <w:sz w:val="36"/>
              </w:rPr>
            </w:pPr>
          </w:p>
        </w:tc>
        <w:tc>
          <w:tcPr>
            <w:tcW w:w="1590" w:type="dxa"/>
          </w:tcPr>
          <w:p>
            <w:pPr>
              <w:pStyle w:val="TableParagraph"/>
              <w:rPr>
                <w:rFonts w:ascii="Times New Roman"/>
                <w:sz w:val="36"/>
              </w:rPr>
            </w:pPr>
          </w:p>
        </w:tc>
      </w:tr>
      <w:tr>
        <w:tblPrEx>
          <w:tblW w:w="0" w:type="auto"/>
          <w:jc w:val="left"/>
          <w:tblInd w:w="1101" w:type="dxa"/>
          <w:tblLayout w:type="fixed"/>
          <w:tblCellMar>
            <w:top w:w="0" w:type="dxa"/>
            <w:left w:w="0" w:type="dxa"/>
            <w:bottom w:w="0" w:type="dxa"/>
            <w:right w:w="0" w:type="dxa"/>
          </w:tblCellMar>
          <w:tblLook w:val="01E0"/>
        </w:tblPrEx>
        <w:trPr>
          <w:trHeight w:val="709"/>
          <w:jc w:val="left"/>
        </w:trPr>
        <w:tc>
          <w:tcPr>
            <w:tcW w:w="4197" w:type="dxa"/>
          </w:tcPr>
          <w:p>
            <w:pPr>
              <w:pStyle w:val="TableParagraph"/>
              <w:spacing w:before="3"/>
              <w:ind w:right="346"/>
              <w:jc w:val="right"/>
              <w:rPr>
                <w:sz w:val="36"/>
              </w:rPr>
            </w:pPr>
            <w:r>
              <w:rPr>
                <w:sz w:val="36"/>
              </w:rPr>
              <w:t>量 KVA</w:t>
            </w:r>
          </w:p>
        </w:tc>
        <w:tc>
          <w:tcPr>
            <w:tcW w:w="1730" w:type="dxa"/>
          </w:tcPr>
          <w:p>
            <w:pPr>
              <w:pStyle w:val="TableParagraph"/>
              <w:spacing w:before="3"/>
              <w:ind w:left="463" w:right="147"/>
              <w:jc w:val="center"/>
              <w:rPr>
                <w:sz w:val="36"/>
              </w:rPr>
            </w:pPr>
            <w:r>
              <w:rPr>
                <w:sz w:val="36"/>
              </w:rPr>
              <w:t>±10%V</w:t>
            </w:r>
          </w:p>
        </w:tc>
        <w:tc>
          <w:tcPr>
            <w:tcW w:w="714" w:type="dxa"/>
          </w:tcPr>
          <w:p>
            <w:pPr>
              <w:pStyle w:val="TableParagraph"/>
              <w:rPr>
                <w:rFonts w:ascii="Times New Roman"/>
                <w:sz w:val="36"/>
              </w:rPr>
            </w:pPr>
          </w:p>
        </w:tc>
        <w:tc>
          <w:tcPr>
            <w:tcW w:w="1812" w:type="dxa"/>
          </w:tcPr>
          <w:p>
            <w:pPr>
              <w:pStyle w:val="TableParagraph"/>
              <w:spacing w:before="3"/>
              <w:ind w:right="352"/>
              <w:jc w:val="center"/>
              <w:rPr>
                <w:sz w:val="36"/>
              </w:rPr>
            </w:pPr>
            <w:r>
              <w:rPr>
                <w:sz w:val="36"/>
              </w:rPr>
              <w:t>流±10%A</w:t>
            </w:r>
          </w:p>
        </w:tc>
        <w:tc>
          <w:tcPr>
            <w:tcW w:w="1706" w:type="dxa"/>
          </w:tcPr>
          <w:p>
            <w:pPr>
              <w:pStyle w:val="TableParagraph"/>
              <w:spacing w:before="3"/>
              <w:ind w:left="123" w:right="103"/>
              <w:jc w:val="center"/>
              <w:rPr>
                <w:sz w:val="36"/>
              </w:rPr>
            </w:pPr>
            <w:r>
              <w:rPr>
                <w:sz w:val="36"/>
              </w:rPr>
              <w:t>出电压 V</w:t>
            </w:r>
          </w:p>
        </w:tc>
        <w:tc>
          <w:tcPr>
            <w:tcW w:w="1676" w:type="dxa"/>
          </w:tcPr>
          <w:p>
            <w:pPr>
              <w:pStyle w:val="TableParagraph"/>
              <w:spacing w:before="3"/>
              <w:ind w:left="195" w:right="180"/>
              <w:jc w:val="center"/>
              <w:rPr>
                <w:sz w:val="36"/>
              </w:rPr>
            </w:pPr>
            <w:r>
              <w:rPr>
                <w:sz w:val="36"/>
              </w:rPr>
              <w:t>出电流A</w:t>
            </w:r>
          </w:p>
        </w:tc>
        <w:tc>
          <w:tcPr>
            <w:tcW w:w="1590" w:type="dxa"/>
          </w:tcPr>
          <w:p>
            <w:pPr>
              <w:pStyle w:val="TableParagraph"/>
              <w:spacing w:before="3"/>
              <w:ind w:left="194"/>
              <w:rPr>
                <w:sz w:val="36"/>
              </w:rPr>
            </w:pPr>
            <w:r>
              <w:rPr>
                <w:spacing w:val="-23"/>
                <w:sz w:val="36"/>
              </w:rPr>
              <w:t xml:space="preserve">热深度 </w:t>
            </w:r>
            <w:r>
              <w:rPr>
                <w:sz w:val="36"/>
              </w:rPr>
              <w:t>M</w:t>
            </w:r>
          </w:p>
        </w:tc>
      </w:tr>
      <w:tr>
        <w:tblPrEx>
          <w:tblW w:w="0" w:type="auto"/>
          <w:jc w:val="left"/>
          <w:tblInd w:w="1101" w:type="dxa"/>
          <w:tblLayout w:type="fixed"/>
          <w:tblCellMar>
            <w:top w:w="0" w:type="dxa"/>
            <w:left w:w="0" w:type="dxa"/>
            <w:bottom w:w="0" w:type="dxa"/>
            <w:right w:w="0" w:type="dxa"/>
          </w:tblCellMar>
          <w:tblLook w:val="01E0"/>
        </w:tblPrEx>
        <w:trPr>
          <w:trHeight w:val="950"/>
          <w:jc w:val="left"/>
        </w:trPr>
        <w:tc>
          <w:tcPr>
            <w:tcW w:w="4197" w:type="dxa"/>
          </w:tcPr>
          <w:p>
            <w:pPr>
              <w:pStyle w:val="TableParagraph"/>
              <w:tabs>
                <w:tab w:val="right" w:pos="3535"/>
              </w:tabs>
              <w:spacing w:before="245"/>
              <w:ind w:left="50"/>
              <w:rPr>
                <w:sz w:val="36"/>
              </w:rPr>
            </w:pPr>
            <w:r>
              <w:rPr>
                <w:sz w:val="36"/>
              </w:rPr>
              <w:t>SG5A-50/</w:t>
              <w:tab/>
              <w:t>50</w:t>
            </w:r>
          </w:p>
        </w:tc>
        <w:tc>
          <w:tcPr>
            <w:tcW w:w="1730" w:type="dxa"/>
          </w:tcPr>
          <w:p>
            <w:pPr>
              <w:pStyle w:val="TableParagraph"/>
              <w:spacing w:before="245"/>
              <w:ind w:left="463" w:right="147"/>
              <w:jc w:val="center"/>
              <w:rPr>
                <w:sz w:val="36"/>
              </w:rPr>
            </w:pPr>
            <w:r>
              <w:rPr>
                <w:sz w:val="36"/>
              </w:rPr>
              <w:t>380</w:t>
            </w:r>
          </w:p>
        </w:tc>
        <w:tc>
          <w:tcPr>
            <w:tcW w:w="714" w:type="dxa"/>
          </w:tcPr>
          <w:p>
            <w:pPr>
              <w:pStyle w:val="TableParagraph"/>
              <w:rPr>
                <w:rFonts w:ascii="Times New Roman"/>
                <w:sz w:val="36"/>
              </w:rPr>
            </w:pPr>
          </w:p>
        </w:tc>
        <w:tc>
          <w:tcPr>
            <w:tcW w:w="1812" w:type="dxa"/>
          </w:tcPr>
          <w:p>
            <w:pPr>
              <w:pStyle w:val="TableParagraph"/>
              <w:spacing w:before="245"/>
              <w:ind w:right="351"/>
              <w:jc w:val="center"/>
              <w:rPr>
                <w:sz w:val="36"/>
              </w:rPr>
            </w:pPr>
            <w:r>
              <w:rPr>
                <w:sz w:val="36"/>
              </w:rPr>
              <w:t>75</w:t>
            </w:r>
          </w:p>
        </w:tc>
        <w:tc>
          <w:tcPr>
            <w:tcW w:w="1706" w:type="dxa"/>
          </w:tcPr>
          <w:p>
            <w:pPr>
              <w:pStyle w:val="TableParagraph"/>
              <w:spacing w:before="245"/>
              <w:ind w:left="119" w:right="103"/>
              <w:jc w:val="center"/>
              <w:rPr>
                <w:sz w:val="36"/>
              </w:rPr>
            </w:pPr>
            <w:r>
              <w:rPr>
                <w:sz w:val="36"/>
              </w:rPr>
              <w:t>360</w:t>
            </w:r>
          </w:p>
        </w:tc>
        <w:tc>
          <w:tcPr>
            <w:tcW w:w="1676" w:type="dxa"/>
          </w:tcPr>
          <w:p>
            <w:pPr>
              <w:pStyle w:val="TableParagraph"/>
              <w:spacing w:before="245"/>
              <w:ind w:left="192" w:right="180"/>
              <w:jc w:val="center"/>
              <w:rPr>
                <w:sz w:val="36"/>
              </w:rPr>
            </w:pPr>
            <w:r>
              <w:rPr>
                <w:sz w:val="36"/>
              </w:rPr>
              <w:t>140</w:t>
            </w:r>
          </w:p>
        </w:tc>
        <w:tc>
          <w:tcPr>
            <w:tcW w:w="1590" w:type="dxa"/>
          </w:tcPr>
          <w:p>
            <w:pPr>
              <w:pStyle w:val="TableParagraph"/>
              <w:spacing w:before="245"/>
              <w:ind w:left="165"/>
              <w:rPr>
                <w:sz w:val="36"/>
              </w:rPr>
            </w:pPr>
            <w:r>
              <w:rPr>
                <w:sz w:val="36"/>
              </w:rPr>
              <w:t>≤1000</w:t>
            </w:r>
          </w:p>
        </w:tc>
      </w:tr>
      <w:tr>
        <w:tblPrEx>
          <w:tblW w:w="0" w:type="auto"/>
          <w:jc w:val="left"/>
          <w:tblInd w:w="1101" w:type="dxa"/>
          <w:tblLayout w:type="fixed"/>
          <w:tblCellMar>
            <w:top w:w="0" w:type="dxa"/>
            <w:left w:w="0" w:type="dxa"/>
            <w:bottom w:w="0" w:type="dxa"/>
            <w:right w:w="0" w:type="dxa"/>
          </w:tblCellMar>
          <w:tblLook w:val="01E0"/>
        </w:tblPrEx>
        <w:trPr>
          <w:trHeight w:val="950"/>
          <w:jc w:val="left"/>
        </w:trPr>
        <w:tc>
          <w:tcPr>
            <w:tcW w:w="4197" w:type="dxa"/>
          </w:tcPr>
          <w:p>
            <w:pPr>
              <w:pStyle w:val="TableParagraph"/>
              <w:tabs>
                <w:tab w:val="right" w:pos="3535"/>
              </w:tabs>
              <w:spacing w:before="244"/>
              <w:ind w:left="50"/>
              <w:rPr>
                <w:sz w:val="36"/>
              </w:rPr>
            </w:pPr>
            <w:r>
              <w:rPr>
                <w:sz w:val="36"/>
              </w:rPr>
              <w:t>SG5A-75/</w:t>
              <w:tab/>
              <w:t>75</w:t>
            </w:r>
          </w:p>
        </w:tc>
        <w:tc>
          <w:tcPr>
            <w:tcW w:w="1730" w:type="dxa"/>
          </w:tcPr>
          <w:p>
            <w:pPr>
              <w:pStyle w:val="TableParagraph"/>
              <w:spacing w:before="244"/>
              <w:ind w:left="463" w:right="147"/>
              <w:jc w:val="center"/>
              <w:rPr>
                <w:sz w:val="36"/>
              </w:rPr>
            </w:pPr>
            <w:r>
              <w:rPr>
                <w:sz w:val="36"/>
              </w:rPr>
              <w:t>380</w:t>
            </w:r>
          </w:p>
        </w:tc>
        <w:tc>
          <w:tcPr>
            <w:tcW w:w="714" w:type="dxa"/>
          </w:tcPr>
          <w:p>
            <w:pPr>
              <w:pStyle w:val="TableParagraph"/>
              <w:rPr>
                <w:rFonts w:ascii="Times New Roman"/>
                <w:sz w:val="36"/>
              </w:rPr>
            </w:pPr>
          </w:p>
        </w:tc>
        <w:tc>
          <w:tcPr>
            <w:tcW w:w="1812" w:type="dxa"/>
          </w:tcPr>
          <w:p>
            <w:pPr>
              <w:pStyle w:val="TableParagraph"/>
              <w:spacing w:before="244"/>
              <w:ind w:right="351"/>
              <w:jc w:val="center"/>
              <w:rPr>
                <w:sz w:val="36"/>
              </w:rPr>
            </w:pPr>
            <w:r>
              <w:rPr>
                <w:sz w:val="36"/>
              </w:rPr>
              <w:t>110</w:t>
            </w:r>
          </w:p>
        </w:tc>
        <w:tc>
          <w:tcPr>
            <w:tcW w:w="1706" w:type="dxa"/>
          </w:tcPr>
          <w:p>
            <w:pPr>
              <w:pStyle w:val="TableParagraph"/>
              <w:spacing w:before="244"/>
              <w:ind w:left="119" w:right="103"/>
              <w:jc w:val="center"/>
              <w:rPr>
                <w:sz w:val="36"/>
              </w:rPr>
            </w:pPr>
            <w:r>
              <w:rPr>
                <w:sz w:val="36"/>
              </w:rPr>
              <w:t>510</w:t>
            </w:r>
          </w:p>
        </w:tc>
        <w:tc>
          <w:tcPr>
            <w:tcW w:w="1676" w:type="dxa"/>
          </w:tcPr>
          <w:p>
            <w:pPr>
              <w:pStyle w:val="TableParagraph"/>
              <w:spacing w:before="244"/>
              <w:ind w:left="192" w:right="180"/>
              <w:jc w:val="center"/>
              <w:rPr>
                <w:sz w:val="36"/>
              </w:rPr>
            </w:pPr>
            <w:r>
              <w:rPr>
                <w:sz w:val="36"/>
              </w:rPr>
              <w:t>150</w:t>
            </w:r>
          </w:p>
        </w:tc>
        <w:tc>
          <w:tcPr>
            <w:tcW w:w="1590" w:type="dxa"/>
          </w:tcPr>
          <w:p>
            <w:pPr>
              <w:pStyle w:val="TableParagraph"/>
              <w:spacing w:before="244"/>
              <w:ind w:left="165"/>
              <w:rPr>
                <w:sz w:val="36"/>
              </w:rPr>
            </w:pPr>
            <w:r>
              <w:rPr>
                <w:sz w:val="36"/>
              </w:rPr>
              <w:t>≤1300</w:t>
            </w:r>
          </w:p>
        </w:tc>
      </w:tr>
      <w:tr>
        <w:tblPrEx>
          <w:tblW w:w="0" w:type="auto"/>
          <w:jc w:val="left"/>
          <w:tblInd w:w="1101" w:type="dxa"/>
          <w:tblLayout w:type="fixed"/>
          <w:tblCellMar>
            <w:top w:w="0" w:type="dxa"/>
            <w:left w:w="0" w:type="dxa"/>
            <w:bottom w:w="0" w:type="dxa"/>
            <w:right w:w="0" w:type="dxa"/>
          </w:tblCellMar>
          <w:tblLook w:val="01E0"/>
        </w:tblPrEx>
        <w:trPr>
          <w:trHeight w:val="952"/>
          <w:jc w:val="left"/>
        </w:trPr>
        <w:tc>
          <w:tcPr>
            <w:tcW w:w="4197" w:type="dxa"/>
          </w:tcPr>
          <w:p>
            <w:pPr>
              <w:pStyle w:val="TableParagraph"/>
              <w:tabs>
                <w:tab w:val="right" w:pos="3625"/>
              </w:tabs>
              <w:spacing w:before="244"/>
              <w:ind w:left="50"/>
              <w:rPr>
                <w:sz w:val="36"/>
              </w:rPr>
            </w:pPr>
            <w:r>
              <w:rPr>
                <w:sz w:val="36"/>
              </w:rPr>
              <w:t>SG5A-100/</w:t>
              <w:tab/>
              <w:t>100</w:t>
            </w:r>
          </w:p>
        </w:tc>
        <w:tc>
          <w:tcPr>
            <w:tcW w:w="1730" w:type="dxa"/>
          </w:tcPr>
          <w:p>
            <w:pPr>
              <w:pStyle w:val="TableParagraph"/>
              <w:spacing w:before="244"/>
              <w:ind w:left="463" w:right="147"/>
              <w:jc w:val="center"/>
              <w:rPr>
                <w:sz w:val="36"/>
              </w:rPr>
            </w:pPr>
            <w:r>
              <w:rPr>
                <w:sz w:val="36"/>
              </w:rPr>
              <w:t>380</w:t>
            </w:r>
          </w:p>
        </w:tc>
        <w:tc>
          <w:tcPr>
            <w:tcW w:w="714" w:type="dxa"/>
          </w:tcPr>
          <w:p>
            <w:pPr>
              <w:pStyle w:val="TableParagraph"/>
              <w:rPr>
                <w:rFonts w:ascii="Times New Roman"/>
                <w:sz w:val="36"/>
              </w:rPr>
            </w:pPr>
          </w:p>
        </w:tc>
        <w:tc>
          <w:tcPr>
            <w:tcW w:w="1812" w:type="dxa"/>
          </w:tcPr>
          <w:p>
            <w:pPr>
              <w:pStyle w:val="TableParagraph"/>
              <w:spacing w:before="244"/>
              <w:ind w:right="351"/>
              <w:jc w:val="center"/>
              <w:rPr>
                <w:sz w:val="36"/>
              </w:rPr>
            </w:pPr>
            <w:r>
              <w:rPr>
                <w:sz w:val="36"/>
              </w:rPr>
              <w:t>140</w:t>
            </w:r>
          </w:p>
        </w:tc>
        <w:tc>
          <w:tcPr>
            <w:tcW w:w="1706" w:type="dxa"/>
          </w:tcPr>
          <w:p>
            <w:pPr>
              <w:pStyle w:val="TableParagraph"/>
              <w:spacing w:before="244"/>
              <w:ind w:left="119" w:right="103"/>
              <w:jc w:val="center"/>
              <w:rPr>
                <w:sz w:val="36"/>
              </w:rPr>
            </w:pPr>
            <w:r>
              <w:rPr>
                <w:sz w:val="36"/>
              </w:rPr>
              <w:t>630</w:t>
            </w:r>
          </w:p>
        </w:tc>
        <w:tc>
          <w:tcPr>
            <w:tcW w:w="1676" w:type="dxa"/>
          </w:tcPr>
          <w:p>
            <w:pPr>
              <w:pStyle w:val="TableParagraph"/>
              <w:spacing w:before="244"/>
              <w:ind w:left="192" w:right="180"/>
              <w:jc w:val="center"/>
              <w:rPr>
                <w:sz w:val="36"/>
              </w:rPr>
            </w:pPr>
            <w:r>
              <w:rPr>
                <w:sz w:val="36"/>
              </w:rPr>
              <w:t>160</w:t>
            </w:r>
          </w:p>
        </w:tc>
        <w:tc>
          <w:tcPr>
            <w:tcW w:w="1590" w:type="dxa"/>
          </w:tcPr>
          <w:p>
            <w:pPr>
              <w:pStyle w:val="TableParagraph"/>
              <w:spacing w:before="244"/>
              <w:ind w:left="165"/>
              <w:rPr>
                <w:sz w:val="36"/>
              </w:rPr>
            </w:pPr>
            <w:r>
              <w:rPr>
                <w:sz w:val="36"/>
              </w:rPr>
              <w:t>≤1500</w:t>
            </w:r>
          </w:p>
        </w:tc>
      </w:tr>
      <w:tr>
        <w:tblPrEx>
          <w:tblW w:w="0" w:type="auto"/>
          <w:jc w:val="left"/>
          <w:tblInd w:w="1101" w:type="dxa"/>
          <w:tblLayout w:type="fixed"/>
          <w:tblCellMar>
            <w:top w:w="0" w:type="dxa"/>
            <w:left w:w="0" w:type="dxa"/>
            <w:bottom w:w="0" w:type="dxa"/>
            <w:right w:w="0" w:type="dxa"/>
          </w:tblCellMar>
          <w:tblLook w:val="01E0"/>
        </w:tblPrEx>
        <w:trPr>
          <w:trHeight w:val="952"/>
          <w:jc w:val="left"/>
        </w:trPr>
        <w:tc>
          <w:tcPr>
            <w:tcW w:w="4197" w:type="dxa"/>
          </w:tcPr>
          <w:p>
            <w:pPr>
              <w:pStyle w:val="TableParagraph"/>
              <w:tabs>
                <w:tab w:val="right" w:pos="3625"/>
              </w:tabs>
              <w:spacing w:before="246"/>
              <w:ind w:left="50"/>
              <w:rPr>
                <w:sz w:val="36"/>
              </w:rPr>
            </w:pPr>
            <w:r>
              <w:rPr>
                <w:sz w:val="36"/>
              </w:rPr>
              <w:t>SG5A-135/</w:t>
              <w:tab/>
              <w:t>135</w:t>
            </w:r>
          </w:p>
        </w:tc>
        <w:tc>
          <w:tcPr>
            <w:tcW w:w="1730" w:type="dxa"/>
          </w:tcPr>
          <w:p>
            <w:pPr>
              <w:pStyle w:val="TableParagraph"/>
              <w:spacing w:before="246"/>
              <w:ind w:left="463" w:right="147"/>
              <w:jc w:val="center"/>
              <w:rPr>
                <w:sz w:val="36"/>
              </w:rPr>
            </w:pPr>
            <w:r>
              <w:rPr>
                <w:sz w:val="36"/>
              </w:rPr>
              <w:t>380</w:t>
            </w:r>
          </w:p>
        </w:tc>
        <w:tc>
          <w:tcPr>
            <w:tcW w:w="714" w:type="dxa"/>
          </w:tcPr>
          <w:p>
            <w:pPr>
              <w:pStyle w:val="TableParagraph"/>
              <w:rPr>
                <w:rFonts w:ascii="Times New Roman"/>
                <w:sz w:val="36"/>
              </w:rPr>
            </w:pPr>
          </w:p>
        </w:tc>
        <w:tc>
          <w:tcPr>
            <w:tcW w:w="1812" w:type="dxa"/>
          </w:tcPr>
          <w:p>
            <w:pPr>
              <w:pStyle w:val="TableParagraph"/>
              <w:spacing w:before="246"/>
              <w:ind w:right="351"/>
              <w:jc w:val="center"/>
              <w:rPr>
                <w:sz w:val="36"/>
              </w:rPr>
            </w:pPr>
            <w:r>
              <w:rPr>
                <w:sz w:val="36"/>
              </w:rPr>
              <w:t>200</w:t>
            </w:r>
          </w:p>
        </w:tc>
        <w:tc>
          <w:tcPr>
            <w:tcW w:w="1706" w:type="dxa"/>
          </w:tcPr>
          <w:p>
            <w:pPr>
              <w:pStyle w:val="TableParagraph"/>
              <w:spacing w:before="246"/>
              <w:ind w:left="119" w:right="103"/>
              <w:jc w:val="center"/>
              <w:rPr>
                <w:sz w:val="36"/>
              </w:rPr>
            </w:pPr>
            <w:r>
              <w:rPr>
                <w:sz w:val="36"/>
              </w:rPr>
              <w:t>900</w:t>
            </w:r>
          </w:p>
        </w:tc>
        <w:tc>
          <w:tcPr>
            <w:tcW w:w="1676" w:type="dxa"/>
          </w:tcPr>
          <w:p>
            <w:pPr>
              <w:pStyle w:val="TableParagraph"/>
              <w:spacing w:before="246"/>
              <w:ind w:left="192" w:right="180"/>
              <w:jc w:val="center"/>
              <w:rPr>
                <w:sz w:val="36"/>
              </w:rPr>
            </w:pPr>
            <w:r>
              <w:rPr>
                <w:sz w:val="36"/>
              </w:rPr>
              <w:t>150</w:t>
            </w:r>
          </w:p>
        </w:tc>
        <w:tc>
          <w:tcPr>
            <w:tcW w:w="1590" w:type="dxa"/>
          </w:tcPr>
          <w:p>
            <w:pPr>
              <w:pStyle w:val="TableParagraph"/>
              <w:spacing w:before="246"/>
              <w:ind w:left="165"/>
              <w:rPr>
                <w:sz w:val="36"/>
              </w:rPr>
            </w:pPr>
            <w:r>
              <w:rPr>
                <w:sz w:val="36"/>
              </w:rPr>
              <w:t>≤1800</w:t>
            </w:r>
          </w:p>
        </w:tc>
      </w:tr>
      <w:tr>
        <w:tblPrEx>
          <w:tblW w:w="0" w:type="auto"/>
          <w:jc w:val="left"/>
          <w:tblInd w:w="1101" w:type="dxa"/>
          <w:tblLayout w:type="fixed"/>
          <w:tblCellMar>
            <w:top w:w="0" w:type="dxa"/>
            <w:left w:w="0" w:type="dxa"/>
            <w:bottom w:w="0" w:type="dxa"/>
            <w:right w:w="0" w:type="dxa"/>
          </w:tblCellMar>
          <w:tblLook w:val="01E0"/>
        </w:tblPrEx>
        <w:trPr>
          <w:trHeight w:val="1591"/>
          <w:jc w:val="left"/>
        </w:trPr>
        <w:tc>
          <w:tcPr>
            <w:tcW w:w="4197" w:type="dxa"/>
          </w:tcPr>
          <w:p>
            <w:pPr>
              <w:pStyle w:val="TableParagraph"/>
              <w:rPr>
                <w:sz w:val="36"/>
              </w:rPr>
            </w:pPr>
          </w:p>
          <w:p>
            <w:pPr>
              <w:pStyle w:val="TableParagraph"/>
              <w:rPr>
                <w:sz w:val="36"/>
              </w:rPr>
            </w:pPr>
          </w:p>
          <w:p>
            <w:pPr>
              <w:pStyle w:val="TableParagraph"/>
              <w:spacing w:before="258" w:line="391" w:lineRule="exact"/>
              <w:ind w:left="50"/>
              <w:rPr>
                <w:sz w:val="36"/>
              </w:rPr>
            </w:pPr>
            <w:r>
              <w:rPr>
                <w:sz w:val="36"/>
              </w:rPr>
              <w:t>、装置适用范围：</w:t>
            </w:r>
          </w:p>
        </w:tc>
        <w:tc>
          <w:tcPr>
            <w:tcW w:w="1730" w:type="dxa"/>
          </w:tcPr>
          <w:p>
            <w:pPr>
              <w:pStyle w:val="TableParagraph"/>
              <w:rPr>
                <w:rFonts w:ascii="Times New Roman"/>
                <w:sz w:val="36"/>
              </w:rPr>
            </w:pPr>
          </w:p>
        </w:tc>
        <w:tc>
          <w:tcPr>
            <w:tcW w:w="714" w:type="dxa"/>
          </w:tcPr>
          <w:p>
            <w:pPr>
              <w:pStyle w:val="TableParagraph"/>
              <w:spacing w:before="244"/>
              <w:ind w:left="-12"/>
              <w:rPr>
                <w:sz w:val="36"/>
              </w:rPr>
            </w:pPr>
            <w:r>
              <w:rPr>
                <w:sz w:val="36"/>
              </w:rPr>
              <w:t>表五</w:t>
            </w:r>
          </w:p>
        </w:tc>
        <w:tc>
          <w:tcPr>
            <w:tcW w:w="1812" w:type="dxa"/>
          </w:tcPr>
          <w:p>
            <w:pPr>
              <w:pStyle w:val="TableParagraph"/>
              <w:rPr>
                <w:rFonts w:ascii="Times New Roman"/>
                <w:sz w:val="36"/>
              </w:rPr>
            </w:pPr>
          </w:p>
        </w:tc>
        <w:tc>
          <w:tcPr>
            <w:tcW w:w="1706" w:type="dxa"/>
          </w:tcPr>
          <w:p>
            <w:pPr>
              <w:pStyle w:val="TableParagraph"/>
              <w:rPr>
                <w:rFonts w:ascii="Times New Roman"/>
                <w:sz w:val="36"/>
              </w:rPr>
            </w:pPr>
          </w:p>
        </w:tc>
        <w:tc>
          <w:tcPr>
            <w:tcW w:w="1676" w:type="dxa"/>
          </w:tcPr>
          <w:p>
            <w:pPr>
              <w:pStyle w:val="TableParagraph"/>
              <w:rPr>
                <w:rFonts w:ascii="Times New Roman"/>
                <w:sz w:val="36"/>
              </w:rPr>
            </w:pPr>
          </w:p>
        </w:tc>
        <w:tc>
          <w:tcPr>
            <w:tcW w:w="1590" w:type="dxa"/>
          </w:tcPr>
          <w:p>
            <w:pPr>
              <w:pStyle w:val="TableParagraph"/>
              <w:rPr>
                <w:rFonts w:ascii="Times New Roman"/>
                <w:sz w:val="36"/>
              </w:rPr>
            </w:pPr>
          </w:p>
        </w:tc>
      </w:tr>
    </w:tbl>
    <w:p>
      <w:pPr>
        <w:pStyle w:val="BodyText"/>
        <w:rPr>
          <w:sz w:val="41"/>
        </w:rPr>
      </w:pPr>
    </w:p>
    <w:p>
      <w:pPr>
        <w:pStyle w:val="BodyText"/>
        <w:spacing w:line="487" w:lineRule="auto"/>
        <w:ind w:left="1144" w:right="1072"/>
      </w:pPr>
      <w:r>
        <w:t>当原油粘度不超过（50℃）时，原油进泵比较顺利，采用普通管式泵或杆式泵， 泵上采用电加热抽油杆全程加热原油就可以够知足生产需要。</w:t>
      </w:r>
    </w:p>
    <w:p>
      <w:pPr>
        <w:pStyle w:val="Heading2"/>
        <w:spacing w:line="447" w:lineRule="exact"/>
      </w:pPr>
      <w:r>
        <w:t>4、空心抽油杆过泵加热装置：</w:t>
      </w:r>
    </w:p>
    <w:p>
      <w:pPr>
        <w:pStyle w:val="BodyText"/>
        <w:spacing w:before="2"/>
        <w:rPr>
          <w:b/>
          <w:sz w:val="38"/>
        </w:rPr>
      </w:pPr>
    </w:p>
    <w:p>
      <w:pPr>
        <w:pStyle w:val="BodyText"/>
        <w:ind w:left="1144"/>
      </w:pPr>
      <w:r>
        <w:t>装置用途：</w:t>
      </w:r>
    </w:p>
    <w:p>
      <w:pPr>
        <w:pStyle w:val="BodyText"/>
        <w:rPr>
          <w:sz w:val="37"/>
        </w:rPr>
      </w:pPr>
    </w:p>
    <w:p>
      <w:pPr>
        <w:pStyle w:val="BodyText"/>
        <w:spacing w:line="487" w:lineRule="auto"/>
        <w:ind w:left="1144" w:right="1044" w:firstLine="539"/>
      </w:pPr>
      <w:r>
        <w:rPr>
          <w:spacing w:val="-3"/>
        </w:rPr>
        <w:t xml:space="preserve">当原油粘度在之间时，空心抽油杆电加热装置可配置标准 </w:t>
      </w:r>
      <w:r>
        <w:t>API</w:t>
      </w:r>
      <w:r>
        <w:rPr>
          <w:spacing w:val="-12"/>
        </w:rPr>
        <w:t xml:space="preserve"> 整筒抽油泵或</w:t>
      </w:r>
      <w:r>
        <w:rPr>
          <w:spacing w:val="-22"/>
        </w:rPr>
        <w:t>特种抽稠泵，保证原油进泵顺利。泵上采用电加热抽油杆全程加热达到生产要求。</w:t>
      </w:r>
      <w:r>
        <w:rPr>
          <w:spacing w:val="-14"/>
        </w:rPr>
        <w:t>当原油粘度超过时，原油进泵困难，现在应采用电加热抽油杆与电加热抽稠泵配套利用，将泵下、泵上原油同时加热，降低泵下原油粘度，解决原油进泵困难和井筒举升问题，达到生产要求。</w:t>
      </w:r>
    </w:p>
    <w:p>
      <w:pPr>
        <w:pStyle w:val="BodyText"/>
        <w:spacing w:line="460" w:lineRule="exact"/>
        <w:ind w:left="1144"/>
      </w:pPr>
      <w:r>
        <w:t>装置结构如下图</w:t>
      </w:r>
    </w:p>
    <w:p>
      <w:pPr>
        <w:spacing w:after="0" w:line="460" w:lineRule="exact"/>
        <w:sectPr>
          <w:pgSz w:w="17860" w:h="25260"/>
          <w:pgMar w:top="1940" w:right="1480" w:bottom="280" w:left="1560" w:header="708" w:footer="708"/>
          <w:pgNumType w:start="18"/>
          <w:cols w:space="708"/>
        </w:sectPr>
      </w:pPr>
    </w:p>
    <w:p>
      <w:pPr>
        <w:pStyle w:val="BodyText"/>
        <w:rPr>
          <w:sz w:val="20"/>
        </w:rPr>
      </w:pPr>
      <w:r>
        <w:pict>
          <v:group id="_x0000_s1071" style="width:893pt;height:1248pt;margin-top:0;margin-left:0;mso-position-horizontal-relative:page;mso-position-vertical-relative:page;position:absolute;z-index:-251641856" coordorigin="0,0" coordsize="17860,24960">
            <v:shape id="_x0000_s1072" type="#_x0000_t75" style="width:17860;height:24960;position:absolute" stroked="f">
              <v:imagedata r:id="rId28" o:title=""/>
            </v:shape>
            <v:shape id="_x0000_s1073" type="#_x0000_t75" style="width:12180;height:13000;left:2700;position:absolute;top:1840" stroked="f">
              <v:imagedata r:id="rId29"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4"/>
        </w:rPr>
      </w:pPr>
    </w:p>
    <w:p>
      <w:pPr>
        <w:pStyle w:val="BodyText"/>
        <w:spacing w:before="49"/>
        <w:ind w:left="1144"/>
      </w:pPr>
      <w:r>
        <w:t>、装置特点：</w:t>
      </w:r>
    </w:p>
    <w:p>
      <w:pPr>
        <w:pStyle w:val="BodyText"/>
        <w:spacing w:before="1"/>
        <w:rPr>
          <w:sz w:val="37"/>
        </w:rPr>
      </w:pPr>
    </w:p>
    <w:p>
      <w:pPr>
        <w:pStyle w:val="ListParagraph"/>
        <w:numPr>
          <w:ilvl w:val="0"/>
          <w:numId w:val="8"/>
        </w:numPr>
        <w:tabs>
          <w:tab w:val="left" w:pos="1685"/>
        </w:tabs>
        <w:spacing w:before="0" w:after="0" w:line="240" w:lineRule="auto"/>
        <w:ind w:left="1684" w:right="0" w:hanging="541"/>
        <w:jc w:val="left"/>
        <w:rPr>
          <w:sz w:val="36"/>
        </w:rPr>
      </w:pPr>
      <w:r>
        <w:rPr>
          <w:sz w:val="36"/>
        </w:rPr>
        <w:t>主要由全套空心杆电加热装置和电热抽稠泵（空心泵）组成。</w:t>
      </w:r>
    </w:p>
    <w:p>
      <w:pPr>
        <w:pStyle w:val="BodyText"/>
        <w:spacing w:before="1"/>
        <w:rPr>
          <w:sz w:val="37"/>
        </w:rPr>
      </w:pPr>
    </w:p>
    <w:p>
      <w:pPr>
        <w:pStyle w:val="ListParagraph"/>
        <w:numPr>
          <w:ilvl w:val="0"/>
          <w:numId w:val="8"/>
        </w:numPr>
        <w:tabs>
          <w:tab w:val="left" w:pos="1685"/>
        </w:tabs>
        <w:spacing w:before="0" w:after="0" w:line="487" w:lineRule="auto"/>
        <w:ind w:left="1144" w:right="1253" w:firstLine="0"/>
        <w:jc w:val="left"/>
        <w:rPr>
          <w:sz w:val="36"/>
        </w:rPr>
      </w:pPr>
      <w:r>
        <w:rPr>
          <w:spacing w:val="-1"/>
          <w:sz w:val="36"/>
        </w:rPr>
        <w:t>可用电热杆直接加热泵下尾管中的原油，降低粘度，增加流动性，提高泵的</w:t>
      </w:r>
      <w:r>
        <w:rPr>
          <w:sz w:val="36"/>
        </w:rPr>
        <w:t>充满系数。</w:t>
      </w:r>
    </w:p>
    <w:p>
      <w:pPr>
        <w:pStyle w:val="ListParagraph"/>
        <w:numPr>
          <w:ilvl w:val="0"/>
          <w:numId w:val="8"/>
        </w:numPr>
        <w:tabs>
          <w:tab w:val="left" w:pos="1685"/>
        </w:tabs>
        <w:spacing w:before="0" w:after="0" w:line="240" w:lineRule="auto"/>
        <w:ind w:left="1684" w:right="0" w:hanging="541"/>
        <w:jc w:val="left"/>
        <w:rPr>
          <w:sz w:val="36"/>
        </w:rPr>
      </w:pPr>
      <w:r>
        <w:rPr>
          <w:spacing w:val="-12"/>
          <w:sz w:val="36"/>
        </w:rPr>
        <w:t>游动阀强制启闭，可避免“气锁”。</w:t>
      </w:r>
    </w:p>
    <w:p>
      <w:pPr>
        <w:pStyle w:val="BodyText"/>
        <w:spacing w:before="1"/>
        <w:rPr>
          <w:sz w:val="37"/>
        </w:rPr>
      </w:pPr>
    </w:p>
    <w:p>
      <w:pPr>
        <w:pStyle w:val="ListParagraph"/>
        <w:numPr>
          <w:ilvl w:val="0"/>
          <w:numId w:val="8"/>
        </w:numPr>
        <w:tabs>
          <w:tab w:val="left" w:pos="1685"/>
        </w:tabs>
        <w:spacing w:before="0" w:after="0" w:line="487" w:lineRule="auto"/>
        <w:ind w:left="1144" w:right="1253" w:firstLine="0"/>
        <w:jc w:val="left"/>
        <w:rPr>
          <w:sz w:val="36"/>
        </w:rPr>
      </w:pPr>
      <w:r>
        <w:rPr>
          <w:spacing w:val="-1"/>
          <w:sz w:val="36"/>
        </w:rPr>
        <w:t>泵下特种空心杆同时也起到加重杆的作用，有利于柱塞下行，同时改善了抽</w:t>
      </w:r>
      <w:r>
        <w:rPr>
          <w:sz w:val="36"/>
        </w:rPr>
        <w:t>油杆的受力状况。</w:t>
      </w:r>
    </w:p>
    <w:p>
      <w:pPr>
        <w:pStyle w:val="ListParagraph"/>
        <w:numPr>
          <w:ilvl w:val="0"/>
          <w:numId w:val="8"/>
        </w:numPr>
        <w:tabs>
          <w:tab w:val="left" w:pos="1685"/>
        </w:tabs>
        <w:spacing w:before="0" w:after="0" w:line="460" w:lineRule="exact"/>
        <w:ind w:left="1684" w:right="0" w:hanging="541"/>
        <w:jc w:val="left"/>
        <w:rPr>
          <w:sz w:val="36"/>
        </w:rPr>
      </w:pPr>
      <w:r>
        <w:rPr>
          <w:sz w:val="36"/>
        </w:rPr>
        <w:t>该泵利用电加热方式降粘，特别适用于边缘地域的稠油井开采。</w:t>
      </w:r>
    </w:p>
    <w:p>
      <w:pPr>
        <w:spacing w:after="0" w:line="460" w:lineRule="exact"/>
        <w:jc w:val="left"/>
        <w:rPr>
          <w:sz w:val="36"/>
        </w:rPr>
        <w:sectPr>
          <w:pgSz w:w="17860" w:h="25260"/>
          <w:pgMar w:top="2420" w:right="1480" w:bottom="280" w:left="1560" w:header="708" w:footer="708"/>
          <w:pgNumType w:start="19"/>
          <w:cols w:space="708"/>
        </w:sectPr>
      </w:pPr>
    </w:p>
    <w:p>
      <w:pPr>
        <w:pStyle w:val="BodyText"/>
        <w:spacing w:before="37"/>
        <w:ind w:left="1144"/>
      </w:pPr>
      <w:r>
        <w:t>、装置技术参数见表六：</w:t>
      </w:r>
    </w:p>
    <w:p>
      <w:pPr>
        <w:pStyle w:val="BodyText"/>
        <w:rPr>
          <w:sz w:val="20"/>
        </w:rPr>
      </w:pPr>
    </w:p>
    <w:p>
      <w:pPr>
        <w:pStyle w:val="BodyText"/>
        <w:spacing w:before="2"/>
        <w:rPr>
          <w:sz w:val="22"/>
        </w:rPr>
      </w:pPr>
    </w:p>
    <w:tbl>
      <w:tblPr>
        <w:tblStyle w:val="TableNormal3"/>
        <w:tblW w:w="0" w:type="auto"/>
        <w:jc w:val="left"/>
        <w:tblInd w:w="11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3"/>
        <w:gridCol w:w="1853"/>
        <w:gridCol w:w="1356"/>
        <w:gridCol w:w="1889"/>
        <w:gridCol w:w="2299"/>
        <w:gridCol w:w="1651"/>
        <w:gridCol w:w="1775"/>
      </w:tblGrid>
      <w:tr>
        <w:tblPrEx>
          <w:tblW w:w="0" w:type="auto"/>
          <w:jc w:val="left"/>
          <w:tblInd w:w="11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7"/>
          <w:jc w:val="left"/>
        </w:trPr>
        <w:tc>
          <w:tcPr>
            <w:tcW w:w="1683" w:type="dxa"/>
          </w:tcPr>
          <w:p>
            <w:pPr>
              <w:pStyle w:val="TableParagraph"/>
              <w:spacing w:line="411" w:lineRule="exact"/>
              <w:ind w:left="30" w:right="172"/>
              <w:jc w:val="center"/>
              <w:rPr>
                <w:sz w:val="36"/>
              </w:rPr>
            </w:pPr>
            <w:r>
              <w:rPr>
                <w:sz w:val="36"/>
              </w:rPr>
              <w:t>公称直径</w:t>
            </w:r>
          </w:p>
        </w:tc>
        <w:tc>
          <w:tcPr>
            <w:tcW w:w="1853" w:type="dxa"/>
          </w:tcPr>
          <w:p>
            <w:pPr>
              <w:pStyle w:val="TableParagraph"/>
              <w:spacing w:line="411" w:lineRule="exact"/>
              <w:ind w:left="172" w:right="200"/>
              <w:jc w:val="center"/>
              <w:rPr>
                <w:sz w:val="36"/>
              </w:rPr>
            </w:pPr>
            <w:r>
              <w:rPr>
                <w:sz w:val="36"/>
              </w:rPr>
              <w:t>柱塞长度</w:t>
            </w:r>
          </w:p>
        </w:tc>
        <w:tc>
          <w:tcPr>
            <w:tcW w:w="1356" w:type="dxa"/>
          </w:tcPr>
          <w:p>
            <w:pPr>
              <w:pStyle w:val="TableParagraph"/>
              <w:spacing w:line="411" w:lineRule="exact"/>
              <w:ind w:left="199" w:right="216"/>
              <w:jc w:val="center"/>
              <w:rPr>
                <w:sz w:val="36"/>
              </w:rPr>
            </w:pPr>
            <w:r>
              <w:rPr>
                <w:sz w:val="36"/>
              </w:rPr>
              <w:t>冲程</w:t>
            </w:r>
          </w:p>
        </w:tc>
        <w:tc>
          <w:tcPr>
            <w:tcW w:w="1889" w:type="dxa"/>
          </w:tcPr>
          <w:p>
            <w:pPr>
              <w:pStyle w:val="TableParagraph"/>
              <w:spacing w:line="411" w:lineRule="exact"/>
              <w:ind w:left="214" w:right="194"/>
              <w:jc w:val="center"/>
              <w:rPr>
                <w:sz w:val="36"/>
              </w:rPr>
            </w:pPr>
            <w:r>
              <w:rPr>
                <w:sz w:val="36"/>
              </w:rPr>
              <w:t>连接油管</w:t>
            </w:r>
          </w:p>
        </w:tc>
        <w:tc>
          <w:tcPr>
            <w:tcW w:w="2299" w:type="dxa"/>
          </w:tcPr>
          <w:p>
            <w:pPr>
              <w:pStyle w:val="TableParagraph"/>
              <w:spacing w:line="411" w:lineRule="exact"/>
              <w:ind w:left="192" w:right="266"/>
              <w:jc w:val="center"/>
              <w:rPr>
                <w:sz w:val="36"/>
              </w:rPr>
            </w:pPr>
            <w:r>
              <w:rPr>
                <w:sz w:val="36"/>
              </w:rPr>
              <w:t>连接抽油杆</w:t>
            </w:r>
          </w:p>
        </w:tc>
        <w:tc>
          <w:tcPr>
            <w:tcW w:w="1651" w:type="dxa"/>
          </w:tcPr>
          <w:p>
            <w:pPr>
              <w:pStyle w:val="TableParagraph"/>
              <w:spacing w:line="411" w:lineRule="exact"/>
              <w:ind w:left="265" w:right="266"/>
              <w:jc w:val="center"/>
              <w:rPr>
                <w:sz w:val="36"/>
              </w:rPr>
            </w:pPr>
            <w:r>
              <w:rPr>
                <w:sz w:val="36"/>
              </w:rPr>
              <w:t>泵常数</w:t>
            </w:r>
          </w:p>
        </w:tc>
        <w:tc>
          <w:tcPr>
            <w:tcW w:w="1775" w:type="dxa"/>
          </w:tcPr>
          <w:p>
            <w:pPr>
              <w:pStyle w:val="TableParagraph"/>
              <w:spacing w:line="411" w:lineRule="exact"/>
              <w:ind w:left="263" w:right="32"/>
              <w:jc w:val="center"/>
              <w:rPr>
                <w:sz w:val="36"/>
              </w:rPr>
            </w:pPr>
            <w:r>
              <w:rPr>
                <w:sz w:val="36"/>
              </w:rPr>
              <w:t>最大外径</w:t>
            </w:r>
          </w:p>
        </w:tc>
      </w:tr>
      <w:tr>
        <w:tblPrEx>
          <w:tblW w:w="0" w:type="auto"/>
          <w:jc w:val="left"/>
          <w:tblInd w:w="1130" w:type="dxa"/>
          <w:tblLayout w:type="fixed"/>
          <w:tblCellMar>
            <w:top w:w="0" w:type="dxa"/>
            <w:left w:w="0" w:type="dxa"/>
            <w:bottom w:w="0" w:type="dxa"/>
            <w:right w:w="0" w:type="dxa"/>
          </w:tblCellMar>
          <w:tblLook w:val="01E0"/>
        </w:tblPrEx>
        <w:trPr>
          <w:trHeight w:val="943"/>
          <w:jc w:val="left"/>
        </w:trPr>
        <w:tc>
          <w:tcPr>
            <w:tcW w:w="1683" w:type="dxa"/>
          </w:tcPr>
          <w:p>
            <w:pPr>
              <w:pStyle w:val="TableParagraph"/>
              <w:spacing w:before="237"/>
              <w:ind w:left="30" w:right="171"/>
              <w:jc w:val="center"/>
              <w:rPr>
                <w:sz w:val="36"/>
              </w:rPr>
            </w:pPr>
            <w:r>
              <w:rPr>
                <w:sz w:val="36"/>
              </w:rPr>
              <w:t>（mm）</w:t>
            </w:r>
          </w:p>
        </w:tc>
        <w:tc>
          <w:tcPr>
            <w:tcW w:w="1853" w:type="dxa"/>
          </w:tcPr>
          <w:p>
            <w:pPr>
              <w:pStyle w:val="TableParagraph"/>
              <w:spacing w:before="237"/>
              <w:ind w:left="172" w:right="200"/>
              <w:jc w:val="center"/>
              <w:rPr>
                <w:sz w:val="36"/>
              </w:rPr>
            </w:pPr>
            <w:r>
              <w:rPr>
                <w:sz w:val="36"/>
              </w:rPr>
              <w:t>(m)</w:t>
            </w:r>
          </w:p>
        </w:tc>
        <w:tc>
          <w:tcPr>
            <w:tcW w:w="1356" w:type="dxa"/>
          </w:tcPr>
          <w:p>
            <w:pPr>
              <w:pStyle w:val="TableParagraph"/>
              <w:spacing w:before="237"/>
              <w:ind w:left="199" w:right="216"/>
              <w:jc w:val="center"/>
              <w:rPr>
                <w:sz w:val="36"/>
              </w:rPr>
            </w:pPr>
            <w:r>
              <w:rPr>
                <w:sz w:val="36"/>
              </w:rPr>
              <w:t>（m）</w:t>
            </w:r>
          </w:p>
        </w:tc>
        <w:tc>
          <w:tcPr>
            <w:tcW w:w="1889" w:type="dxa"/>
          </w:tcPr>
          <w:p>
            <w:pPr>
              <w:pStyle w:val="TableParagraph"/>
              <w:spacing w:before="237"/>
              <w:ind w:left="214" w:right="194"/>
              <w:jc w:val="center"/>
              <w:rPr>
                <w:sz w:val="36"/>
              </w:rPr>
            </w:pPr>
            <w:r>
              <w:rPr>
                <w:sz w:val="36"/>
              </w:rPr>
              <w:t>in</w:t>
            </w:r>
          </w:p>
        </w:tc>
        <w:tc>
          <w:tcPr>
            <w:tcW w:w="2299" w:type="dxa"/>
          </w:tcPr>
          <w:p>
            <w:pPr>
              <w:pStyle w:val="TableParagraph"/>
              <w:spacing w:before="237"/>
              <w:ind w:left="192" w:right="266"/>
              <w:jc w:val="center"/>
              <w:rPr>
                <w:sz w:val="36"/>
              </w:rPr>
            </w:pPr>
            <w:r>
              <w:rPr>
                <w:sz w:val="36"/>
              </w:rPr>
              <w:t>（mm）</w:t>
            </w:r>
          </w:p>
        </w:tc>
        <w:tc>
          <w:tcPr>
            <w:tcW w:w="1651" w:type="dxa"/>
          </w:tcPr>
          <w:p>
            <w:pPr>
              <w:pStyle w:val="TableParagraph"/>
              <w:spacing w:before="237"/>
              <w:ind w:left="265" w:right="266"/>
              <w:jc w:val="center"/>
              <w:rPr>
                <w:sz w:val="36"/>
              </w:rPr>
            </w:pPr>
            <w:r>
              <w:rPr>
                <w:sz w:val="36"/>
              </w:rPr>
              <w:t>m3/d</w:t>
            </w:r>
          </w:p>
        </w:tc>
        <w:tc>
          <w:tcPr>
            <w:tcW w:w="1775" w:type="dxa"/>
          </w:tcPr>
          <w:p>
            <w:pPr>
              <w:pStyle w:val="TableParagraph"/>
              <w:spacing w:before="237"/>
              <w:ind w:left="263" w:right="32"/>
              <w:jc w:val="center"/>
              <w:rPr>
                <w:sz w:val="36"/>
              </w:rPr>
            </w:pPr>
            <w:r>
              <w:rPr>
                <w:sz w:val="36"/>
              </w:rPr>
              <w:t>（mm）</w:t>
            </w:r>
          </w:p>
        </w:tc>
      </w:tr>
      <w:tr>
        <w:tblPrEx>
          <w:tblW w:w="0" w:type="auto"/>
          <w:jc w:val="left"/>
          <w:tblInd w:w="1130" w:type="dxa"/>
          <w:tblLayout w:type="fixed"/>
          <w:tblCellMar>
            <w:top w:w="0" w:type="dxa"/>
            <w:left w:w="0" w:type="dxa"/>
            <w:bottom w:w="0" w:type="dxa"/>
            <w:right w:w="0" w:type="dxa"/>
          </w:tblCellMar>
          <w:tblLook w:val="01E0"/>
        </w:tblPrEx>
        <w:trPr>
          <w:trHeight w:val="1609"/>
          <w:jc w:val="left"/>
        </w:trPr>
        <w:tc>
          <w:tcPr>
            <w:tcW w:w="1683" w:type="dxa"/>
          </w:tcPr>
          <w:p>
            <w:pPr>
              <w:pStyle w:val="TableParagraph"/>
              <w:spacing w:before="244"/>
              <w:ind w:left="409"/>
              <w:rPr>
                <w:sz w:val="36"/>
              </w:rPr>
            </w:pPr>
            <w:r>
              <w:rPr>
                <w:sz w:val="36"/>
              </w:rPr>
              <w:t>Φ57</w:t>
            </w:r>
          </w:p>
          <w:p>
            <w:pPr>
              <w:pStyle w:val="TableParagraph"/>
              <w:spacing w:before="6"/>
              <w:rPr>
                <w:sz w:val="38"/>
              </w:rPr>
            </w:pPr>
          </w:p>
          <w:p>
            <w:pPr>
              <w:pStyle w:val="TableParagraph"/>
              <w:spacing w:line="391" w:lineRule="exact"/>
              <w:ind w:left="409"/>
              <w:rPr>
                <w:sz w:val="36"/>
              </w:rPr>
            </w:pPr>
            <w:r>
              <w:rPr>
                <w:sz w:val="36"/>
              </w:rPr>
              <w:t>Φ70</w:t>
            </w:r>
          </w:p>
        </w:tc>
        <w:tc>
          <w:tcPr>
            <w:tcW w:w="1853" w:type="dxa"/>
          </w:tcPr>
          <w:p>
            <w:pPr>
              <w:pStyle w:val="TableParagraph"/>
              <w:rPr>
                <w:rFonts w:ascii="Times New Roman"/>
                <w:sz w:val="36"/>
              </w:rPr>
            </w:pPr>
          </w:p>
        </w:tc>
        <w:tc>
          <w:tcPr>
            <w:tcW w:w="1356" w:type="dxa"/>
          </w:tcPr>
          <w:p>
            <w:pPr>
              <w:pStyle w:val="TableParagraph"/>
              <w:rPr>
                <w:sz w:val="36"/>
              </w:rPr>
            </w:pPr>
          </w:p>
          <w:p>
            <w:pPr>
              <w:pStyle w:val="TableParagraph"/>
              <w:spacing w:before="262"/>
              <w:ind w:left="199" w:right="216"/>
              <w:jc w:val="center"/>
              <w:rPr>
                <w:sz w:val="36"/>
              </w:rPr>
            </w:pPr>
            <w:r>
              <w:rPr>
                <w:sz w:val="36"/>
              </w:rPr>
              <w:t>3-6</w:t>
            </w:r>
          </w:p>
        </w:tc>
        <w:tc>
          <w:tcPr>
            <w:tcW w:w="1889" w:type="dxa"/>
          </w:tcPr>
          <w:p>
            <w:pPr>
              <w:pStyle w:val="TableParagraph"/>
              <w:spacing w:before="244"/>
              <w:ind w:left="504"/>
              <w:rPr>
                <w:sz w:val="36"/>
              </w:rPr>
            </w:pPr>
            <w:r>
              <w:rPr>
                <w:sz w:val="36"/>
              </w:rPr>
              <w:t>2-7/8</w:t>
            </w:r>
          </w:p>
          <w:p>
            <w:pPr>
              <w:pStyle w:val="TableParagraph"/>
              <w:spacing w:before="6"/>
              <w:rPr>
                <w:sz w:val="38"/>
              </w:rPr>
            </w:pPr>
          </w:p>
          <w:p>
            <w:pPr>
              <w:pStyle w:val="TableParagraph"/>
              <w:spacing w:line="391" w:lineRule="exact"/>
              <w:ind w:left="504"/>
              <w:rPr>
                <w:sz w:val="36"/>
              </w:rPr>
            </w:pPr>
            <w:r>
              <w:rPr>
                <w:sz w:val="36"/>
              </w:rPr>
              <w:t>3-1/2</w:t>
            </w:r>
          </w:p>
        </w:tc>
        <w:tc>
          <w:tcPr>
            <w:tcW w:w="2299" w:type="dxa"/>
          </w:tcPr>
          <w:p>
            <w:pPr>
              <w:pStyle w:val="TableParagraph"/>
              <w:spacing w:before="244"/>
              <w:ind w:left="571"/>
              <w:rPr>
                <w:sz w:val="36"/>
              </w:rPr>
            </w:pPr>
            <w:r>
              <w:rPr>
                <w:sz w:val="36"/>
              </w:rPr>
              <w:t>1-9/16</w:t>
            </w:r>
          </w:p>
          <w:p>
            <w:pPr>
              <w:pStyle w:val="TableParagraph"/>
              <w:spacing w:before="6"/>
              <w:rPr>
                <w:sz w:val="38"/>
              </w:rPr>
            </w:pPr>
          </w:p>
          <w:p>
            <w:pPr>
              <w:pStyle w:val="TableParagraph"/>
              <w:spacing w:line="391" w:lineRule="exact"/>
              <w:ind w:left="571"/>
              <w:rPr>
                <w:sz w:val="36"/>
              </w:rPr>
            </w:pPr>
            <w:r>
              <w:rPr>
                <w:sz w:val="36"/>
              </w:rPr>
              <w:t>1-9/16</w:t>
            </w:r>
          </w:p>
        </w:tc>
        <w:tc>
          <w:tcPr>
            <w:tcW w:w="1651" w:type="dxa"/>
          </w:tcPr>
          <w:p>
            <w:pPr>
              <w:pStyle w:val="TableParagraph"/>
              <w:rPr>
                <w:rFonts w:ascii="Times New Roman"/>
                <w:sz w:val="36"/>
              </w:rPr>
            </w:pPr>
          </w:p>
        </w:tc>
        <w:tc>
          <w:tcPr>
            <w:tcW w:w="1775" w:type="dxa"/>
          </w:tcPr>
          <w:p>
            <w:pPr>
              <w:pStyle w:val="TableParagraph"/>
              <w:spacing w:before="244"/>
              <w:ind w:left="553"/>
              <w:rPr>
                <w:sz w:val="36"/>
              </w:rPr>
            </w:pPr>
            <w:r>
              <w:rPr>
                <w:sz w:val="36"/>
              </w:rPr>
              <w:t>Φ114</w:t>
            </w:r>
          </w:p>
          <w:p>
            <w:pPr>
              <w:pStyle w:val="TableParagraph"/>
              <w:spacing w:before="6"/>
              <w:rPr>
                <w:sz w:val="38"/>
              </w:rPr>
            </w:pPr>
          </w:p>
          <w:p>
            <w:pPr>
              <w:pStyle w:val="TableParagraph"/>
              <w:spacing w:line="391" w:lineRule="exact"/>
              <w:ind w:left="553"/>
              <w:rPr>
                <w:sz w:val="36"/>
              </w:rPr>
            </w:pPr>
            <w:r>
              <w:rPr>
                <w:sz w:val="36"/>
              </w:rPr>
              <w:t>Φ114</w:t>
            </w:r>
          </w:p>
        </w:tc>
      </w:tr>
    </w:tbl>
    <w:p>
      <w:pPr>
        <w:pStyle w:val="BodyText"/>
        <w:rPr>
          <w:sz w:val="20"/>
        </w:rPr>
      </w:pPr>
    </w:p>
    <w:p>
      <w:pPr>
        <w:pStyle w:val="BodyText"/>
        <w:spacing w:before="49"/>
        <w:ind w:left="816" w:right="894"/>
        <w:jc w:val="center"/>
      </w:pPr>
      <w:r>
        <w:drawing>
          <wp:anchor distT="0" distB="0" distL="0" distR="0" simplePos="0" relativeHeight="251675648" behindDoc="1" locked="0" layoutInCell="1" allowOverlap="1">
            <wp:simplePos x="0" y="0"/>
            <wp:positionH relativeFrom="page">
              <wp:posOffset>1600200</wp:posOffset>
            </wp:positionH>
            <wp:positionV relativeFrom="paragraph">
              <wp:posOffset>-2392933</wp:posOffset>
            </wp:positionV>
            <wp:extent cx="8145894" cy="2444972"/>
            <wp:effectExtent l="0" t="0" r="0" b="0"/>
            <wp:wrapNone/>
            <wp:docPr id="3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7.png"/>
                    <pic:cNvPicPr/>
                  </pic:nvPicPr>
                  <pic:blipFill>
                    <a:blip xmlns:r="http://schemas.openxmlformats.org/officeDocument/2006/relationships" r:embed="rId30" cstate="print"/>
                    <a:stretch>
                      <a:fillRect/>
                    </a:stretch>
                  </pic:blipFill>
                  <pic:spPr>
                    <a:xfrm>
                      <a:off x="0" y="0"/>
                      <a:ext cx="8145894" cy="2444972"/>
                    </a:xfrm>
                    <a:prstGeom prst="rect">
                      <a:avLst/>
                    </a:prstGeom>
                  </pic:spPr>
                </pic:pic>
              </a:graphicData>
            </a:graphic>
          </wp:anchor>
        </w:drawing>
      </w:r>
      <w:r>
        <w:t>表六</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9"/>
        </w:rPr>
      </w:pPr>
    </w:p>
    <w:p>
      <w:pPr>
        <w:pStyle w:val="Heading1"/>
        <w:spacing w:before="37"/>
      </w:pPr>
      <w:r>
        <w:t>五、螺杆泵专用驱动杆系列</w:t>
      </w:r>
    </w:p>
    <w:p>
      <w:pPr>
        <w:pStyle w:val="BodyText"/>
        <w:spacing w:before="6"/>
        <w:rPr>
          <w:b/>
          <w:sz w:val="31"/>
        </w:rPr>
      </w:pPr>
    </w:p>
    <w:p>
      <w:pPr>
        <w:spacing w:before="0"/>
        <w:ind w:left="1144" w:right="0" w:firstLine="0"/>
        <w:jc w:val="left"/>
        <w:rPr>
          <w:sz w:val="42"/>
        </w:rPr>
      </w:pPr>
      <w:r>
        <w:rPr>
          <w:b/>
          <w:sz w:val="42"/>
        </w:rPr>
        <w:t>简介</w:t>
      </w:r>
      <w:r>
        <w:rPr>
          <w:sz w:val="42"/>
        </w:rPr>
        <w:t>：</w:t>
      </w:r>
    </w:p>
    <w:p>
      <w:pPr>
        <w:pStyle w:val="BodyText"/>
        <w:spacing w:before="2"/>
        <w:rPr>
          <w:sz w:val="38"/>
        </w:rPr>
      </w:pPr>
    </w:p>
    <w:p>
      <w:pPr>
        <w:pStyle w:val="BodyText"/>
        <w:spacing w:line="487" w:lineRule="auto"/>
        <w:ind w:left="1144" w:right="1224" w:firstLine="359"/>
      </w:pPr>
      <w:r>
        <w:t>螺杆泵专用驱动杆是我公司专为地面驱动螺杆泵采油装置而研制的一种新型</w:t>
      </w:r>
      <w:r>
        <w:rPr>
          <w:spacing w:val="-13"/>
        </w:rPr>
        <w:t>特种抽油杆，提高了驱动杆柱的强度及连接部位的靠得住性，减少了抽油杆柱常</w:t>
      </w:r>
      <w:r>
        <w:t>发生的断杆，螺纹脱、撸等事故。</w:t>
      </w:r>
    </w:p>
    <w:p>
      <w:pPr>
        <w:pStyle w:val="Heading2"/>
        <w:spacing w:line="447" w:lineRule="exact"/>
      </w:pPr>
      <w:r>
        <w:t>结构：</w:t>
      </w:r>
    </w:p>
    <w:p>
      <w:pPr>
        <w:pStyle w:val="BodyText"/>
        <w:spacing w:before="2"/>
        <w:rPr>
          <w:b/>
          <w:sz w:val="38"/>
        </w:rPr>
      </w:pPr>
    </w:p>
    <w:p>
      <w:pPr>
        <w:pStyle w:val="BodyText"/>
        <w:spacing w:line="487" w:lineRule="auto"/>
        <w:ind w:left="1144" w:right="1224" w:firstLine="359"/>
      </w:pPr>
      <w:r>
        <w:rPr>
          <w:spacing w:val="-8"/>
        </w:rPr>
        <w:t>螺杆泵专用驱动杆有实心和空心两类，其连接形式有以下两种结构</w:t>
      </w:r>
      <w:r>
        <w:t>（</w:t>
      </w:r>
      <w:r>
        <w:rPr>
          <w:spacing w:val="-4"/>
        </w:rPr>
        <w:t>连接结构</w:t>
      </w:r>
      <w:r>
        <w:t>形式见图一、图二</w:t>
      </w:r>
      <w:r>
        <w:rPr>
          <w:spacing w:val="-180"/>
        </w:rPr>
        <w:t>）</w:t>
      </w:r>
      <w:r>
        <w:t>，依次为：⑴双肩直螺纹结构、⑵楔形插接左旋螺纹结构。</w:t>
      </w:r>
    </w:p>
    <w:p>
      <w:pPr>
        <w:spacing w:after="0" w:line="48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https://d.book118.com/246240051130010101</w:t>
        </w:r>
      </w:hyperlink>
    </w:p>
    <w:p>
      <w:pPr>
        <w:spacing w:after="0" w:line="487" w:lineRule="auto"/>
      </w:pPr>
    </w:p>
    <w:sectPr>
      <w:pgSz w:w="17860" w:h="25260"/>
      <w:pgMar w:top="1940" w:right="1480" w:bottom="280" w:left="156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华文宋体">
    <w:altName w:val="华文宋体"/>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86D9B"/>
    <w:multiLevelType w:val="hybridMultilevel"/>
    <w:tmpl w:val="00000000"/>
    <w:lvl w:ilvl="0">
      <w:start w:val="1"/>
      <w:numFmt w:val="decimal"/>
      <w:lvlText w:val="%1."/>
      <w:lvlJc w:val="left"/>
      <w:pPr>
        <w:ind w:left="1446" w:hanging="303"/>
        <w:jc w:val="left"/>
      </w:pPr>
      <w:rPr>
        <w:rFonts w:ascii="Arial" w:eastAsia="Arial" w:hAnsi="Arial" w:cs="Arial" w:hint="default"/>
        <w:w w:val="100"/>
        <w:sz w:val="34"/>
        <w:szCs w:val="34"/>
      </w:rPr>
    </w:lvl>
    <w:lvl w:ilvl="1">
      <w:start w:val="0"/>
      <w:numFmt w:val="bullet"/>
      <w:lvlText w:val="•"/>
      <w:lvlJc w:val="left"/>
      <w:pPr>
        <w:ind w:left="2777" w:hanging="303"/>
      </w:pPr>
      <w:rPr>
        <w:rFonts w:hint="default"/>
      </w:rPr>
    </w:lvl>
    <w:lvl w:ilvl="2">
      <w:start w:val="0"/>
      <w:numFmt w:val="bullet"/>
      <w:lvlText w:val="•"/>
      <w:lvlJc w:val="left"/>
      <w:pPr>
        <w:ind w:left="4115" w:hanging="303"/>
      </w:pPr>
      <w:rPr>
        <w:rFonts w:hint="default"/>
      </w:rPr>
    </w:lvl>
    <w:lvl w:ilvl="3">
      <w:start w:val="0"/>
      <w:numFmt w:val="bullet"/>
      <w:lvlText w:val="•"/>
      <w:lvlJc w:val="left"/>
      <w:pPr>
        <w:ind w:left="5453" w:hanging="303"/>
      </w:pPr>
      <w:rPr>
        <w:rFonts w:hint="default"/>
      </w:rPr>
    </w:lvl>
    <w:lvl w:ilvl="4">
      <w:start w:val="0"/>
      <w:numFmt w:val="bullet"/>
      <w:lvlText w:val="•"/>
      <w:lvlJc w:val="left"/>
      <w:pPr>
        <w:ind w:left="6791" w:hanging="303"/>
      </w:pPr>
      <w:rPr>
        <w:rFonts w:hint="default"/>
      </w:rPr>
    </w:lvl>
    <w:lvl w:ilvl="5">
      <w:start w:val="0"/>
      <w:numFmt w:val="bullet"/>
      <w:lvlText w:val="•"/>
      <w:lvlJc w:val="left"/>
      <w:pPr>
        <w:ind w:left="8129" w:hanging="303"/>
      </w:pPr>
      <w:rPr>
        <w:rFonts w:hint="default"/>
      </w:rPr>
    </w:lvl>
    <w:lvl w:ilvl="6">
      <w:start w:val="0"/>
      <w:numFmt w:val="bullet"/>
      <w:lvlText w:val="•"/>
      <w:lvlJc w:val="left"/>
      <w:pPr>
        <w:ind w:left="9467" w:hanging="303"/>
      </w:pPr>
      <w:rPr>
        <w:rFonts w:hint="default"/>
      </w:rPr>
    </w:lvl>
    <w:lvl w:ilvl="7">
      <w:start w:val="0"/>
      <w:numFmt w:val="bullet"/>
      <w:lvlText w:val="•"/>
      <w:lvlJc w:val="left"/>
      <w:pPr>
        <w:ind w:left="10805" w:hanging="303"/>
      </w:pPr>
      <w:rPr>
        <w:rFonts w:hint="default"/>
      </w:rPr>
    </w:lvl>
    <w:lvl w:ilvl="8">
      <w:start w:val="0"/>
      <w:numFmt w:val="bullet"/>
      <w:lvlText w:val="•"/>
      <w:lvlJc w:val="left"/>
      <w:pPr>
        <w:ind w:left="12143" w:hanging="303"/>
      </w:pPr>
      <w:rPr>
        <w:rFonts w:hint="default"/>
      </w:rPr>
    </w:lvl>
  </w:abstractNum>
  <w:abstractNum w:abstractNumId="1">
    <w:nsid w:val="27678F16"/>
    <w:multiLevelType w:val="hybridMultilevel"/>
    <w:tmpl w:val="00000000"/>
    <w:lvl w:ilvl="0">
      <w:start w:val="1"/>
      <w:numFmt w:val="lowerLetter"/>
      <w:lvlText w:val="%1."/>
      <w:lvlJc w:val="left"/>
      <w:pPr>
        <w:ind w:left="1684" w:hanging="540"/>
        <w:jc w:val="left"/>
      </w:pPr>
      <w:rPr>
        <w:rFonts w:ascii="宋体" w:eastAsia="宋体" w:hAnsi="宋体" w:cs="宋体" w:hint="default"/>
        <w:w w:val="100"/>
        <w:sz w:val="36"/>
        <w:szCs w:val="36"/>
      </w:rPr>
    </w:lvl>
    <w:lvl w:ilvl="1">
      <w:start w:val="0"/>
      <w:numFmt w:val="bullet"/>
      <w:lvlText w:val="•"/>
      <w:lvlJc w:val="left"/>
      <w:pPr>
        <w:ind w:left="2993" w:hanging="540"/>
      </w:pPr>
      <w:rPr>
        <w:rFonts w:hint="default"/>
      </w:rPr>
    </w:lvl>
    <w:lvl w:ilvl="2">
      <w:start w:val="0"/>
      <w:numFmt w:val="bullet"/>
      <w:lvlText w:val="•"/>
      <w:lvlJc w:val="left"/>
      <w:pPr>
        <w:ind w:left="4307" w:hanging="540"/>
      </w:pPr>
      <w:rPr>
        <w:rFonts w:hint="default"/>
      </w:rPr>
    </w:lvl>
    <w:lvl w:ilvl="3">
      <w:start w:val="0"/>
      <w:numFmt w:val="bullet"/>
      <w:lvlText w:val="•"/>
      <w:lvlJc w:val="left"/>
      <w:pPr>
        <w:ind w:left="5621" w:hanging="540"/>
      </w:pPr>
      <w:rPr>
        <w:rFonts w:hint="default"/>
      </w:rPr>
    </w:lvl>
    <w:lvl w:ilvl="4">
      <w:start w:val="0"/>
      <w:numFmt w:val="bullet"/>
      <w:lvlText w:val="•"/>
      <w:lvlJc w:val="left"/>
      <w:pPr>
        <w:ind w:left="6935" w:hanging="540"/>
      </w:pPr>
      <w:rPr>
        <w:rFonts w:hint="default"/>
      </w:rPr>
    </w:lvl>
    <w:lvl w:ilvl="5">
      <w:start w:val="0"/>
      <w:numFmt w:val="bullet"/>
      <w:lvlText w:val="•"/>
      <w:lvlJc w:val="left"/>
      <w:pPr>
        <w:ind w:left="8249" w:hanging="540"/>
      </w:pPr>
      <w:rPr>
        <w:rFonts w:hint="default"/>
      </w:rPr>
    </w:lvl>
    <w:lvl w:ilvl="6">
      <w:start w:val="0"/>
      <w:numFmt w:val="bullet"/>
      <w:lvlText w:val="•"/>
      <w:lvlJc w:val="left"/>
      <w:pPr>
        <w:ind w:left="9563" w:hanging="540"/>
      </w:pPr>
      <w:rPr>
        <w:rFonts w:hint="default"/>
      </w:rPr>
    </w:lvl>
    <w:lvl w:ilvl="7">
      <w:start w:val="0"/>
      <w:numFmt w:val="bullet"/>
      <w:lvlText w:val="•"/>
      <w:lvlJc w:val="left"/>
      <w:pPr>
        <w:ind w:left="10877" w:hanging="540"/>
      </w:pPr>
      <w:rPr>
        <w:rFonts w:hint="default"/>
      </w:rPr>
    </w:lvl>
    <w:lvl w:ilvl="8">
      <w:start w:val="0"/>
      <w:numFmt w:val="bullet"/>
      <w:lvlText w:val="•"/>
      <w:lvlJc w:val="left"/>
      <w:pPr>
        <w:ind w:left="12191" w:hanging="540"/>
      </w:pPr>
      <w:rPr>
        <w:rFonts w:hint="default"/>
      </w:rPr>
    </w:lvl>
  </w:abstractNum>
  <w:abstractNum w:abstractNumId="2">
    <w:nsid w:val="36F4CBD3"/>
    <w:multiLevelType w:val="hybridMultilevel"/>
    <w:tmpl w:val="00000000"/>
    <w:lvl w:ilvl="0">
      <w:start w:val="1"/>
      <w:numFmt w:val="decimal"/>
      <w:lvlText w:val="（%1）"/>
      <w:lvlJc w:val="left"/>
      <w:pPr>
        <w:ind w:left="1144" w:hanging="901"/>
        <w:jc w:val="left"/>
      </w:pPr>
      <w:rPr>
        <w:rFonts w:ascii="宋体" w:eastAsia="宋体" w:hAnsi="宋体" w:cs="宋体" w:hint="default"/>
        <w:spacing w:val="-1"/>
        <w:w w:val="100"/>
        <w:sz w:val="34"/>
        <w:szCs w:val="34"/>
      </w:rPr>
    </w:lvl>
    <w:lvl w:ilvl="1">
      <w:start w:val="0"/>
      <w:numFmt w:val="bullet"/>
      <w:lvlText w:val="•"/>
      <w:lvlJc w:val="left"/>
      <w:pPr>
        <w:ind w:left="2507" w:hanging="901"/>
      </w:pPr>
      <w:rPr>
        <w:rFonts w:hint="default"/>
      </w:rPr>
    </w:lvl>
    <w:lvl w:ilvl="2">
      <w:start w:val="0"/>
      <w:numFmt w:val="bullet"/>
      <w:lvlText w:val="•"/>
      <w:lvlJc w:val="left"/>
      <w:pPr>
        <w:ind w:left="3875" w:hanging="901"/>
      </w:pPr>
      <w:rPr>
        <w:rFonts w:hint="default"/>
      </w:rPr>
    </w:lvl>
    <w:lvl w:ilvl="3">
      <w:start w:val="0"/>
      <w:numFmt w:val="bullet"/>
      <w:lvlText w:val="•"/>
      <w:lvlJc w:val="left"/>
      <w:pPr>
        <w:ind w:left="5243" w:hanging="901"/>
      </w:pPr>
      <w:rPr>
        <w:rFonts w:hint="default"/>
      </w:rPr>
    </w:lvl>
    <w:lvl w:ilvl="4">
      <w:start w:val="0"/>
      <w:numFmt w:val="bullet"/>
      <w:lvlText w:val="•"/>
      <w:lvlJc w:val="left"/>
      <w:pPr>
        <w:ind w:left="6611"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347" w:hanging="901"/>
      </w:pPr>
      <w:rPr>
        <w:rFonts w:hint="default"/>
      </w:rPr>
    </w:lvl>
    <w:lvl w:ilvl="7">
      <w:start w:val="0"/>
      <w:numFmt w:val="bullet"/>
      <w:lvlText w:val="•"/>
      <w:lvlJc w:val="left"/>
      <w:pPr>
        <w:ind w:left="10715" w:hanging="901"/>
      </w:pPr>
      <w:rPr>
        <w:rFonts w:hint="default"/>
      </w:rPr>
    </w:lvl>
    <w:lvl w:ilvl="8">
      <w:start w:val="0"/>
      <w:numFmt w:val="bullet"/>
      <w:lvlText w:val="•"/>
      <w:lvlJc w:val="left"/>
      <w:pPr>
        <w:ind w:left="12083" w:hanging="901"/>
      </w:pPr>
      <w:rPr>
        <w:rFonts w:hint="default"/>
      </w:rPr>
    </w:lvl>
  </w:abstractNum>
  <w:abstractNum w:abstractNumId="3">
    <w:nsid w:val="4101A444"/>
    <w:multiLevelType w:val="hybridMultilevel"/>
    <w:tmpl w:val="00000000"/>
    <w:lvl w:ilvl="0">
      <w:start w:val="7"/>
      <w:numFmt w:val="decimal"/>
      <w:lvlText w:val="%1."/>
      <w:lvlJc w:val="left"/>
      <w:pPr>
        <w:ind w:left="1864" w:hanging="720"/>
        <w:jc w:val="left"/>
      </w:pPr>
      <w:rPr>
        <w:rFonts w:ascii="宋体" w:eastAsia="宋体" w:hAnsi="宋体" w:cs="宋体" w:hint="default"/>
        <w:w w:val="100"/>
        <w:sz w:val="36"/>
        <w:szCs w:val="36"/>
      </w:rPr>
    </w:lvl>
    <w:lvl w:ilvl="1">
      <w:start w:val="1"/>
      <w:numFmt w:val="decimal"/>
      <w:lvlText w:val="（%2）"/>
      <w:lvlJc w:val="left"/>
      <w:pPr>
        <w:ind w:left="1144" w:hanging="901"/>
        <w:jc w:val="left"/>
      </w:pPr>
      <w:rPr>
        <w:rFonts w:ascii="宋体" w:eastAsia="宋体" w:hAnsi="宋体" w:cs="宋体" w:hint="default"/>
        <w:spacing w:val="-1"/>
        <w:w w:val="100"/>
        <w:sz w:val="34"/>
        <w:szCs w:val="34"/>
      </w:rPr>
    </w:lvl>
    <w:lvl w:ilvl="2">
      <w:start w:val="0"/>
      <w:numFmt w:val="bullet"/>
      <w:lvlText w:val="•"/>
      <w:lvlJc w:val="left"/>
      <w:pPr>
        <w:ind w:left="1144" w:hanging="720"/>
      </w:pPr>
      <w:rPr>
        <w:rFonts w:ascii="宋体" w:eastAsia="宋体" w:hAnsi="宋体" w:cs="宋体" w:hint="default"/>
        <w:w w:val="100"/>
        <w:sz w:val="36"/>
        <w:szCs w:val="36"/>
      </w:rPr>
    </w:lvl>
    <w:lvl w:ilvl="3">
      <w:start w:val="0"/>
      <w:numFmt w:val="bullet"/>
      <w:lvlText w:val="•"/>
      <w:lvlJc w:val="left"/>
      <w:pPr>
        <w:ind w:left="4739" w:hanging="720"/>
      </w:pPr>
      <w:rPr>
        <w:rFonts w:hint="default"/>
      </w:rPr>
    </w:lvl>
    <w:lvl w:ilvl="4">
      <w:start w:val="0"/>
      <w:numFmt w:val="bullet"/>
      <w:lvlText w:val="•"/>
      <w:lvlJc w:val="left"/>
      <w:pPr>
        <w:ind w:left="6179" w:hanging="720"/>
      </w:pPr>
      <w:rPr>
        <w:rFonts w:hint="default"/>
      </w:rPr>
    </w:lvl>
    <w:lvl w:ilvl="5">
      <w:start w:val="0"/>
      <w:numFmt w:val="bullet"/>
      <w:lvlText w:val="•"/>
      <w:lvlJc w:val="left"/>
      <w:pPr>
        <w:ind w:left="7619" w:hanging="720"/>
      </w:pPr>
      <w:rPr>
        <w:rFonts w:hint="default"/>
      </w:rPr>
    </w:lvl>
    <w:lvl w:ilvl="6">
      <w:start w:val="0"/>
      <w:numFmt w:val="bullet"/>
      <w:lvlText w:val="•"/>
      <w:lvlJc w:val="left"/>
      <w:pPr>
        <w:ind w:left="9059" w:hanging="720"/>
      </w:pPr>
      <w:rPr>
        <w:rFonts w:hint="default"/>
      </w:rPr>
    </w:lvl>
    <w:lvl w:ilvl="7">
      <w:start w:val="0"/>
      <w:numFmt w:val="bullet"/>
      <w:lvlText w:val="•"/>
      <w:lvlJc w:val="left"/>
      <w:pPr>
        <w:ind w:left="10499" w:hanging="720"/>
      </w:pPr>
      <w:rPr>
        <w:rFonts w:hint="default"/>
      </w:rPr>
    </w:lvl>
    <w:lvl w:ilvl="8">
      <w:start w:val="0"/>
      <w:numFmt w:val="bullet"/>
      <w:lvlText w:val="•"/>
      <w:lvlJc w:val="left"/>
      <w:pPr>
        <w:ind w:left="11939" w:hanging="720"/>
      </w:pPr>
      <w:rPr>
        <w:rFonts w:hint="default"/>
      </w:rPr>
    </w:lvl>
  </w:abstractNum>
  <w:abstractNum w:abstractNumId="4">
    <w:nsid w:val="555B66C1"/>
    <w:multiLevelType w:val="hybridMultilevel"/>
    <w:tmpl w:val="00000000"/>
    <w:lvl w:ilvl="0">
      <w:start w:val="1"/>
      <w:numFmt w:val="decimal"/>
      <w:lvlText w:val="%1."/>
      <w:lvlJc w:val="left"/>
      <w:pPr>
        <w:ind w:left="1505" w:hanging="361"/>
        <w:jc w:val="left"/>
      </w:pPr>
      <w:rPr>
        <w:rFonts w:ascii="宋体" w:eastAsia="宋体" w:hAnsi="宋体" w:cs="宋体" w:hint="default"/>
        <w:spacing w:val="-1"/>
        <w:w w:val="100"/>
        <w:sz w:val="34"/>
        <w:szCs w:val="34"/>
      </w:rPr>
    </w:lvl>
    <w:lvl w:ilvl="1">
      <w:start w:val="1"/>
      <w:numFmt w:val="decimal"/>
      <w:lvlText w:val="（%2）"/>
      <w:lvlJc w:val="left"/>
      <w:pPr>
        <w:ind w:left="1144" w:hanging="901"/>
        <w:jc w:val="left"/>
      </w:pPr>
      <w:rPr>
        <w:rFonts w:ascii="宋体" w:eastAsia="宋体" w:hAnsi="宋体" w:cs="宋体" w:hint="default"/>
        <w:w w:val="100"/>
        <w:sz w:val="34"/>
        <w:szCs w:val="34"/>
      </w:rPr>
    </w:lvl>
    <w:lvl w:ilvl="2">
      <w:start w:val="0"/>
      <w:numFmt w:val="bullet"/>
      <w:lvlText w:val="•"/>
      <w:lvlJc w:val="left"/>
      <w:pPr>
        <w:ind w:left="2979" w:hanging="901"/>
      </w:pPr>
      <w:rPr>
        <w:rFonts w:hint="default"/>
      </w:rPr>
    </w:lvl>
    <w:lvl w:ilvl="3">
      <w:start w:val="0"/>
      <w:numFmt w:val="bullet"/>
      <w:lvlText w:val="•"/>
      <w:lvlJc w:val="left"/>
      <w:pPr>
        <w:ind w:left="4459" w:hanging="901"/>
      </w:pPr>
      <w:rPr>
        <w:rFonts w:hint="default"/>
      </w:rPr>
    </w:lvl>
    <w:lvl w:ilvl="4">
      <w:start w:val="0"/>
      <w:numFmt w:val="bullet"/>
      <w:lvlText w:val="•"/>
      <w:lvlJc w:val="left"/>
      <w:pPr>
        <w:ind w:left="5939" w:hanging="901"/>
      </w:pPr>
      <w:rPr>
        <w:rFonts w:hint="default"/>
      </w:rPr>
    </w:lvl>
    <w:lvl w:ilvl="5">
      <w:start w:val="0"/>
      <w:numFmt w:val="bullet"/>
      <w:lvlText w:val="•"/>
      <w:lvlJc w:val="left"/>
      <w:pPr>
        <w:ind w:left="7419" w:hanging="901"/>
      </w:pPr>
      <w:rPr>
        <w:rFonts w:hint="default"/>
      </w:rPr>
    </w:lvl>
    <w:lvl w:ilvl="6">
      <w:start w:val="0"/>
      <w:numFmt w:val="bullet"/>
      <w:lvlText w:val="•"/>
      <w:lvlJc w:val="left"/>
      <w:pPr>
        <w:ind w:left="8899" w:hanging="901"/>
      </w:pPr>
      <w:rPr>
        <w:rFonts w:hint="default"/>
      </w:rPr>
    </w:lvl>
    <w:lvl w:ilvl="7">
      <w:start w:val="0"/>
      <w:numFmt w:val="bullet"/>
      <w:lvlText w:val="•"/>
      <w:lvlJc w:val="left"/>
      <w:pPr>
        <w:ind w:left="10379" w:hanging="901"/>
      </w:pPr>
      <w:rPr>
        <w:rFonts w:hint="default"/>
      </w:rPr>
    </w:lvl>
    <w:lvl w:ilvl="8">
      <w:start w:val="0"/>
      <w:numFmt w:val="bullet"/>
      <w:lvlText w:val="•"/>
      <w:lvlJc w:val="left"/>
      <w:pPr>
        <w:ind w:left="11859" w:hanging="901"/>
      </w:pPr>
      <w:rPr>
        <w:rFonts w:hint="default"/>
      </w:rPr>
    </w:lvl>
  </w:abstractNum>
  <w:abstractNum w:abstractNumId="5">
    <w:nsid w:val="5664433E"/>
    <w:multiLevelType w:val="hybridMultilevel"/>
    <w:tmpl w:val="00000000"/>
    <w:lvl w:ilvl="0">
      <w:start w:val="1"/>
      <w:numFmt w:val="decimal"/>
      <w:lvlText w:val="%1."/>
      <w:lvlJc w:val="left"/>
      <w:pPr>
        <w:ind w:left="1144" w:hanging="361"/>
        <w:jc w:val="left"/>
      </w:pPr>
      <w:rPr>
        <w:rFonts w:ascii="宋体" w:eastAsia="宋体" w:hAnsi="宋体" w:cs="宋体" w:hint="default"/>
        <w:spacing w:val="-1"/>
        <w:w w:val="100"/>
        <w:sz w:val="34"/>
        <w:szCs w:val="34"/>
      </w:rPr>
    </w:lvl>
    <w:lvl w:ilvl="1">
      <w:start w:val="0"/>
      <w:numFmt w:val="bullet"/>
      <w:lvlText w:val="•"/>
      <w:lvlJc w:val="left"/>
      <w:pPr>
        <w:ind w:left="2507" w:hanging="361"/>
      </w:pPr>
      <w:rPr>
        <w:rFonts w:hint="default"/>
      </w:rPr>
    </w:lvl>
    <w:lvl w:ilvl="2">
      <w:start w:val="0"/>
      <w:numFmt w:val="bullet"/>
      <w:lvlText w:val="•"/>
      <w:lvlJc w:val="left"/>
      <w:pPr>
        <w:ind w:left="3875" w:hanging="361"/>
      </w:pPr>
      <w:rPr>
        <w:rFonts w:hint="default"/>
      </w:rPr>
    </w:lvl>
    <w:lvl w:ilvl="3">
      <w:start w:val="0"/>
      <w:numFmt w:val="bullet"/>
      <w:lvlText w:val="•"/>
      <w:lvlJc w:val="left"/>
      <w:pPr>
        <w:ind w:left="5243" w:hanging="361"/>
      </w:pPr>
      <w:rPr>
        <w:rFonts w:hint="default"/>
      </w:rPr>
    </w:lvl>
    <w:lvl w:ilvl="4">
      <w:start w:val="0"/>
      <w:numFmt w:val="bullet"/>
      <w:lvlText w:val="•"/>
      <w:lvlJc w:val="left"/>
      <w:pPr>
        <w:ind w:left="6611" w:hanging="361"/>
      </w:pPr>
      <w:rPr>
        <w:rFonts w:hint="default"/>
      </w:rPr>
    </w:lvl>
    <w:lvl w:ilvl="5">
      <w:start w:val="0"/>
      <w:numFmt w:val="bullet"/>
      <w:lvlText w:val="•"/>
      <w:lvlJc w:val="left"/>
      <w:pPr>
        <w:ind w:left="7979" w:hanging="361"/>
      </w:pPr>
      <w:rPr>
        <w:rFonts w:hint="default"/>
      </w:rPr>
    </w:lvl>
    <w:lvl w:ilvl="6">
      <w:start w:val="0"/>
      <w:numFmt w:val="bullet"/>
      <w:lvlText w:val="•"/>
      <w:lvlJc w:val="left"/>
      <w:pPr>
        <w:ind w:left="9347" w:hanging="361"/>
      </w:pPr>
      <w:rPr>
        <w:rFonts w:hint="default"/>
      </w:rPr>
    </w:lvl>
    <w:lvl w:ilvl="7">
      <w:start w:val="0"/>
      <w:numFmt w:val="bullet"/>
      <w:lvlText w:val="•"/>
      <w:lvlJc w:val="left"/>
      <w:pPr>
        <w:ind w:left="10715" w:hanging="361"/>
      </w:pPr>
      <w:rPr>
        <w:rFonts w:hint="default"/>
      </w:rPr>
    </w:lvl>
    <w:lvl w:ilvl="8">
      <w:start w:val="0"/>
      <w:numFmt w:val="bullet"/>
      <w:lvlText w:val="•"/>
      <w:lvlJc w:val="left"/>
      <w:pPr>
        <w:ind w:left="12083" w:hanging="361"/>
      </w:pPr>
      <w:rPr>
        <w:rFonts w:hint="default"/>
      </w:rPr>
    </w:lvl>
  </w:abstractNum>
  <w:abstractNum w:abstractNumId="6">
    <w:nsid w:val="64AF3BE8"/>
    <w:multiLevelType w:val="hybridMultilevel"/>
    <w:tmpl w:val="00000000"/>
    <w:lvl w:ilvl="0">
      <w:start w:val="1"/>
      <w:numFmt w:val="decimal"/>
      <w:lvlText w:val="%1."/>
      <w:lvlJc w:val="left"/>
      <w:pPr>
        <w:ind w:left="1684" w:hanging="540"/>
        <w:jc w:val="left"/>
      </w:pPr>
      <w:rPr>
        <w:rFonts w:ascii="宋体" w:eastAsia="宋体" w:hAnsi="宋体" w:cs="宋体" w:hint="default"/>
        <w:w w:val="100"/>
        <w:sz w:val="36"/>
        <w:szCs w:val="36"/>
      </w:rPr>
    </w:lvl>
    <w:lvl w:ilvl="1">
      <w:start w:val="1"/>
      <w:numFmt w:val="lowerLetter"/>
      <w:lvlText w:val="%2."/>
      <w:lvlJc w:val="left"/>
      <w:pPr>
        <w:ind w:left="1684" w:hanging="540"/>
        <w:jc w:val="left"/>
      </w:pPr>
      <w:rPr>
        <w:rFonts w:ascii="宋体" w:eastAsia="宋体" w:hAnsi="宋体" w:cs="宋体" w:hint="default"/>
        <w:w w:val="100"/>
        <w:sz w:val="36"/>
        <w:szCs w:val="36"/>
      </w:rPr>
    </w:lvl>
    <w:lvl w:ilvl="2">
      <w:start w:val="0"/>
      <w:numFmt w:val="bullet"/>
      <w:lvlText w:val="•"/>
      <w:lvlJc w:val="left"/>
      <w:pPr>
        <w:ind w:left="4307" w:hanging="540"/>
      </w:pPr>
      <w:rPr>
        <w:rFonts w:hint="default"/>
      </w:rPr>
    </w:lvl>
    <w:lvl w:ilvl="3">
      <w:start w:val="0"/>
      <w:numFmt w:val="bullet"/>
      <w:lvlText w:val="•"/>
      <w:lvlJc w:val="left"/>
      <w:pPr>
        <w:ind w:left="5621" w:hanging="540"/>
      </w:pPr>
      <w:rPr>
        <w:rFonts w:hint="default"/>
      </w:rPr>
    </w:lvl>
    <w:lvl w:ilvl="4">
      <w:start w:val="0"/>
      <w:numFmt w:val="bullet"/>
      <w:lvlText w:val="•"/>
      <w:lvlJc w:val="left"/>
      <w:pPr>
        <w:ind w:left="6935" w:hanging="540"/>
      </w:pPr>
      <w:rPr>
        <w:rFonts w:hint="default"/>
      </w:rPr>
    </w:lvl>
    <w:lvl w:ilvl="5">
      <w:start w:val="0"/>
      <w:numFmt w:val="bullet"/>
      <w:lvlText w:val="•"/>
      <w:lvlJc w:val="left"/>
      <w:pPr>
        <w:ind w:left="8249" w:hanging="540"/>
      </w:pPr>
      <w:rPr>
        <w:rFonts w:hint="default"/>
      </w:rPr>
    </w:lvl>
    <w:lvl w:ilvl="6">
      <w:start w:val="0"/>
      <w:numFmt w:val="bullet"/>
      <w:lvlText w:val="•"/>
      <w:lvlJc w:val="left"/>
      <w:pPr>
        <w:ind w:left="9563" w:hanging="540"/>
      </w:pPr>
      <w:rPr>
        <w:rFonts w:hint="default"/>
      </w:rPr>
    </w:lvl>
    <w:lvl w:ilvl="7">
      <w:start w:val="0"/>
      <w:numFmt w:val="bullet"/>
      <w:lvlText w:val="•"/>
      <w:lvlJc w:val="left"/>
      <w:pPr>
        <w:ind w:left="10877" w:hanging="540"/>
      </w:pPr>
      <w:rPr>
        <w:rFonts w:hint="default"/>
      </w:rPr>
    </w:lvl>
    <w:lvl w:ilvl="8">
      <w:start w:val="0"/>
      <w:numFmt w:val="bullet"/>
      <w:lvlText w:val="•"/>
      <w:lvlJc w:val="left"/>
      <w:pPr>
        <w:ind w:left="12191" w:hanging="540"/>
      </w:pPr>
      <w:rPr>
        <w:rFonts w:hint="default"/>
      </w:rPr>
    </w:lvl>
  </w:abstractNum>
  <w:abstractNum w:abstractNumId="7">
    <w:nsid w:val="75D21778"/>
    <w:multiLevelType w:val="hybridMultilevel"/>
    <w:tmpl w:val="00000000"/>
    <w:lvl w:ilvl="0">
      <w:start w:val="1"/>
      <w:numFmt w:val="decimal"/>
      <w:lvlText w:val="（%1）"/>
      <w:lvlJc w:val="left"/>
      <w:pPr>
        <w:ind w:left="2405" w:hanging="901"/>
        <w:jc w:val="left"/>
      </w:pPr>
      <w:rPr>
        <w:rFonts w:ascii="宋体" w:eastAsia="宋体" w:hAnsi="宋体" w:cs="宋体" w:hint="default"/>
        <w:w w:val="100"/>
        <w:sz w:val="34"/>
        <w:szCs w:val="34"/>
      </w:rPr>
    </w:lvl>
    <w:lvl w:ilvl="1">
      <w:start w:val="0"/>
      <w:numFmt w:val="bullet"/>
      <w:lvlText w:val="•"/>
      <w:lvlJc w:val="left"/>
      <w:pPr>
        <w:ind w:left="3641" w:hanging="901"/>
      </w:pPr>
      <w:rPr>
        <w:rFonts w:hint="default"/>
      </w:rPr>
    </w:lvl>
    <w:lvl w:ilvl="2">
      <w:start w:val="0"/>
      <w:numFmt w:val="bullet"/>
      <w:lvlText w:val="•"/>
      <w:lvlJc w:val="left"/>
      <w:pPr>
        <w:ind w:left="4883" w:hanging="901"/>
      </w:pPr>
      <w:rPr>
        <w:rFonts w:hint="default"/>
      </w:rPr>
    </w:lvl>
    <w:lvl w:ilvl="3">
      <w:start w:val="0"/>
      <w:numFmt w:val="bullet"/>
      <w:lvlText w:val="•"/>
      <w:lvlJc w:val="left"/>
      <w:pPr>
        <w:ind w:left="6125" w:hanging="901"/>
      </w:pPr>
      <w:rPr>
        <w:rFonts w:hint="default"/>
      </w:rPr>
    </w:lvl>
    <w:lvl w:ilvl="4">
      <w:start w:val="0"/>
      <w:numFmt w:val="bullet"/>
      <w:lvlText w:val="•"/>
      <w:lvlJc w:val="left"/>
      <w:pPr>
        <w:ind w:left="7367" w:hanging="901"/>
      </w:pPr>
      <w:rPr>
        <w:rFonts w:hint="default"/>
      </w:rPr>
    </w:lvl>
    <w:lvl w:ilvl="5">
      <w:start w:val="0"/>
      <w:numFmt w:val="bullet"/>
      <w:lvlText w:val="•"/>
      <w:lvlJc w:val="left"/>
      <w:pPr>
        <w:ind w:left="8609" w:hanging="901"/>
      </w:pPr>
      <w:rPr>
        <w:rFonts w:hint="default"/>
      </w:rPr>
    </w:lvl>
    <w:lvl w:ilvl="6">
      <w:start w:val="0"/>
      <w:numFmt w:val="bullet"/>
      <w:lvlText w:val="•"/>
      <w:lvlJc w:val="left"/>
      <w:pPr>
        <w:ind w:left="9851" w:hanging="901"/>
      </w:pPr>
      <w:rPr>
        <w:rFonts w:hint="default"/>
      </w:rPr>
    </w:lvl>
    <w:lvl w:ilvl="7">
      <w:start w:val="0"/>
      <w:numFmt w:val="bullet"/>
      <w:lvlText w:val="•"/>
      <w:lvlJc w:val="left"/>
      <w:pPr>
        <w:ind w:left="11093" w:hanging="901"/>
      </w:pPr>
      <w:rPr>
        <w:rFonts w:hint="default"/>
      </w:rPr>
    </w:lvl>
    <w:lvl w:ilvl="8">
      <w:start w:val="0"/>
      <w:numFmt w:val="bullet"/>
      <w:lvlText w:val="•"/>
      <w:lvlJc w:val="left"/>
      <w:pPr>
        <w:ind w:left="12335" w:hanging="901"/>
      </w:pPr>
      <w:rPr>
        <w:rFonts w:hint="default"/>
      </w:rPr>
    </w:lvl>
  </w:abstractNum>
  <w:abstractNum w:abstractNumId="8">
    <w:nsid w:val="7B37A030"/>
    <w:multiLevelType w:val="hybridMultilevel"/>
    <w:tmpl w:val="00000000"/>
    <w:lvl w:ilvl="0">
      <w:start w:val="1"/>
      <w:numFmt w:val="decimal"/>
      <w:lvlText w:val="（%1）"/>
      <w:lvlJc w:val="left"/>
      <w:pPr>
        <w:ind w:left="1144" w:hanging="901"/>
        <w:jc w:val="left"/>
      </w:pPr>
      <w:rPr>
        <w:rFonts w:ascii="宋体" w:eastAsia="宋体" w:hAnsi="宋体" w:cs="宋体" w:hint="default"/>
        <w:w w:val="100"/>
        <w:sz w:val="34"/>
        <w:szCs w:val="34"/>
      </w:rPr>
    </w:lvl>
    <w:lvl w:ilvl="1">
      <w:start w:val="0"/>
      <w:numFmt w:val="bullet"/>
      <w:lvlText w:val="•"/>
      <w:lvlJc w:val="left"/>
      <w:pPr>
        <w:ind w:left="2507" w:hanging="901"/>
      </w:pPr>
      <w:rPr>
        <w:rFonts w:hint="default"/>
      </w:rPr>
    </w:lvl>
    <w:lvl w:ilvl="2">
      <w:start w:val="0"/>
      <w:numFmt w:val="bullet"/>
      <w:lvlText w:val="•"/>
      <w:lvlJc w:val="left"/>
      <w:pPr>
        <w:ind w:left="3875" w:hanging="901"/>
      </w:pPr>
      <w:rPr>
        <w:rFonts w:hint="default"/>
      </w:rPr>
    </w:lvl>
    <w:lvl w:ilvl="3">
      <w:start w:val="0"/>
      <w:numFmt w:val="bullet"/>
      <w:lvlText w:val="•"/>
      <w:lvlJc w:val="left"/>
      <w:pPr>
        <w:ind w:left="5243" w:hanging="901"/>
      </w:pPr>
      <w:rPr>
        <w:rFonts w:hint="default"/>
      </w:rPr>
    </w:lvl>
    <w:lvl w:ilvl="4">
      <w:start w:val="0"/>
      <w:numFmt w:val="bullet"/>
      <w:lvlText w:val="•"/>
      <w:lvlJc w:val="left"/>
      <w:pPr>
        <w:ind w:left="6611"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347" w:hanging="901"/>
      </w:pPr>
      <w:rPr>
        <w:rFonts w:hint="default"/>
      </w:rPr>
    </w:lvl>
    <w:lvl w:ilvl="7">
      <w:start w:val="0"/>
      <w:numFmt w:val="bullet"/>
      <w:lvlText w:val="•"/>
      <w:lvlJc w:val="left"/>
      <w:pPr>
        <w:ind w:left="10715" w:hanging="901"/>
      </w:pPr>
      <w:rPr>
        <w:rFonts w:hint="default"/>
      </w:rPr>
    </w:lvl>
    <w:lvl w:ilvl="8">
      <w:start w:val="0"/>
      <w:numFmt w:val="bullet"/>
      <w:lvlText w:val="•"/>
      <w:lvlJc w:val="left"/>
      <w:pPr>
        <w:ind w:left="12083" w:hanging="901"/>
      </w:pPr>
      <w:rPr>
        <w:rFonts w:hint="default"/>
      </w:rPr>
    </w:lvl>
  </w:abstractNum>
  <w:num w:numId="1">
    <w:abstractNumId w:val="0"/>
  </w:num>
  <w:num w:numId="2">
    <w:abstractNumId w:val="5"/>
  </w:num>
  <w:num w:numId="3">
    <w:abstractNumId w:val="2"/>
  </w:num>
  <w:num w:numId="4">
    <w:abstractNumId w:val="3"/>
  </w:num>
  <w:num w:numId="5">
    <w:abstractNumId w:val="8"/>
  </w:num>
  <w:num w:numId="6">
    <w:abstractNumId w:val="7"/>
  </w:num>
  <w:num w:numId="7">
    <w:abstractNumId w:val="4"/>
  </w:num>
  <w:num w:numId="8">
    <w:abstractNumId w:val="6"/>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144"/>
      <w:outlineLvl w:val="0"/>
    </w:pPr>
    <w:rPr>
      <w:rFonts w:ascii="宋体" w:eastAsia="宋体" w:hAnsi="宋体" w:cs="宋体"/>
      <w:b/>
      <w:bCs/>
      <w:sz w:val="45"/>
      <w:szCs w:val="45"/>
    </w:rPr>
  </w:style>
  <w:style w:type="paragraph" w:styleId="Heading2">
    <w:name w:val="heading 2"/>
    <w:basedOn w:val="Normal"/>
    <w:uiPriority w:val="1"/>
    <w:qFormat/>
    <w:pPr>
      <w:ind w:left="1144"/>
      <w:outlineLvl w:val="1"/>
    </w:pPr>
    <w:rPr>
      <w:rFonts w:ascii="宋体" w:eastAsia="宋体" w:hAnsi="宋体" w:cs="宋体"/>
      <w:b/>
      <w:bCs/>
      <w:sz w:val="42"/>
      <w:szCs w:val="42"/>
    </w:rPr>
  </w:style>
  <w:style w:type="paragraph" w:styleId="Heading3">
    <w:name w:val="heading 3"/>
    <w:basedOn w:val="Normal"/>
    <w:uiPriority w:val="1"/>
    <w:qFormat/>
    <w:pPr>
      <w:ind w:left="1144"/>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
      <w:ind w:left="1144"/>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3"/>
      <w:ind w:left="148"/>
      <w:jc w:val="center"/>
    </w:pPr>
    <w:rPr>
      <w:rFonts w:ascii="幼圆" w:eastAsia="幼圆" w:hAnsi="幼圆" w:cs="幼圆"/>
      <w:b/>
      <w:bCs/>
      <w:sz w:val="54"/>
      <w:szCs w:val="54"/>
    </w:rPr>
  </w:style>
  <w:style w:type="paragraph" w:styleId="ListParagraph">
    <w:name w:val="List Paragraph"/>
    <w:basedOn w:val="Normal"/>
    <w:uiPriority w:val="1"/>
    <w:qFormat/>
    <w:pPr>
      <w:ind w:left="1144" w:hanging="54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246240051130010101" TargetMode="Externa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2024-02-28T20:03:11Z</dcterms:created>
  <dcterms:modified xsi:type="dcterms:W3CDTF">2024-02-28T20:03:11Z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2022-12-05T00:00:00Z</vt:filetime>
  </property>
  <property fmtid="{D5CDD505-2E9C-101B-9397-08002B2CF9AE}" pid="3" name="LastSaved">
    <vt:filetime>2024-02-28T00:00:00Z</vt:filetime>
  </property>
</Properties>
</file>