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center"/>
        <w:outlineLvl w:val="0"/>
        <w:rPr>
          <w:rFonts w:ascii="Times New Roman" w:eastAsia="黑体" w:hAnsi="Times New Roman"/>
          <w:snapToGrid w:val="0"/>
          <w:sz w:val="30"/>
          <w:szCs w:val="30"/>
        </w:rPr>
      </w:pPr>
      <w:r>
        <w:rPr>
          <w:rFonts w:ascii="Times New Roman" w:eastAsia="黑体" w:hAnsi="Times New Roman"/>
          <w:snapToGrid w:val="0"/>
          <w:sz w:val="30"/>
          <w:szCs w:val="30"/>
        </w:rPr>
        <w:t>一、建设项目基本情况</w:t>
      </w:r>
    </w:p>
    <w:tbl>
      <w:tblPr>
        <w:tblStyle w:val="TableNormal"/>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2226"/>
        <w:gridCol w:w="2082"/>
        <w:gridCol w:w="1840"/>
        <w:gridCol w:w="2894"/>
      </w:tblGrid>
      <w:tr>
        <w:tblPrEx>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建设项目名称</w:t>
            </w:r>
          </w:p>
        </w:tc>
        <w:tc>
          <w:tcPr>
            <w:tcW w:w="6816" w:type="dxa"/>
            <w:gridSpan w:val="3"/>
            <w:vAlign w:val="center"/>
          </w:tcPr>
          <w:p>
            <w:pPr>
              <w:adjustRightInd w:val="0"/>
              <w:snapToGrid w:val="0"/>
              <w:jc w:val="center"/>
              <w:rPr>
                <w:sz w:val="24"/>
              </w:rPr>
            </w:pPr>
            <w:bookmarkStart w:id="0" w:name="_Hlk83308098"/>
            <w:r>
              <w:rPr>
                <w:sz w:val="24"/>
              </w:rPr>
              <w:t>陕西爱迩德医养一体项目</w:t>
            </w:r>
            <w:bookmarkEnd w:id="0"/>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项目代码</w:t>
            </w:r>
          </w:p>
        </w:tc>
        <w:tc>
          <w:tcPr>
            <w:tcW w:w="6816" w:type="dxa"/>
            <w:gridSpan w:val="3"/>
            <w:vAlign w:val="center"/>
          </w:tcPr>
          <w:p>
            <w:pPr>
              <w:adjustRightInd w:val="0"/>
              <w:snapToGrid w:val="0"/>
              <w:jc w:val="center"/>
              <w:rPr>
                <w:sz w:val="24"/>
              </w:rPr>
            </w:pPr>
            <w:r>
              <w:rPr>
                <w:sz w:val="24"/>
              </w:rPr>
              <w:t>2106-610104-04-02-119910</w:t>
            </w:r>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建设单位联系人</w:t>
            </w:r>
          </w:p>
        </w:tc>
        <w:tc>
          <w:tcPr>
            <w:tcW w:w="2082" w:type="dxa"/>
            <w:vAlign w:val="center"/>
          </w:tcPr>
          <w:p>
            <w:pPr>
              <w:adjustRightInd w:val="0"/>
              <w:snapToGrid w:val="0"/>
              <w:jc w:val="center"/>
              <w:rPr>
                <w:rFonts w:eastAsia="宋体" w:hint="eastAsia"/>
                <w:sz w:val="24"/>
              </w:rPr>
            </w:pPr>
            <w:r>
              <w:rPr>
                <w:rFonts w:hint="eastAsia"/>
                <w:sz w:val="24"/>
                <w:lang w:val="en-US" w:eastAsia="zh-CN"/>
              </w:rPr>
              <w:t>-</w:t>
            </w:r>
          </w:p>
        </w:tc>
        <w:tc>
          <w:tcPr>
            <w:tcW w:w="1840" w:type="dxa"/>
            <w:vAlign w:val="center"/>
          </w:tcPr>
          <w:p>
            <w:pPr>
              <w:adjustRightInd w:val="0"/>
              <w:snapToGrid w:val="0"/>
              <w:jc w:val="center"/>
              <w:rPr>
                <w:sz w:val="24"/>
              </w:rPr>
            </w:pPr>
            <w:r>
              <w:rPr>
                <w:sz w:val="24"/>
              </w:rPr>
              <w:t>联系方式</w:t>
            </w:r>
          </w:p>
        </w:tc>
        <w:tc>
          <w:tcPr>
            <w:tcW w:w="2894" w:type="dxa"/>
            <w:vAlign w:val="center"/>
          </w:tcPr>
          <w:p>
            <w:pPr>
              <w:adjustRightInd w:val="0"/>
              <w:snapToGrid w:val="0"/>
              <w:jc w:val="center"/>
              <w:rPr>
                <w:rFonts w:eastAsia="宋体" w:hint="eastAsia"/>
                <w:sz w:val="24"/>
              </w:rPr>
            </w:pPr>
            <w:r>
              <w:rPr>
                <w:rFonts w:hint="eastAsia"/>
                <w:sz w:val="24"/>
                <w:lang w:val="en-US" w:eastAsia="zh-CN"/>
              </w:rPr>
              <w:t>-</w:t>
            </w:r>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建设地点</w:t>
            </w:r>
          </w:p>
        </w:tc>
        <w:tc>
          <w:tcPr>
            <w:tcW w:w="6816" w:type="dxa"/>
            <w:gridSpan w:val="3"/>
            <w:vAlign w:val="center"/>
          </w:tcPr>
          <w:p>
            <w:pPr>
              <w:adjustRightInd w:val="0"/>
              <w:snapToGrid w:val="0"/>
              <w:jc w:val="center"/>
              <w:rPr>
                <w:sz w:val="24"/>
              </w:rPr>
            </w:pPr>
            <w:r>
              <w:rPr>
                <w:sz w:val="24"/>
                <w:u w:val="single"/>
              </w:rPr>
              <w:t>陕西</w:t>
            </w:r>
            <w:r>
              <w:rPr>
                <w:sz w:val="24"/>
              </w:rPr>
              <w:t>省</w:t>
            </w:r>
            <w:r>
              <w:rPr>
                <w:sz w:val="24"/>
                <w:u w:val="single"/>
              </w:rPr>
              <w:t>西安</w:t>
            </w:r>
            <w:r>
              <w:rPr>
                <w:sz w:val="24"/>
              </w:rPr>
              <w:t>市</w:t>
            </w:r>
            <w:r>
              <w:rPr>
                <w:sz w:val="24"/>
                <w:u w:val="single"/>
              </w:rPr>
              <w:t>莲湖</w:t>
            </w:r>
            <w:r>
              <w:rPr>
                <w:sz w:val="24"/>
              </w:rPr>
              <w:t>区丰庆路1号财富广场1层、8-18层</w:t>
            </w:r>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地理坐标</w:t>
            </w:r>
          </w:p>
        </w:tc>
        <w:tc>
          <w:tcPr>
            <w:tcW w:w="6816" w:type="dxa"/>
            <w:gridSpan w:val="3"/>
            <w:vAlign w:val="center"/>
          </w:tcPr>
          <w:p>
            <w:pPr>
              <w:jc w:val="center"/>
              <w:rPr>
                <w:sz w:val="24"/>
              </w:rPr>
            </w:pPr>
            <w:r>
              <w:rPr>
                <w:sz w:val="24"/>
              </w:rPr>
              <w:t>（</w:t>
            </w:r>
            <w:r>
              <w:rPr>
                <w:sz w:val="24"/>
                <w:u w:val="single"/>
              </w:rPr>
              <w:t>108</w:t>
            </w:r>
            <w:r>
              <w:rPr>
                <w:sz w:val="24"/>
              </w:rPr>
              <w:t>度</w:t>
            </w:r>
            <w:r>
              <w:rPr>
                <w:sz w:val="24"/>
                <w:u w:val="single"/>
              </w:rPr>
              <w:t>55</w:t>
            </w:r>
            <w:r>
              <w:rPr>
                <w:sz w:val="24"/>
              </w:rPr>
              <w:t>分</w:t>
            </w:r>
            <w:r>
              <w:rPr>
                <w:sz w:val="24"/>
                <w:u w:val="single"/>
              </w:rPr>
              <w:t>7.14</w:t>
            </w:r>
            <w:r>
              <w:rPr>
                <w:sz w:val="24"/>
              </w:rPr>
              <w:t>秒，</w:t>
            </w:r>
            <w:r>
              <w:rPr>
                <w:sz w:val="24"/>
                <w:u w:val="single"/>
              </w:rPr>
              <w:t>34</w:t>
            </w:r>
            <w:r>
              <w:rPr>
                <w:sz w:val="24"/>
              </w:rPr>
              <w:t>度</w:t>
            </w:r>
            <w:r>
              <w:rPr>
                <w:sz w:val="24"/>
                <w:u w:val="single"/>
              </w:rPr>
              <w:t>15</w:t>
            </w:r>
            <w:r>
              <w:rPr>
                <w:sz w:val="24"/>
              </w:rPr>
              <w:t>分</w:t>
            </w:r>
            <w:r>
              <w:rPr>
                <w:sz w:val="24"/>
                <w:u w:val="single"/>
              </w:rPr>
              <w:t>10.14</w:t>
            </w:r>
            <w:r>
              <w:rPr>
                <w:sz w:val="24"/>
              </w:rPr>
              <w:t>秒）</w:t>
            </w:r>
          </w:p>
        </w:tc>
      </w:tr>
      <w:tr>
        <w:tblPrEx>
          <w:tblW w:w="9042" w:type="dxa"/>
          <w:jc w:val="center"/>
          <w:tblLayout w:type="fixed"/>
          <w:tblCellMar>
            <w:top w:w="0" w:type="dxa"/>
            <w:left w:w="0" w:type="dxa"/>
            <w:bottom w:w="0" w:type="dxa"/>
            <w:right w:w="0" w:type="dxa"/>
          </w:tblCellMar>
          <w:tblLook w:val="0000"/>
        </w:tblPrEx>
        <w:trPr>
          <w:trHeight w:val="561"/>
          <w:jc w:val="center"/>
        </w:trPr>
        <w:tc>
          <w:tcPr>
            <w:tcW w:w="2226" w:type="dxa"/>
            <w:tcMar>
              <w:top w:w="16" w:type="dxa"/>
              <w:left w:w="16" w:type="dxa"/>
              <w:right w:w="16" w:type="dxa"/>
            </w:tcMar>
            <w:vAlign w:val="center"/>
          </w:tcPr>
          <w:p>
            <w:pPr>
              <w:adjustRightInd w:val="0"/>
              <w:snapToGrid w:val="0"/>
              <w:jc w:val="center"/>
              <w:rPr>
                <w:sz w:val="24"/>
              </w:rPr>
            </w:pPr>
            <w:r>
              <w:rPr>
                <w:sz w:val="24"/>
              </w:rPr>
              <w:t>国民经济</w:t>
            </w:r>
          </w:p>
          <w:p>
            <w:pPr>
              <w:adjustRightInd w:val="0"/>
              <w:snapToGrid w:val="0"/>
              <w:jc w:val="center"/>
              <w:rPr>
                <w:sz w:val="24"/>
              </w:rPr>
            </w:pPr>
            <w:r>
              <w:rPr>
                <w:sz w:val="24"/>
              </w:rPr>
              <w:t>行业类别</w:t>
            </w:r>
          </w:p>
        </w:tc>
        <w:tc>
          <w:tcPr>
            <w:tcW w:w="2082" w:type="dxa"/>
            <w:vAlign w:val="center"/>
          </w:tcPr>
          <w:p>
            <w:pPr>
              <w:adjustRightInd w:val="0"/>
              <w:snapToGrid w:val="0"/>
              <w:jc w:val="center"/>
              <w:rPr>
                <w:sz w:val="24"/>
              </w:rPr>
            </w:pPr>
            <w:r>
              <w:rPr>
                <w:sz w:val="24"/>
              </w:rPr>
              <w:t xml:space="preserve">Q8411 综合医院 </w:t>
            </w:r>
          </w:p>
        </w:tc>
        <w:tc>
          <w:tcPr>
            <w:tcW w:w="1840" w:type="dxa"/>
            <w:vAlign w:val="center"/>
          </w:tcPr>
          <w:p>
            <w:pPr>
              <w:adjustRightInd w:val="0"/>
              <w:snapToGrid w:val="0"/>
              <w:jc w:val="center"/>
              <w:rPr>
                <w:sz w:val="24"/>
              </w:rPr>
            </w:pPr>
            <w:bookmarkStart w:id="1" w:name="_Hlk49843745"/>
            <w:r>
              <w:rPr>
                <w:sz w:val="24"/>
              </w:rPr>
              <w:t>建设项目</w:t>
            </w:r>
          </w:p>
          <w:p>
            <w:pPr>
              <w:adjustRightInd w:val="0"/>
              <w:snapToGrid w:val="0"/>
              <w:jc w:val="center"/>
              <w:rPr>
                <w:sz w:val="24"/>
              </w:rPr>
            </w:pPr>
            <w:r>
              <w:rPr>
                <w:sz w:val="24"/>
              </w:rPr>
              <w:t>行业类别</w:t>
            </w:r>
            <w:bookmarkEnd w:id="1"/>
          </w:p>
        </w:tc>
        <w:tc>
          <w:tcPr>
            <w:tcW w:w="2894" w:type="dxa"/>
            <w:vAlign w:val="center"/>
          </w:tcPr>
          <w:p>
            <w:pPr>
              <w:adjustRightInd w:val="0"/>
              <w:snapToGrid w:val="0"/>
              <w:jc w:val="center"/>
              <w:rPr>
                <w:sz w:val="24"/>
              </w:rPr>
            </w:pPr>
            <w:r>
              <w:rPr>
                <w:sz w:val="24"/>
              </w:rPr>
              <w:t xml:space="preserve">108、医院、专科疾病防治院（所、站）、妇幼保健院（所、站）、急救中心（站）服务、采供血机构服务、基层医疗卫生服务；110、学校、福利院、养老院（建筑面积5000平方米及以上的） </w:t>
            </w:r>
          </w:p>
        </w:tc>
      </w:tr>
      <w:tr>
        <w:tblPrEx>
          <w:tblW w:w="9042" w:type="dxa"/>
          <w:jc w:val="center"/>
          <w:tblLayout w:type="fixed"/>
          <w:tblCellMar>
            <w:top w:w="0" w:type="dxa"/>
            <w:left w:w="0" w:type="dxa"/>
            <w:bottom w:w="0" w:type="dxa"/>
            <w:right w:w="0" w:type="dxa"/>
          </w:tblCellMar>
          <w:tblLook w:val="0000"/>
        </w:tblPrEx>
        <w:trPr>
          <w:trHeight w:val="1427"/>
          <w:jc w:val="center"/>
        </w:trPr>
        <w:tc>
          <w:tcPr>
            <w:tcW w:w="2226" w:type="dxa"/>
            <w:tcMar>
              <w:top w:w="16" w:type="dxa"/>
              <w:left w:w="16" w:type="dxa"/>
              <w:right w:w="16" w:type="dxa"/>
            </w:tcMar>
            <w:vAlign w:val="center"/>
          </w:tcPr>
          <w:p>
            <w:pPr>
              <w:adjustRightInd w:val="0"/>
              <w:snapToGrid w:val="0"/>
              <w:jc w:val="center"/>
              <w:rPr>
                <w:sz w:val="24"/>
              </w:rPr>
            </w:pPr>
            <w:r>
              <w:rPr>
                <w:sz w:val="24"/>
              </w:rPr>
              <w:t>建设性质</w:t>
            </w:r>
          </w:p>
        </w:tc>
        <w:tc>
          <w:tcPr>
            <w:tcW w:w="2082" w:type="dxa"/>
            <w:vAlign w:val="center"/>
          </w:tcPr>
          <w:p>
            <w:pPr>
              <w:jc w:val="left"/>
              <w:rPr>
                <w:sz w:val="24"/>
              </w:rPr>
            </w:pPr>
            <w:r>
              <w:rPr>
                <w:rFonts w:ascii="Wingdings 2" w:hAnsi="Wingdings 2"/>
                <w:sz w:val="24"/>
              </w:rPr>
              <w:sym w:font="Wingdings 2" w:char="F052"/>
            </w:r>
            <w:r>
              <w:rPr>
                <w:sz w:val="24"/>
              </w:rPr>
              <w:t>新建（迁建）</w:t>
            </w:r>
          </w:p>
          <w:p>
            <w:pPr>
              <w:jc w:val="left"/>
              <w:rPr>
                <w:sz w:val="24"/>
              </w:rPr>
            </w:pPr>
            <w:r>
              <w:rPr>
                <w:rFonts w:ascii="Wingdings 2" w:hAnsi="Wingdings 2"/>
                <w:sz w:val="24"/>
              </w:rPr>
              <w:sym w:font="Wingdings 2" w:char="F0A3"/>
            </w:r>
            <w:r>
              <w:rPr>
                <w:sz w:val="24"/>
              </w:rPr>
              <w:t>改建</w:t>
            </w:r>
          </w:p>
          <w:p>
            <w:pPr>
              <w:jc w:val="left"/>
              <w:rPr>
                <w:sz w:val="24"/>
              </w:rPr>
            </w:pPr>
            <w:r>
              <w:rPr>
                <w:rFonts w:ascii="Wingdings 2" w:hAnsi="Wingdings 2"/>
                <w:sz w:val="24"/>
              </w:rPr>
              <w:sym w:font="Wingdings 2" w:char="F0A3"/>
            </w:r>
            <w:r>
              <w:rPr>
                <w:sz w:val="24"/>
              </w:rPr>
              <w:t>扩建</w:t>
            </w:r>
          </w:p>
          <w:p>
            <w:pPr>
              <w:jc w:val="left"/>
              <w:rPr>
                <w:sz w:val="24"/>
              </w:rPr>
            </w:pPr>
            <w:r>
              <w:rPr>
                <w:rFonts w:ascii="Wingdings 2" w:hAnsi="Wingdings 2"/>
                <w:sz w:val="24"/>
              </w:rPr>
              <w:sym w:font="Wingdings 2" w:char="F0A3"/>
            </w:r>
            <w:r>
              <w:rPr>
                <w:sz w:val="24"/>
              </w:rPr>
              <w:t>技术改造</w:t>
            </w:r>
          </w:p>
        </w:tc>
        <w:tc>
          <w:tcPr>
            <w:tcW w:w="1840" w:type="dxa"/>
            <w:vAlign w:val="center"/>
          </w:tcPr>
          <w:p>
            <w:pPr>
              <w:adjustRightInd w:val="0"/>
              <w:snapToGrid w:val="0"/>
              <w:jc w:val="center"/>
              <w:rPr>
                <w:sz w:val="24"/>
              </w:rPr>
            </w:pPr>
            <w:r>
              <w:rPr>
                <w:sz w:val="24"/>
              </w:rPr>
              <w:t>建设项目</w:t>
            </w:r>
          </w:p>
          <w:p>
            <w:pPr>
              <w:adjustRightInd w:val="0"/>
              <w:snapToGrid w:val="0"/>
              <w:jc w:val="center"/>
              <w:rPr>
                <w:sz w:val="24"/>
              </w:rPr>
            </w:pPr>
            <w:r>
              <w:rPr>
                <w:sz w:val="24"/>
              </w:rPr>
              <w:t>申报情形</w:t>
            </w:r>
          </w:p>
        </w:tc>
        <w:tc>
          <w:tcPr>
            <w:tcW w:w="2894" w:type="dxa"/>
            <w:vAlign w:val="center"/>
          </w:tcPr>
          <w:p>
            <w:pPr>
              <w:jc w:val="left"/>
              <w:rPr>
                <w:sz w:val="24"/>
              </w:rPr>
            </w:pPr>
            <w:r>
              <w:rPr>
                <w:rFonts w:ascii="Wingdings 2" w:hAnsi="Wingdings 2"/>
                <w:sz w:val="24"/>
              </w:rPr>
              <w:sym w:font="Wingdings 2" w:char="F052"/>
            </w:r>
            <w:r>
              <w:rPr>
                <w:sz w:val="24"/>
              </w:rPr>
              <w:t>首次申报项目</w:t>
            </w:r>
          </w:p>
          <w:p>
            <w:pPr>
              <w:jc w:val="left"/>
              <w:rPr>
                <w:sz w:val="24"/>
              </w:rPr>
            </w:pPr>
            <w:r>
              <w:rPr>
                <w:rFonts w:ascii="Wingdings 2" w:hAnsi="Wingdings 2"/>
                <w:sz w:val="24"/>
              </w:rPr>
              <w:sym w:font="Wingdings 2" w:char="F0A3"/>
            </w:r>
            <w:r>
              <w:rPr>
                <w:sz w:val="24"/>
              </w:rPr>
              <w:t>不予批准后再次申报项目</w:t>
            </w:r>
          </w:p>
          <w:p>
            <w:pPr>
              <w:jc w:val="left"/>
              <w:rPr>
                <w:sz w:val="24"/>
              </w:rPr>
            </w:pPr>
            <w:r>
              <w:rPr>
                <w:rFonts w:ascii="Wingdings 2" w:hAnsi="Wingdings 2"/>
                <w:sz w:val="24"/>
              </w:rPr>
              <w:sym w:font="Wingdings 2" w:char="F0A3"/>
            </w:r>
            <w:r>
              <w:rPr>
                <w:sz w:val="24"/>
              </w:rPr>
              <w:t>超五年重新审核项目</w:t>
            </w:r>
          </w:p>
          <w:p>
            <w:pPr>
              <w:jc w:val="left"/>
              <w:rPr>
                <w:sz w:val="24"/>
              </w:rPr>
            </w:pPr>
            <w:r>
              <w:rPr>
                <w:rFonts w:ascii="Wingdings 2" w:hAnsi="Wingdings 2"/>
                <w:sz w:val="24"/>
              </w:rPr>
              <w:sym w:font="Wingdings 2" w:char="F0A3"/>
            </w:r>
            <w:r>
              <w:rPr>
                <w:sz w:val="24"/>
              </w:rPr>
              <w:t>重大变动重新报批项目</w:t>
            </w:r>
          </w:p>
        </w:tc>
      </w:tr>
      <w:tr>
        <w:tblPrEx>
          <w:tblW w:w="9042" w:type="dxa"/>
          <w:jc w:val="center"/>
          <w:tblLayout w:type="fixed"/>
          <w:tblCellMar>
            <w:top w:w="0" w:type="dxa"/>
            <w:left w:w="0" w:type="dxa"/>
            <w:bottom w:w="0" w:type="dxa"/>
            <w:right w:w="0" w:type="dxa"/>
          </w:tblCellMar>
          <w:tblLook w:val="0000"/>
        </w:tblPrEx>
        <w:trPr>
          <w:trHeight w:val="851"/>
          <w:jc w:val="center"/>
        </w:trPr>
        <w:tc>
          <w:tcPr>
            <w:tcW w:w="2226" w:type="dxa"/>
            <w:tcMar>
              <w:top w:w="16" w:type="dxa"/>
              <w:left w:w="16" w:type="dxa"/>
              <w:right w:w="16" w:type="dxa"/>
            </w:tcMar>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备案）部门（选填）</w:t>
            </w:r>
          </w:p>
        </w:tc>
        <w:tc>
          <w:tcPr>
            <w:tcW w:w="2082" w:type="dxa"/>
            <w:vAlign w:val="center"/>
          </w:tcPr>
          <w:p>
            <w:pPr>
              <w:adjustRightInd w:val="0"/>
              <w:snapToGrid w:val="0"/>
              <w:jc w:val="center"/>
              <w:rPr>
                <w:sz w:val="24"/>
              </w:rPr>
            </w:pPr>
            <w:r>
              <w:rPr>
                <w:sz w:val="24"/>
              </w:rPr>
              <w:t>莲湖区行政审批</w:t>
            </w:r>
          </w:p>
          <w:p>
            <w:pPr>
              <w:adjustRightInd w:val="0"/>
              <w:snapToGrid w:val="0"/>
              <w:jc w:val="center"/>
              <w:rPr>
                <w:sz w:val="24"/>
              </w:rPr>
            </w:pPr>
            <w:r>
              <w:rPr>
                <w:sz w:val="24"/>
              </w:rPr>
              <w:t>服务局</w:t>
            </w:r>
          </w:p>
        </w:tc>
        <w:tc>
          <w:tcPr>
            <w:tcW w:w="1840" w:type="dxa"/>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备案）文号（选填）</w:t>
            </w:r>
          </w:p>
        </w:tc>
        <w:tc>
          <w:tcPr>
            <w:tcW w:w="2894" w:type="dxa"/>
            <w:vAlign w:val="center"/>
          </w:tcPr>
          <w:p>
            <w:pPr>
              <w:adjustRightInd w:val="0"/>
              <w:snapToGrid w:val="0"/>
              <w:jc w:val="center"/>
              <w:rPr>
                <w:sz w:val="24"/>
              </w:rPr>
            </w:pPr>
            <w:r>
              <w:rPr>
                <w:rFonts w:hint="eastAsia"/>
                <w:sz w:val="24"/>
              </w:rPr>
              <w:t>/</w:t>
            </w:r>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总投资（万元）</w:t>
            </w:r>
          </w:p>
        </w:tc>
        <w:tc>
          <w:tcPr>
            <w:tcW w:w="2082" w:type="dxa"/>
            <w:vAlign w:val="center"/>
          </w:tcPr>
          <w:p>
            <w:pPr>
              <w:adjustRightInd w:val="0"/>
              <w:snapToGrid w:val="0"/>
              <w:jc w:val="center"/>
              <w:rPr>
                <w:sz w:val="24"/>
              </w:rPr>
            </w:pPr>
            <w:r>
              <w:rPr>
                <w:sz w:val="24"/>
              </w:rPr>
              <w:t>5500</w:t>
            </w:r>
          </w:p>
        </w:tc>
        <w:tc>
          <w:tcPr>
            <w:tcW w:w="1840" w:type="dxa"/>
            <w:tcMar>
              <w:top w:w="16" w:type="dxa"/>
              <w:left w:w="16" w:type="dxa"/>
              <w:right w:w="16" w:type="dxa"/>
            </w:tcMar>
            <w:vAlign w:val="center"/>
          </w:tcPr>
          <w:p>
            <w:pPr>
              <w:adjustRightInd w:val="0"/>
              <w:snapToGrid w:val="0"/>
              <w:jc w:val="center"/>
              <w:rPr>
                <w:sz w:val="24"/>
              </w:rPr>
            </w:pPr>
            <w:r>
              <w:rPr>
                <w:sz w:val="24"/>
              </w:rPr>
              <w:t>环保投资（万元）</w:t>
            </w:r>
          </w:p>
        </w:tc>
        <w:tc>
          <w:tcPr>
            <w:tcW w:w="2894" w:type="dxa"/>
            <w:vAlign w:val="center"/>
          </w:tcPr>
          <w:p>
            <w:pPr>
              <w:adjustRightInd w:val="0"/>
              <w:snapToGrid w:val="0"/>
              <w:jc w:val="center"/>
              <w:rPr>
                <w:sz w:val="24"/>
              </w:rPr>
            </w:pPr>
            <w:r>
              <w:rPr>
                <w:sz w:val="24"/>
              </w:rPr>
              <w:t>50</w:t>
            </w:r>
          </w:p>
        </w:tc>
      </w:tr>
      <w:tr>
        <w:tblPrEx>
          <w:tblW w:w="9042" w:type="dxa"/>
          <w:jc w:val="center"/>
          <w:tblLayout w:type="fixed"/>
          <w:tblCellMar>
            <w:top w:w="0" w:type="dxa"/>
            <w:left w:w="0" w:type="dxa"/>
            <w:bottom w:w="0" w:type="dxa"/>
            <w:right w:w="0" w:type="dxa"/>
          </w:tblCellMar>
          <w:tblLook w:val="0000"/>
        </w:tblPrEx>
        <w:trPr>
          <w:trHeight w:val="497"/>
          <w:jc w:val="center"/>
        </w:trPr>
        <w:tc>
          <w:tcPr>
            <w:tcW w:w="2226" w:type="dxa"/>
            <w:tcMar>
              <w:top w:w="16" w:type="dxa"/>
              <w:left w:w="16" w:type="dxa"/>
              <w:right w:w="16" w:type="dxa"/>
            </w:tcMar>
            <w:vAlign w:val="center"/>
          </w:tcPr>
          <w:p>
            <w:pPr>
              <w:adjustRightInd w:val="0"/>
              <w:snapToGrid w:val="0"/>
              <w:jc w:val="center"/>
              <w:rPr>
                <w:sz w:val="24"/>
              </w:rPr>
            </w:pPr>
            <w:r>
              <w:rPr>
                <w:sz w:val="24"/>
              </w:rPr>
              <w:t>环保投资占比（%）</w:t>
            </w:r>
          </w:p>
        </w:tc>
        <w:tc>
          <w:tcPr>
            <w:tcW w:w="2082" w:type="dxa"/>
            <w:vAlign w:val="center"/>
          </w:tcPr>
          <w:p>
            <w:pPr>
              <w:adjustRightInd w:val="0"/>
              <w:snapToGrid w:val="0"/>
              <w:jc w:val="center"/>
              <w:rPr>
                <w:sz w:val="24"/>
              </w:rPr>
            </w:pPr>
            <w:r>
              <w:rPr>
                <w:sz w:val="24"/>
              </w:rPr>
              <w:t>0.91</w:t>
            </w:r>
          </w:p>
        </w:tc>
        <w:tc>
          <w:tcPr>
            <w:tcW w:w="1840" w:type="dxa"/>
            <w:tcMar>
              <w:top w:w="16" w:type="dxa"/>
              <w:left w:w="16" w:type="dxa"/>
              <w:right w:w="16" w:type="dxa"/>
            </w:tcMar>
            <w:vAlign w:val="center"/>
          </w:tcPr>
          <w:p>
            <w:pPr>
              <w:adjustRightInd w:val="0"/>
              <w:snapToGrid w:val="0"/>
              <w:jc w:val="center"/>
              <w:rPr>
                <w:sz w:val="24"/>
              </w:rPr>
            </w:pPr>
            <w:r>
              <w:rPr>
                <w:sz w:val="24"/>
              </w:rPr>
              <w:t>施工工期</w:t>
            </w:r>
          </w:p>
        </w:tc>
        <w:tc>
          <w:tcPr>
            <w:tcW w:w="2894" w:type="dxa"/>
            <w:vAlign w:val="center"/>
          </w:tcPr>
          <w:p>
            <w:pPr>
              <w:adjustRightInd w:val="0"/>
              <w:snapToGrid w:val="0"/>
              <w:jc w:val="center"/>
              <w:rPr>
                <w:sz w:val="24"/>
              </w:rPr>
            </w:pPr>
            <w:r>
              <w:rPr>
                <w:sz w:val="24"/>
              </w:rPr>
              <w:t>6个月</w:t>
            </w:r>
          </w:p>
        </w:tc>
      </w:tr>
      <w:tr>
        <w:tblPrEx>
          <w:tblW w:w="9042" w:type="dxa"/>
          <w:jc w:val="center"/>
          <w:tblLayout w:type="fixed"/>
          <w:tblCellMar>
            <w:top w:w="0" w:type="dxa"/>
            <w:left w:w="0" w:type="dxa"/>
            <w:bottom w:w="0" w:type="dxa"/>
            <w:right w:w="0" w:type="dxa"/>
          </w:tblCellMar>
          <w:tblLook w:val="0000"/>
        </w:tblPrEx>
        <w:trPr>
          <w:jc w:val="center"/>
        </w:trPr>
        <w:tc>
          <w:tcPr>
            <w:tcW w:w="2226" w:type="dxa"/>
            <w:tcMar>
              <w:top w:w="16" w:type="dxa"/>
              <w:left w:w="16" w:type="dxa"/>
              <w:right w:w="16" w:type="dxa"/>
            </w:tcMar>
            <w:vAlign w:val="center"/>
          </w:tcPr>
          <w:p>
            <w:pPr>
              <w:adjustRightInd w:val="0"/>
              <w:snapToGrid w:val="0"/>
              <w:jc w:val="center"/>
              <w:rPr>
                <w:sz w:val="24"/>
              </w:rPr>
            </w:pPr>
            <w:r>
              <w:rPr>
                <w:sz w:val="24"/>
              </w:rPr>
              <w:t>是否开工建设</w:t>
            </w:r>
          </w:p>
        </w:tc>
        <w:tc>
          <w:tcPr>
            <w:tcW w:w="2082" w:type="dxa"/>
            <w:vAlign w:val="center"/>
          </w:tcPr>
          <w:p>
            <w:pPr>
              <w:adjustRightInd w:val="0"/>
              <w:snapToGrid w:val="0"/>
              <w:rPr>
                <w:sz w:val="24"/>
              </w:rPr>
            </w:pPr>
            <w:r>
              <w:rPr>
                <w:rFonts w:ascii="Wingdings 2" w:hAnsi="Wingdings 2"/>
                <w:sz w:val="24"/>
              </w:rPr>
              <w:sym w:font="Wingdings 2" w:char="F052"/>
            </w:r>
            <w:r>
              <w:rPr>
                <w:sz w:val="24"/>
              </w:rPr>
              <w:t>否</w:t>
            </w:r>
          </w:p>
          <w:p>
            <w:pPr>
              <w:adjustRightInd w:val="0"/>
              <w:snapToGrid w:val="0"/>
              <w:rPr>
                <w:sz w:val="24"/>
              </w:rPr>
            </w:pPr>
            <w:r>
              <w:rPr>
                <w:rFonts w:ascii="Wingdings 2" w:hAnsi="Wingdings 2"/>
                <w:sz w:val="24"/>
              </w:rPr>
              <w:sym w:font="Wingdings 2" w:char="F0A3"/>
            </w:r>
            <w:r>
              <w:rPr>
                <w:sz w:val="24"/>
              </w:rPr>
              <w:t>是：</w:t>
            </w:r>
            <w:r>
              <w:rPr>
                <w:sz w:val="24"/>
                <w:u w:val="single"/>
              </w:rPr>
              <w:t xml:space="preserve">           </w:t>
            </w:r>
            <w:r>
              <w:rPr>
                <w:sz w:val="24"/>
              </w:rPr>
              <w:t xml:space="preserve"> </w:t>
            </w:r>
          </w:p>
        </w:tc>
        <w:tc>
          <w:tcPr>
            <w:tcW w:w="1840" w:type="dxa"/>
            <w:tcMar>
              <w:top w:w="16" w:type="dxa"/>
              <w:left w:w="16" w:type="dxa"/>
              <w:right w:w="16" w:type="dxa"/>
            </w:tcMar>
            <w:vAlign w:val="center"/>
          </w:tcPr>
          <w:p>
            <w:pPr>
              <w:adjustRightInd w:val="0"/>
              <w:snapToGrid w:val="0"/>
              <w:jc w:val="center"/>
              <w:rPr>
                <w:spacing w:val="-6"/>
                <w:sz w:val="24"/>
              </w:rPr>
            </w:pPr>
            <w:r>
              <w:rPr>
                <w:spacing w:val="-6"/>
                <w:sz w:val="24"/>
              </w:rPr>
              <w:t>用地（用海）</w:t>
            </w:r>
          </w:p>
          <w:p>
            <w:pPr>
              <w:adjustRightInd w:val="0"/>
              <w:snapToGrid w:val="0"/>
              <w:jc w:val="center"/>
              <w:rPr>
                <w:sz w:val="24"/>
              </w:rPr>
            </w:pPr>
            <w:r>
              <w:rPr>
                <w:spacing w:val="-6"/>
                <w:sz w:val="24"/>
              </w:rPr>
              <w:t>面积（m</w:t>
            </w:r>
            <w:r>
              <w:rPr>
                <w:spacing w:val="-6"/>
                <w:sz w:val="24"/>
                <w:vertAlign w:val="superscript"/>
              </w:rPr>
              <w:t>2</w:t>
            </w:r>
            <w:r>
              <w:rPr>
                <w:spacing w:val="-6"/>
                <w:sz w:val="24"/>
              </w:rPr>
              <w:t>）</w:t>
            </w:r>
          </w:p>
        </w:tc>
        <w:tc>
          <w:tcPr>
            <w:tcW w:w="2894" w:type="dxa"/>
            <w:vAlign w:val="center"/>
          </w:tcPr>
          <w:p>
            <w:pPr>
              <w:adjustRightInd w:val="0"/>
              <w:snapToGrid w:val="0"/>
              <w:jc w:val="center"/>
              <w:rPr>
                <w:sz w:val="24"/>
              </w:rPr>
            </w:pPr>
            <w:r>
              <w:rPr>
                <w:sz w:val="24"/>
              </w:rPr>
              <w:t>6507.95</w:t>
            </w:r>
          </w:p>
        </w:tc>
      </w:tr>
      <w:tr>
        <w:tblPrEx>
          <w:tblW w:w="9042" w:type="dxa"/>
          <w:jc w:val="center"/>
          <w:tblLayout w:type="fixed"/>
          <w:tblCellMar>
            <w:top w:w="0" w:type="dxa"/>
            <w:left w:w="108" w:type="dxa"/>
            <w:bottom w:w="0" w:type="dxa"/>
            <w:right w:w="108" w:type="dxa"/>
          </w:tblCellMar>
          <w:tblLook w:val="0000"/>
        </w:tblPrEx>
        <w:trPr>
          <w:trHeight w:val="913"/>
          <w:jc w:val="center"/>
        </w:trPr>
        <w:tc>
          <w:tcPr>
            <w:tcW w:w="2226" w:type="dxa"/>
            <w:vAlign w:val="center"/>
          </w:tcPr>
          <w:p>
            <w:pPr>
              <w:autoSpaceDE w:val="0"/>
              <w:autoSpaceDN w:val="0"/>
              <w:adjustRightInd w:val="0"/>
              <w:snapToGrid w:val="0"/>
              <w:jc w:val="center"/>
              <w:rPr>
                <w:kern w:val="0"/>
                <w:sz w:val="24"/>
              </w:rPr>
            </w:pPr>
            <w:r>
              <w:rPr>
                <w:kern w:val="0"/>
                <w:sz w:val="24"/>
              </w:rPr>
              <w:t>专项评价设置情况</w:t>
            </w:r>
          </w:p>
        </w:tc>
        <w:tc>
          <w:tcPr>
            <w:tcW w:w="6816" w:type="dxa"/>
            <w:gridSpan w:val="3"/>
            <w:vAlign w:val="center"/>
          </w:tcPr>
          <w:p>
            <w:pPr>
              <w:autoSpaceDE w:val="0"/>
              <w:autoSpaceDN w:val="0"/>
              <w:adjustRightInd w:val="0"/>
              <w:snapToGrid w:val="0"/>
              <w:jc w:val="center"/>
              <w:rPr>
                <w:kern w:val="0"/>
                <w:sz w:val="24"/>
              </w:rPr>
            </w:pPr>
            <w:r>
              <w:rPr>
                <w:kern w:val="0"/>
                <w:sz w:val="24"/>
              </w:rPr>
              <w:t>无</w:t>
            </w:r>
          </w:p>
        </w:tc>
      </w:tr>
      <w:tr>
        <w:tblPrEx>
          <w:tblW w:w="9042" w:type="dxa"/>
          <w:jc w:val="center"/>
          <w:tblLayout w:type="fixed"/>
          <w:tblCellMar>
            <w:top w:w="0" w:type="dxa"/>
            <w:left w:w="108" w:type="dxa"/>
            <w:bottom w:w="0" w:type="dxa"/>
            <w:right w:w="108" w:type="dxa"/>
          </w:tblCellMar>
          <w:tblLook w:val="0000"/>
        </w:tblPrEx>
        <w:trPr>
          <w:trHeight w:val="913"/>
          <w:jc w:val="center"/>
        </w:trPr>
        <w:tc>
          <w:tcPr>
            <w:tcW w:w="2226" w:type="dxa"/>
            <w:vAlign w:val="center"/>
          </w:tcPr>
          <w:p>
            <w:pPr>
              <w:autoSpaceDE w:val="0"/>
              <w:autoSpaceDN w:val="0"/>
              <w:adjustRightInd w:val="0"/>
              <w:snapToGrid w:val="0"/>
              <w:jc w:val="center"/>
              <w:rPr>
                <w:kern w:val="0"/>
                <w:sz w:val="24"/>
              </w:rPr>
            </w:pPr>
            <w:r>
              <w:rPr>
                <w:kern w:val="0"/>
                <w:sz w:val="24"/>
              </w:rPr>
              <w:t>规划情况</w:t>
            </w:r>
          </w:p>
        </w:tc>
        <w:tc>
          <w:tcPr>
            <w:tcW w:w="6816" w:type="dxa"/>
            <w:gridSpan w:val="3"/>
            <w:vAlign w:val="center"/>
          </w:tcPr>
          <w:p>
            <w:pPr>
              <w:autoSpaceDE w:val="0"/>
              <w:autoSpaceDN w:val="0"/>
              <w:adjustRightInd w:val="0"/>
              <w:snapToGrid w:val="0"/>
              <w:jc w:val="center"/>
              <w:rPr>
                <w:kern w:val="0"/>
                <w:sz w:val="24"/>
              </w:rPr>
            </w:pPr>
            <w:r>
              <w:rPr>
                <w:kern w:val="0"/>
                <w:sz w:val="24"/>
              </w:rPr>
              <w:t>无</w:t>
            </w:r>
          </w:p>
        </w:tc>
      </w:tr>
      <w:tr>
        <w:tblPrEx>
          <w:tblW w:w="9042" w:type="dxa"/>
          <w:jc w:val="center"/>
          <w:tblLayout w:type="fixed"/>
          <w:tblCellMar>
            <w:top w:w="0" w:type="dxa"/>
            <w:left w:w="108" w:type="dxa"/>
            <w:bottom w:w="0" w:type="dxa"/>
            <w:right w:w="108" w:type="dxa"/>
          </w:tblCellMar>
          <w:tblLook w:val="0000"/>
        </w:tblPrEx>
        <w:trPr>
          <w:trHeight w:val="913"/>
          <w:jc w:val="center"/>
        </w:trPr>
        <w:tc>
          <w:tcPr>
            <w:tcW w:w="2226" w:type="dxa"/>
            <w:vAlign w:val="center"/>
          </w:tcPr>
          <w:p>
            <w:pPr>
              <w:adjustRightInd w:val="0"/>
              <w:snapToGrid w:val="0"/>
              <w:jc w:val="center"/>
              <w:rPr>
                <w:sz w:val="24"/>
              </w:rPr>
            </w:pPr>
            <w:r>
              <w:rPr>
                <w:sz w:val="24"/>
              </w:rPr>
              <w:t>规划环境影响</w:t>
            </w:r>
          </w:p>
          <w:p>
            <w:pPr>
              <w:adjustRightInd w:val="0"/>
              <w:snapToGrid w:val="0"/>
              <w:jc w:val="center"/>
              <w:rPr>
                <w:kern w:val="0"/>
                <w:sz w:val="24"/>
              </w:rPr>
            </w:pPr>
            <w:r>
              <w:rPr>
                <w:sz w:val="24"/>
              </w:rPr>
              <w:t>评价情况</w:t>
            </w:r>
          </w:p>
        </w:tc>
        <w:tc>
          <w:tcPr>
            <w:tcW w:w="6816" w:type="dxa"/>
            <w:gridSpan w:val="3"/>
            <w:vAlign w:val="center"/>
          </w:tcPr>
          <w:p>
            <w:pPr>
              <w:autoSpaceDE w:val="0"/>
              <w:autoSpaceDN w:val="0"/>
              <w:adjustRightInd w:val="0"/>
              <w:snapToGrid w:val="0"/>
              <w:jc w:val="center"/>
              <w:rPr>
                <w:kern w:val="0"/>
                <w:sz w:val="24"/>
              </w:rPr>
            </w:pPr>
            <w:r>
              <w:rPr>
                <w:kern w:val="0"/>
                <w:sz w:val="24"/>
              </w:rPr>
              <w:t>无</w:t>
            </w:r>
          </w:p>
        </w:tc>
      </w:tr>
      <w:tr>
        <w:tblPrEx>
          <w:tblW w:w="9042" w:type="dxa"/>
          <w:jc w:val="center"/>
          <w:tblLayout w:type="fixed"/>
          <w:tblCellMar>
            <w:top w:w="0" w:type="dxa"/>
            <w:left w:w="108" w:type="dxa"/>
            <w:bottom w:w="0" w:type="dxa"/>
            <w:right w:w="108" w:type="dxa"/>
          </w:tblCellMar>
          <w:tblLook w:val="0000"/>
        </w:tblPrEx>
        <w:trPr>
          <w:trHeight w:val="913"/>
          <w:jc w:val="center"/>
        </w:trPr>
        <w:tc>
          <w:tcPr>
            <w:tcW w:w="2226" w:type="dxa"/>
            <w:vAlign w:val="center"/>
          </w:tcPr>
          <w:p>
            <w:pPr>
              <w:autoSpaceDE w:val="0"/>
              <w:autoSpaceDN w:val="0"/>
              <w:adjustRightInd w:val="0"/>
              <w:snapToGrid w:val="0"/>
              <w:jc w:val="center"/>
              <w:rPr>
                <w:kern w:val="0"/>
                <w:sz w:val="24"/>
              </w:rPr>
            </w:pPr>
            <w:r>
              <w:rPr>
                <w:kern w:val="0"/>
                <w:sz w:val="24"/>
              </w:rPr>
              <w:t>规划及规划环境影响评价符合性分析</w:t>
            </w:r>
          </w:p>
        </w:tc>
        <w:tc>
          <w:tcPr>
            <w:tcW w:w="6816" w:type="dxa"/>
            <w:gridSpan w:val="3"/>
            <w:vAlign w:val="center"/>
          </w:tcPr>
          <w:p>
            <w:pPr>
              <w:autoSpaceDE w:val="0"/>
              <w:autoSpaceDN w:val="0"/>
              <w:adjustRightInd w:val="0"/>
              <w:snapToGrid w:val="0"/>
              <w:jc w:val="center"/>
              <w:rPr>
                <w:kern w:val="0"/>
                <w:sz w:val="24"/>
              </w:rPr>
            </w:pPr>
            <w:r>
              <w:rPr>
                <w:kern w:val="0"/>
                <w:sz w:val="24"/>
              </w:rPr>
              <w:t>无</w:t>
            </w:r>
          </w:p>
        </w:tc>
      </w:tr>
    </w:tbl>
    <w:p>
      <w:pPr>
        <w:sectPr>
          <w:headerReference w:type="default" r:id="rId4"/>
          <w:footerReference w:type="default" r:id="rId5"/>
          <w:pgSz w:w="11906" w:h="16838"/>
          <w:pgMar w:top="1701" w:right="1531" w:bottom="1701" w:left="1531" w:header="851" w:footer="1077" w:gutter="0"/>
          <w:pgNumType w:start="1"/>
          <w:cols w:space="708"/>
          <w:docGrid w:linePitch="312"/>
        </w:sectPr>
      </w:pPr>
    </w:p>
    <w:tbl>
      <w:tblPr>
        <w:tblStyle w:val="TableNormal"/>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6"/>
        <w:gridCol w:w="6816"/>
      </w:tblGrid>
      <w:tr>
        <w:tblPrEx>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306"/>
          <w:jc w:val="center"/>
        </w:trPr>
        <w:tc>
          <w:tcPr>
            <w:tcW w:w="2226" w:type="dxa"/>
            <w:vAlign w:val="center"/>
          </w:tcPr>
          <w:p>
            <w:pPr>
              <w:autoSpaceDE w:val="0"/>
              <w:autoSpaceDN w:val="0"/>
              <w:adjustRightInd w:val="0"/>
              <w:snapToGrid w:val="0"/>
              <w:jc w:val="center"/>
              <w:rPr>
                <w:kern w:val="0"/>
                <w:sz w:val="24"/>
              </w:rPr>
            </w:pPr>
            <w:r>
              <w:rPr>
                <w:kern w:val="0"/>
                <w:sz w:val="24"/>
              </w:rPr>
              <w:t>其他符合性分析</w:t>
            </w:r>
          </w:p>
        </w:tc>
        <w:tc>
          <w:tcPr>
            <w:tcW w:w="6816" w:type="dxa"/>
            <w:vAlign w:val="center"/>
          </w:tcPr>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1、与“三线一单”的符合性</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根据《西安市人民政府关于印发“三线一单”生态环境分区管控方案的通知》（市环发【2021】22号），本项目位于重点管控单元</w:t>
            </w:r>
            <w:r>
              <w:rPr>
                <w:rFonts w:ascii="Times New Roman" w:eastAsia="宋体" w:hAnsi="Times New Roman" w:hint="eastAsia"/>
                <w:b w:val="0"/>
                <w:bCs w:val="0"/>
                <w:sz w:val="24"/>
                <w:szCs w:val="24"/>
              </w:rPr>
              <w:t>。</w:t>
            </w:r>
          </w:p>
          <w:p>
            <w:pPr>
              <w:keepNext/>
              <w:adjustRightInd w:val="0"/>
              <w:snapToGrid w:val="0"/>
              <w:jc w:val="center"/>
              <w:rPr>
                <w:b/>
                <w:szCs w:val="21"/>
                <w:lang w:val="zh-CN"/>
              </w:rPr>
            </w:pPr>
            <w:r>
              <w:rPr>
                <w:b/>
                <w:szCs w:val="21"/>
                <w:lang w:val="zh-CN"/>
              </w:rPr>
              <w:t>表</w:t>
            </w:r>
            <w:r>
              <w:rPr>
                <w:b/>
                <w:szCs w:val="21"/>
              </w:rPr>
              <w:t>1-1</w:t>
            </w:r>
            <w:r>
              <w:rPr>
                <w:b/>
                <w:szCs w:val="21"/>
                <w:lang w:val="zh-CN"/>
              </w:rPr>
              <w:t xml:space="preserve">  与“三线一单”生态环境分区管控方案符合性分析</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79"/>
              <w:gridCol w:w="2410"/>
              <w:gridCol w:w="2551"/>
              <w:gridCol w:w="750"/>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879"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相关政策规划</w:t>
                  </w:r>
                </w:p>
              </w:tc>
              <w:tc>
                <w:tcPr>
                  <w:tcW w:w="241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相关政策规划要求</w:t>
                  </w:r>
                </w:p>
              </w:tc>
              <w:tc>
                <w:tcPr>
                  <w:tcW w:w="2551"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项目情况</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符合性分析</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879" w:type="dxa"/>
                  <w:vMerge w:val="restart"/>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《西安市人民政府关于印发“三线一单”生态环境分区管控方案的通知》</w:t>
                  </w:r>
                </w:p>
              </w:tc>
              <w:tc>
                <w:tcPr>
                  <w:tcW w:w="2410"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统筹做好城市、县城及农村污水处理设施建设，继续提升污水处理能力，完善城镇污水处理厂和农村污水处理设施运营管理机制。</w:t>
                  </w:r>
                </w:p>
              </w:tc>
              <w:tc>
                <w:tcPr>
                  <w:tcW w:w="2551"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本项目出水排入西安市第一污水处理厂，污水处理站采用二级处理+消毒工艺，具体工艺为：调节池+厌氧池+缺氧池+接触氧化池+沉淀池+次氯酸钠消毒。</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879" w:type="dxa"/>
                  <w:vMerge/>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p>
              </w:tc>
              <w:tc>
                <w:tcPr>
                  <w:tcW w:w="2410"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严格控制新建、扩建化学制浆造纸、化工、印染、果汁和淀粉加工等高耗水、高污染项目。</w:t>
                  </w:r>
                </w:p>
              </w:tc>
              <w:tc>
                <w:tcPr>
                  <w:tcW w:w="2551"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本项目为医院、养老院项目，不涉及化学制浆造纸、化工、印染、果汁和淀粉加工等高耗水、高污染项目。</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879" w:type="dxa"/>
                  <w:vMerge/>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p>
              </w:tc>
              <w:tc>
                <w:tcPr>
                  <w:tcW w:w="2410"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大气污染防治重点区域严禁新增钢铁、水泥熟料、平板玻璃、炼化产能。</w:t>
                  </w:r>
                </w:p>
              </w:tc>
              <w:tc>
                <w:tcPr>
                  <w:tcW w:w="2551"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本项目为医院、养老院项目，不涉及钢铁、水泥熟料、平板玻璃、炼化产能。</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879" w:type="dxa"/>
                  <w:vMerge/>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p>
              </w:tc>
              <w:tc>
                <w:tcPr>
                  <w:tcW w:w="2410"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禁止新建非清洁能源供热企业，集中供热面积逐步提高，提高清洁能源供热和远距离输送供热比重。</w:t>
                  </w:r>
                </w:p>
              </w:tc>
              <w:tc>
                <w:tcPr>
                  <w:tcW w:w="2551"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本项目为医院、养老院项目，供热依托大楼原有天然气锅炉供热。</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bl>
          <w:p>
            <w:pPr>
              <w:pStyle w:val="Heading2"/>
              <w:spacing w:before="120" w:beforeLines="5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2、与相关政策规划的符合性分析</w:t>
            </w:r>
          </w:p>
          <w:p>
            <w:pPr>
              <w:keepNext/>
              <w:adjustRightInd w:val="0"/>
              <w:snapToGrid w:val="0"/>
              <w:jc w:val="center"/>
              <w:rPr>
                <w:b/>
                <w:szCs w:val="21"/>
                <w:lang w:val="zh-CN"/>
              </w:rPr>
            </w:pPr>
            <w:r>
              <w:rPr>
                <w:b/>
                <w:szCs w:val="21"/>
                <w:lang w:val="zh-CN"/>
              </w:rPr>
              <w:t>表</w:t>
            </w:r>
            <w:r>
              <w:rPr>
                <w:b/>
                <w:szCs w:val="21"/>
              </w:rPr>
              <w:t>1-2</w:t>
            </w:r>
            <w:r>
              <w:rPr>
                <w:b/>
                <w:szCs w:val="21"/>
                <w:lang w:val="zh-CN"/>
              </w:rPr>
              <w:t xml:space="preserve">  与相关政策规划的符合性分析</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70"/>
              <w:gridCol w:w="2694"/>
              <w:gridCol w:w="1976"/>
              <w:gridCol w:w="750"/>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7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相关政策规划</w:t>
                  </w:r>
                </w:p>
              </w:tc>
              <w:tc>
                <w:tcPr>
                  <w:tcW w:w="2694"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相关政策规划要求</w:t>
                  </w:r>
                </w:p>
              </w:tc>
              <w:tc>
                <w:tcPr>
                  <w:tcW w:w="1976"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项目情况</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符合性分析</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7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《西安市“十三五”卫生和计划生育事业发展规划》</w:t>
                  </w:r>
                </w:p>
              </w:tc>
              <w:tc>
                <w:tcPr>
                  <w:tcW w:w="2694"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提高公共卫生和卫生应急工作水平：完善国家基本公共卫生项目和重大公共卫生服务项目，推动服务均等化。</w:t>
                  </w:r>
                </w:p>
              </w:tc>
              <w:tc>
                <w:tcPr>
                  <w:tcW w:w="1976"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本项目提供医疗服务，完善区域基本公共卫生医疗服务。</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7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《陕西省医疗卫生机构医疗废物管理规范（试行）》及《医疗废物污染防治技术政策》</w:t>
                  </w:r>
                </w:p>
              </w:tc>
              <w:tc>
                <w:tcPr>
                  <w:tcW w:w="2694"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分类收集、运送与暂存”的要求，应对医疗废物实施分类管理，并建立医疗废物暂时贮存设施、设备。</w:t>
                  </w:r>
                </w:p>
              </w:tc>
              <w:tc>
                <w:tcPr>
                  <w:tcW w:w="1976" w:type="dxa"/>
                  <w:tcMar>
                    <w:left w:w="28" w:type="dxa"/>
                    <w:right w:w="28" w:type="dxa"/>
                  </w:tcMar>
                  <w:vAlign w:val="center"/>
                </w:tcPr>
                <w:p>
                  <w:pPr>
                    <w:pStyle w:val="Heading2"/>
                    <w:spacing w:before="0" w:after="0" w:line="240" w:lineRule="auto"/>
                    <w:jc w:val="left"/>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本项目设置医疗废物暂存间，符合分类收集、及时运送、暂存设施防雨淋等要求。</w:t>
                  </w:r>
                </w:p>
              </w:tc>
              <w:tc>
                <w:tcPr>
                  <w:tcW w:w="7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符合</w:t>
                  </w:r>
                </w:p>
              </w:tc>
            </w:tr>
          </w:tbl>
          <w:p>
            <w:pPr>
              <w:pStyle w:val="Heading2"/>
              <w:spacing w:before="120" w:beforeLines="5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由上表可知，本项目符合相关环境保护技术政策要求。</w:t>
            </w:r>
          </w:p>
        </w:tc>
      </w:tr>
    </w:tbl>
    <w:p>
      <w:pPr>
        <w:sectPr>
          <w:headerReference w:type="default" r:id="rId6"/>
          <w:footerReference w:type="default" r:id="rId7"/>
          <w:type w:val="nextPage"/>
          <w:pgSz w:w="11906" w:h="16838"/>
          <w:pgMar w:top="1701" w:right="1531" w:bottom="1701" w:left="1531" w:header="851" w:footer="1077" w:gutter="0"/>
          <w:pgNumType w:start="2"/>
          <w:cols w:space="708"/>
          <w:titlePg w:val="0"/>
          <w:docGrid w:linePitch="312"/>
        </w:sectPr>
      </w:pPr>
    </w:p>
    <w:tbl>
      <w:tblPr>
        <w:tblStyle w:val="TableNormal"/>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6"/>
        <w:gridCol w:w="6816"/>
      </w:tblGrid>
      <w:tr>
        <w:tblPrEx>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306"/>
          <w:jc w:val="center"/>
        </w:trPr>
        <w:tc>
          <w:tcPr>
            <w:tcW w:w="2226" w:type="dxa"/>
            <w:vAlign w:val="center"/>
          </w:tcPr>
          <w:p/>
        </w:tc>
        <w:tc>
          <w:tcPr>
            <w:tcW w:w="6816" w:type="dxa"/>
            <w:vAlign w:val="center"/>
          </w:tcPr>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3、产业政策符合性分析</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本项目行业类别属于 Q8411 综合医院，根据《产业结构调整指导目录（2019年本）》，属于第一类“鼓励类”中“三十七 卫生健康  6、传染病、儿童、精神卫生专科医院和康复医院（中心）、护理院（中心、站）、安宁疗护中心、全科医疗设施建设与服务”。</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4、选址合理性分析</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本项目位于陕西省西安市莲湖区丰庆路1号财富广场1层、8-18层，目前丰庆路1号财富广场大楼已建成，土地手续齐全，各项生活设施完备。财富广场</w:t>
            </w:r>
            <w:r>
              <w:rPr>
                <w:rFonts w:ascii="Times New Roman" w:eastAsia="宋体" w:hAnsi="Times New Roman" w:hint="eastAsia"/>
                <w:b w:val="0"/>
                <w:bCs w:val="0"/>
                <w:sz w:val="24"/>
                <w:szCs w:val="24"/>
              </w:rPr>
              <w:t>地下1层为唐轩物业及停车场，1-5层为瑞丰食品批发城，6层为商业办公，7层为陕西瑞泽恒企业管理有限公司。1-5层的食品批发城与本项目不共用电梯，6层、7层均为行政办公，与本项目不相互影响。</w:t>
            </w:r>
            <w:r>
              <w:rPr>
                <w:rFonts w:ascii="Times New Roman" w:eastAsia="宋体" w:hAnsi="Times New Roman"/>
                <w:b w:val="0"/>
                <w:bCs w:val="0"/>
                <w:sz w:val="24"/>
                <w:szCs w:val="24"/>
              </w:rPr>
              <w:t>项目周边为各种商铺、居民住宅区，本项目无传染病科室，主要服务对象为一般疾病人群，旨在为附近居民提供便利的医疗服务。</w:t>
            </w:r>
          </w:p>
          <w:p>
            <w:pPr>
              <w:pStyle w:val="Heading2"/>
              <w:spacing w:before="0" w:after="0" w:line="360" w:lineRule="auto"/>
              <w:ind w:firstLine="480" w:firstLineChars="200"/>
              <w:outlineLvl w:val="1"/>
              <w:rPr>
                <w:rFonts w:ascii="Times New Roman" w:eastAsia="宋体" w:hAnsi="Times New Roman" w:hint="eastAsia"/>
                <w:b w:val="0"/>
                <w:bCs w:val="0"/>
                <w:sz w:val="24"/>
                <w:szCs w:val="24"/>
              </w:rPr>
            </w:pPr>
            <w:r>
              <w:rPr>
                <w:rFonts w:ascii="Times New Roman" w:eastAsia="宋体" w:hAnsi="Times New Roman" w:hint="eastAsia"/>
                <w:b w:val="0"/>
                <w:bCs w:val="0"/>
                <w:sz w:val="24"/>
                <w:szCs w:val="24"/>
              </w:rPr>
              <w:t>根据《西安市莲湖区分区控制性详细规划》，本项目用地性质为商业金融用地。根据《西安市莲湖区国民经济和社会发展第十四个五年规划和2035年远景目标纲要》，积极应对人口老龄化，加快建设居家社区机构相协调、医养康养相结合的养老服务体系，构建高品质养老服务环境。本项目属于养老服务重点项目，</w:t>
            </w:r>
            <w:r>
              <w:rPr>
                <w:rFonts w:ascii="Times New Roman" w:eastAsia="宋体" w:hAnsi="Times New Roman"/>
                <w:b w:val="0"/>
                <w:bCs w:val="0"/>
                <w:sz w:val="24"/>
                <w:szCs w:val="24"/>
              </w:rPr>
              <w:t>能够满足当地环境功能区要求。项目周围环境功能属于商业、居住混合功能区，周边均分布为住宅、商业等，无对本项目有较大影响的工业等限制因素。</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项目选址范围内未涉及森林公园、自然保护区、风景名胜区、饮用水水源保护区、基本农田等敏感区。</w:t>
            </w:r>
            <w:r>
              <w:rPr>
                <w:rFonts w:ascii="Times New Roman" w:eastAsia="宋体" w:hAnsi="Times New Roman" w:hint="eastAsia"/>
                <w:b w:val="0"/>
                <w:bCs w:val="0"/>
                <w:sz w:val="24"/>
                <w:szCs w:val="24"/>
              </w:rPr>
              <w:t>项目所在地不在文物遗址保护区和影响区范围内。</w:t>
            </w:r>
          </w:p>
          <w:p>
            <w:pPr>
              <w:pStyle w:val="Heading2"/>
              <w:spacing w:before="0" w:after="0" w:line="360" w:lineRule="auto"/>
              <w:ind w:firstLine="480" w:firstLineChars="200"/>
              <w:outlineLvl w:val="1"/>
              <w:rPr>
                <w:rFonts w:ascii="Times New Roman" w:eastAsia="宋体" w:hAnsi="Times New Roman" w:hint="eastAsia"/>
                <w:b w:val="0"/>
                <w:bCs w:val="0"/>
                <w:sz w:val="24"/>
                <w:szCs w:val="24"/>
              </w:rPr>
            </w:pPr>
          </w:p>
        </w:tc>
      </w:tr>
    </w:tbl>
    <w:p>
      <w:pPr>
        <w:sectPr>
          <w:headerReference w:type="default" r:id="rId8"/>
          <w:footerReference w:type="default" r:id="rId9"/>
          <w:type w:val="nextPage"/>
          <w:pgSz w:w="11906" w:h="16838"/>
          <w:pgMar w:top="1701" w:right="1531" w:bottom="1701" w:left="1531" w:header="851" w:footer="1077" w:gutter="0"/>
          <w:pgNumType w:start="3"/>
          <w:cols w:space="708"/>
          <w:titlePg w:val="0"/>
          <w:docGrid w:linePitch="312"/>
        </w:sectPr>
      </w:pPr>
    </w:p>
    <w:tbl>
      <w:tblPr>
        <w:tblStyle w:val="TableNormal"/>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6"/>
        <w:gridCol w:w="6816"/>
      </w:tblGrid>
      <w:tr>
        <w:tblPrEx>
          <w:tblW w:w="90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306"/>
          <w:jc w:val="center"/>
        </w:trPr>
        <w:tc>
          <w:tcPr>
            <w:tcW w:w="2226" w:type="dxa"/>
            <w:vAlign w:val="center"/>
          </w:tcPr>
          <w:p/>
        </w:tc>
        <w:tc>
          <w:tcPr>
            <w:tcW w:w="6816" w:type="dxa"/>
            <w:vAlign w:val="center"/>
          </w:tcPr>
          <w:p>
            <w:pPr>
              <w:pStyle w:val="Heading2"/>
              <w:spacing w:before="0" w:after="0" w:line="360" w:lineRule="auto"/>
              <w:ind w:firstLine="480" w:firstLineChars="200"/>
              <w:outlineLvl w:val="1"/>
              <w:rPr>
                <w:rFonts w:ascii="Times New Roman" w:eastAsia="宋体" w:hAnsi="Times New Roman" w:hint="eastAsia"/>
                <w:b w:val="0"/>
                <w:bCs w:val="0"/>
                <w:sz w:val="24"/>
                <w:szCs w:val="24"/>
              </w:rPr>
            </w:pPr>
            <w:r>
              <w:rPr>
                <w:rFonts w:ascii="Times New Roman" w:eastAsia="宋体" w:hAnsi="Times New Roman" w:hint="eastAsia"/>
                <w:b w:val="0"/>
                <w:bCs w:val="0"/>
                <w:sz w:val="24"/>
                <w:szCs w:val="24"/>
              </w:rPr>
              <w:t>项目本身即为环境敏感目标，对外环境中的各种污染因素比较敏感。根据现场调查，本项目评价范围内主要为居民住宅区。项目建成运营后的环境影响主要是住院病人产生的污水和固体废物，在采取相应的环保措施后，对外环境影响较小。</w:t>
            </w:r>
          </w:p>
          <w:p>
            <w:pPr>
              <w:pStyle w:val="Heading2"/>
              <w:spacing w:before="0" w:after="0" w:line="360" w:lineRule="auto"/>
              <w:ind w:firstLine="480" w:firstLineChars="200"/>
              <w:outlineLvl w:val="1"/>
              <w:rPr>
                <w:rFonts w:ascii="Times New Roman" w:eastAsia="宋体" w:hAnsi="Times New Roman"/>
                <w:b w:val="0"/>
                <w:bCs w:val="0"/>
                <w:sz w:val="24"/>
                <w:szCs w:val="24"/>
              </w:rPr>
            </w:pPr>
            <w:r>
              <w:rPr>
                <w:rFonts w:ascii="Times New Roman" w:eastAsia="宋体" w:hAnsi="Times New Roman"/>
                <w:b w:val="0"/>
                <w:bCs w:val="0"/>
                <w:sz w:val="24"/>
                <w:szCs w:val="24"/>
              </w:rPr>
              <w:t>综上所述，从环境保护角度考虑，本项目选址基本可行。</w:t>
            </w:r>
          </w:p>
          <w:p>
            <w:pPr>
              <w:pStyle w:val="Heading2"/>
              <w:spacing w:before="0" w:after="0" w:line="360" w:lineRule="auto"/>
              <w:ind w:firstLine="480" w:firstLineChars="200"/>
              <w:outlineLvl w:val="1"/>
              <w:rPr>
                <w:rFonts w:ascii="Times New Roman" w:eastAsia="宋体" w:hAnsi="Times New Roman"/>
                <w:b w:val="0"/>
                <w:bCs w:val="0"/>
                <w:sz w:val="24"/>
                <w:szCs w:val="24"/>
              </w:rPr>
            </w:pPr>
          </w:p>
          <w:p>
            <w:pPr>
              <w:pStyle w:val="Heading2"/>
              <w:spacing w:before="0" w:after="0" w:line="360" w:lineRule="auto"/>
              <w:ind w:firstLine="480" w:firstLineChars="200"/>
              <w:outlineLvl w:val="1"/>
              <w:rPr>
                <w:rFonts w:ascii="Times New Roman" w:eastAsia="宋体" w:hAnsi="Times New Roman"/>
                <w:b w:val="0"/>
                <w:bCs w:val="0"/>
                <w:sz w:val="24"/>
                <w:szCs w:val="24"/>
              </w:rPr>
            </w:pPr>
          </w:p>
          <w:p/>
        </w:tc>
      </w:tr>
    </w:tbl>
    <w:p>
      <w:pPr>
        <w:spacing w:line="360" w:lineRule="auto"/>
        <w:outlineLvl w:val="0"/>
        <w:rPr>
          <w:rFonts w:eastAsia="黑体"/>
          <w:sz w:val="30"/>
        </w:rPr>
        <w:sectPr>
          <w:headerReference w:type="default" r:id="rId10"/>
          <w:footerReference w:type="default" r:id="rId11"/>
          <w:type w:val="nextPage"/>
          <w:pgSz w:w="11906" w:h="16838"/>
          <w:pgMar w:top="1701" w:right="1531" w:bottom="1701" w:left="1531" w:header="851" w:footer="1077" w:gutter="0"/>
          <w:pgNumType w:start="4"/>
          <w:cols w:space="708"/>
          <w:titlePg w:val="0"/>
          <w:docGrid w:linePitch="312"/>
        </w:sectPr>
      </w:pPr>
    </w:p>
    <w:p>
      <w:pPr>
        <w:pStyle w:val="NormalWeb"/>
        <w:keepNext/>
        <w:jc w:val="center"/>
        <w:outlineLvl w:val="0"/>
        <w:rPr>
          <w:rFonts w:ascii="Times New Roman" w:eastAsia="黑体" w:hAnsi="Times New Roman"/>
          <w:snapToGrid w:val="0"/>
          <w:sz w:val="30"/>
          <w:szCs w:val="30"/>
        </w:rPr>
      </w:pPr>
      <w:r>
        <w:rPr>
          <w:rFonts w:ascii="Times New Roman" w:eastAsia="黑体" w:hAnsi="Times New Roman"/>
          <w:snapToGrid w:val="0"/>
          <w:sz w:val="30"/>
          <w:szCs w:val="30"/>
        </w:rPr>
        <w:t>二、建设项目工程分析</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0"/>
          <w:jc w:val="center"/>
        </w:trPr>
        <w:tc>
          <w:tcPr>
            <w:tcW w:w="823" w:type="dxa"/>
            <w:vAlign w:val="center"/>
          </w:tcPr>
          <w:p>
            <w:pPr>
              <w:pStyle w:val="NormalWeb"/>
              <w:keepNext/>
              <w:adjustRightInd w:val="0"/>
              <w:snapToGrid w:val="0"/>
              <w:spacing w:before="0" w:beforeAutospacing="0" w:after="0" w:afterAutospacing="0"/>
              <w:jc w:val="center"/>
              <w:rPr>
                <w:rFonts w:ascii="Times New Roman" w:hAnsi="Times New Roman"/>
                <w:sz w:val="21"/>
                <w:szCs w:val="21"/>
              </w:rPr>
            </w:pPr>
            <w:r>
              <w:rPr>
                <w:rFonts w:ascii="Times New Roman" w:hAnsi="Times New Roman"/>
                <w:szCs w:val="24"/>
              </w:rPr>
              <w:t>建设内容</w:t>
            </w:r>
          </w:p>
        </w:tc>
        <w:tc>
          <w:tcPr>
            <w:tcW w:w="8161" w:type="dxa"/>
          </w:tcPr>
          <w:p>
            <w:pPr>
              <w:keepNext/>
              <w:adjustRightInd w:val="0"/>
              <w:snapToGrid w:val="0"/>
              <w:spacing w:before="120" w:beforeLines="50" w:line="360" w:lineRule="auto"/>
              <w:ind w:firstLine="480" w:firstLineChars="200"/>
              <w:jc w:val="left"/>
              <w:rPr>
                <w:b/>
                <w:sz w:val="24"/>
              </w:rPr>
            </w:pPr>
            <w:r>
              <w:rPr>
                <w:b/>
                <w:sz w:val="24"/>
              </w:rPr>
              <w:t>1、项目概况</w:t>
            </w:r>
          </w:p>
          <w:p>
            <w:pPr>
              <w:keepNext/>
              <w:adjustRightInd w:val="0"/>
              <w:snapToGrid w:val="0"/>
              <w:spacing w:line="360" w:lineRule="auto"/>
              <w:ind w:firstLine="480" w:firstLineChars="200"/>
              <w:jc w:val="left"/>
              <w:rPr>
                <w:bCs/>
                <w:sz w:val="24"/>
              </w:rPr>
            </w:pPr>
            <w:r>
              <w:rPr>
                <w:bCs/>
                <w:sz w:val="24"/>
              </w:rPr>
              <w:t>项目名称：陕西爱迩德医养一体项目</w:t>
            </w:r>
          </w:p>
          <w:p>
            <w:pPr>
              <w:keepNext/>
              <w:adjustRightInd w:val="0"/>
              <w:snapToGrid w:val="0"/>
              <w:spacing w:line="360" w:lineRule="auto"/>
              <w:ind w:firstLine="480" w:firstLineChars="200"/>
              <w:jc w:val="left"/>
              <w:rPr>
                <w:bCs/>
                <w:sz w:val="24"/>
              </w:rPr>
            </w:pPr>
            <w:r>
              <w:rPr>
                <w:bCs/>
                <w:sz w:val="24"/>
              </w:rPr>
              <w:t>建设单位：陕西爱迩德养老产业有限公司</w:t>
            </w:r>
          </w:p>
          <w:p>
            <w:pPr>
              <w:keepNext/>
              <w:adjustRightInd w:val="0"/>
              <w:snapToGrid w:val="0"/>
              <w:spacing w:line="360" w:lineRule="auto"/>
              <w:ind w:firstLine="480" w:firstLineChars="200"/>
              <w:jc w:val="left"/>
              <w:rPr>
                <w:bCs/>
                <w:sz w:val="24"/>
              </w:rPr>
            </w:pPr>
            <w:r>
              <w:rPr>
                <w:bCs/>
                <w:sz w:val="24"/>
              </w:rPr>
              <w:t>建设地点：陕西省西安市莲湖区丰庆路1号财富广场1层、8-18层</w:t>
            </w:r>
          </w:p>
          <w:p>
            <w:pPr>
              <w:keepNext/>
              <w:adjustRightInd w:val="0"/>
              <w:snapToGrid w:val="0"/>
              <w:spacing w:line="360" w:lineRule="auto"/>
              <w:ind w:firstLine="480" w:firstLineChars="200"/>
              <w:jc w:val="left"/>
              <w:rPr>
                <w:bCs/>
                <w:sz w:val="24"/>
              </w:rPr>
            </w:pPr>
            <w:r>
              <w:rPr>
                <w:bCs/>
                <w:sz w:val="24"/>
              </w:rPr>
              <w:t>建设性质：新建</w:t>
            </w:r>
          </w:p>
          <w:p>
            <w:pPr>
              <w:keepNext/>
              <w:adjustRightInd w:val="0"/>
              <w:snapToGrid w:val="0"/>
              <w:spacing w:line="360" w:lineRule="auto"/>
              <w:ind w:firstLine="480" w:firstLineChars="200"/>
              <w:jc w:val="left"/>
              <w:rPr>
                <w:bCs/>
                <w:sz w:val="24"/>
              </w:rPr>
            </w:pPr>
            <w:r>
              <w:rPr>
                <w:bCs/>
                <w:sz w:val="24"/>
              </w:rPr>
              <w:t>总投资：5500万元</w:t>
            </w:r>
          </w:p>
          <w:p>
            <w:pPr>
              <w:keepNext/>
              <w:adjustRightInd w:val="0"/>
              <w:snapToGrid w:val="0"/>
              <w:spacing w:line="360" w:lineRule="auto"/>
              <w:ind w:firstLine="480" w:firstLineChars="200"/>
              <w:jc w:val="left"/>
              <w:rPr>
                <w:bCs/>
                <w:sz w:val="24"/>
              </w:rPr>
            </w:pPr>
            <w:r>
              <w:rPr>
                <w:bCs/>
                <w:sz w:val="24"/>
              </w:rPr>
              <w:t>四邻关系：本项目利用财富广场1层、8-18层作为医院、养老院用房。地下1层为唐轩物业及停车场，1-5层为瑞丰食品批发城，6层为商业办公，7层为陕西瑞泽恒企业管理有限公司。</w:t>
            </w:r>
          </w:p>
          <w:p>
            <w:pPr>
              <w:keepNext/>
              <w:adjustRightInd w:val="0"/>
              <w:snapToGrid w:val="0"/>
              <w:spacing w:line="360" w:lineRule="auto"/>
              <w:ind w:firstLine="480" w:firstLineChars="200"/>
              <w:jc w:val="left"/>
              <w:rPr>
                <w:rFonts w:hint="eastAsia"/>
                <w:sz w:val="24"/>
              </w:rPr>
            </w:pPr>
            <w:r>
              <w:rPr>
                <w:rFonts w:hint="eastAsia"/>
                <w:sz w:val="24"/>
              </w:rPr>
              <w:t>企业名称变更说明：陕西爱迩德养老服务有限公司于2021年9月15日委托西安同众环保科技有限公司编制该项目环境影响报告表；于2021年12月13日在环境影响评价信用平台提交本项目；2022年2月18日，西安市环境保护科学研究院在西安市主持召开了《陕西爱迩德医养一体项目环境影响报告表》技术评估视频会。因陕西爱迩德养老服务有限公司发展需要，</w:t>
            </w:r>
            <w:r>
              <w:rPr>
                <w:rFonts w:hint="eastAsia"/>
                <w:sz w:val="24"/>
              </w:rPr>
              <w:t>“</w:t>
            </w:r>
            <w:r>
              <w:rPr>
                <w:rFonts w:hint="eastAsia"/>
                <w:sz w:val="24"/>
              </w:rPr>
              <w:t>陕西爱迩德养老服务有限公司</w:t>
            </w:r>
            <w:r>
              <w:rPr>
                <w:rFonts w:hint="eastAsia"/>
                <w:sz w:val="24"/>
              </w:rPr>
              <w:t>”</w:t>
            </w:r>
            <w:r>
              <w:rPr>
                <w:rFonts w:hint="eastAsia"/>
                <w:sz w:val="24"/>
              </w:rPr>
              <w:t>名称于2022年3月1日变更登记为</w:t>
            </w:r>
            <w:r>
              <w:rPr>
                <w:rFonts w:hint="eastAsia"/>
                <w:sz w:val="24"/>
              </w:rPr>
              <w:t>“</w:t>
            </w:r>
            <w:r>
              <w:rPr>
                <w:bCs/>
                <w:sz w:val="24"/>
              </w:rPr>
              <w:t>陕西爱迩德养老产业有限公司</w:t>
            </w:r>
            <w:r>
              <w:rPr>
                <w:rFonts w:hint="eastAsia"/>
                <w:sz w:val="24"/>
              </w:rPr>
              <w:t>”</w:t>
            </w:r>
            <w:r>
              <w:rPr>
                <w:rFonts w:hint="eastAsia"/>
                <w:sz w:val="24"/>
              </w:rPr>
              <w:t>，公司更名后业务主体和法律责任不变。</w:t>
            </w:r>
          </w:p>
          <w:p>
            <w:pPr>
              <w:keepNext/>
              <w:adjustRightInd w:val="0"/>
              <w:snapToGrid w:val="0"/>
              <w:spacing w:line="360" w:lineRule="auto"/>
              <w:ind w:firstLine="480" w:firstLineChars="200"/>
              <w:jc w:val="left"/>
              <w:rPr>
                <w:b/>
                <w:sz w:val="24"/>
              </w:rPr>
            </w:pPr>
            <w:r>
              <w:rPr>
                <w:b/>
                <w:sz w:val="24"/>
              </w:rPr>
              <w:t>2、项目建设内容</w:t>
            </w:r>
          </w:p>
          <w:p>
            <w:pPr>
              <w:keepNext/>
              <w:adjustRightInd w:val="0"/>
              <w:snapToGrid w:val="0"/>
              <w:spacing w:after="0" w:line="360" w:lineRule="auto"/>
              <w:ind w:firstLine="480" w:firstLineChars="200"/>
              <w:jc w:val="left"/>
              <w:rPr>
                <w:bCs/>
                <w:sz w:val="24"/>
              </w:rPr>
            </w:pPr>
            <w:r>
              <w:rPr>
                <w:bCs/>
                <w:sz w:val="24"/>
              </w:rPr>
              <w:t>本项目建筑面积15000m</w:t>
            </w:r>
            <w:r>
              <w:rPr>
                <w:bCs/>
                <w:sz w:val="24"/>
                <w:vertAlign w:val="superscript"/>
              </w:rPr>
              <w:t>2</w:t>
            </w:r>
            <w:r>
              <w:rPr>
                <w:bCs/>
                <w:sz w:val="24"/>
              </w:rPr>
              <w:t>。由护理院、养老院、日间照料三个板块组成，设计养老床位500余张，医院用床160余张。根据《建设项目环境影响评价分类管理名录》（</w:t>
            </w:r>
            <w:r>
              <w:rPr>
                <w:rFonts w:hint="eastAsia"/>
                <w:bCs/>
                <w:sz w:val="24"/>
              </w:rPr>
              <w:t>2021年版</w:t>
            </w:r>
            <w:r>
              <w:rPr>
                <w:bCs/>
                <w:sz w:val="24"/>
              </w:rPr>
              <w:t>），其中</w:t>
            </w:r>
            <w:r>
              <w:rPr>
                <w:rFonts w:hint="eastAsia"/>
                <w:bCs/>
                <w:sz w:val="24"/>
              </w:rPr>
              <w:t>108、医院、专科疾病防治院（所、站）、妇幼保健院（所、站）、急救中心（站）服务、采供血机构服务、基层医疗卫生服务，新建、扩建住院床位500张及以上的，需要编制报告书；其他（住院床位20张以下的除外），需要编制环境影响报告表；本项目医院住院床位160余张，故需要编制环境影响报告表。110、学校、福利院、养老院（建筑面积5000平方米及以上的），新建涉及环境敏感区的，需要编制报告表；本项目设计养老床位500余张，建筑面积5492.44m</w:t>
            </w:r>
            <w:r>
              <w:rPr>
                <w:rFonts w:hint="eastAsia"/>
                <w:bCs/>
                <w:sz w:val="24"/>
                <w:vertAlign w:val="superscript"/>
              </w:rPr>
              <w:t>2</w:t>
            </w:r>
          </w:p>
        </w:tc>
      </w:tr>
    </w:tbl>
    <w:p>
      <w:pPr>
        <w:sectPr>
          <w:headerReference w:type="default" r:id="rId12"/>
          <w:footerReference w:type="default" r:id="rId13"/>
          <w:pgSz w:w="11906" w:h="16838"/>
          <w:pgMar w:top="1701" w:right="1531" w:bottom="1701" w:left="1531" w:header="851" w:footer="851" w:gutter="0"/>
          <w:pgNumType w:start="5"/>
          <w:cols w:space="708"/>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0"/>
          <w:jc w:val="center"/>
        </w:trPr>
        <w:tc>
          <w:tcPr>
            <w:tcW w:w="823" w:type="dxa"/>
            <w:vAlign w:val="center"/>
          </w:tcPr>
          <w:p/>
        </w:tc>
        <w:tc>
          <w:tcPr>
            <w:tcW w:w="8161" w:type="dxa"/>
          </w:tcPr>
          <w:p>
            <w:pPr>
              <w:keepNext/>
              <w:adjustRightInd w:val="0"/>
              <w:snapToGrid w:val="0"/>
              <w:spacing w:before="0" w:line="360" w:lineRule="auto"/>
              <w:ind w:firstLine="480" w:firstLineChars="200"/>
              <w:jc w:val="left"/>
              <w:rPr>
                <w:bCs/>
                <w:sz w:val="24"/>
              </w:rPr>
            </w:pPr>
            <w:r>
              <w:rPr>
                <w:rFonts w:hint="eastAsia"/>
                <w:bCs/>
                <w:sz w:val="24"/>
              </w:rPr>
              <w:t>，故需要编制环境影响报告表。</w:t>
            </w:r>
            <w:r>
              <w:rPr>
                <w:bCs/>
                <w:sz w:val="24"/>
              </w:rPr>
              <w:t>医院设置科室主要有内科，康复医学科，临终关怀科，无传染病科室。本次评价不包括手术室、辐射放射内容，项目中若涉及辐射源仪器设备须另行办理环保手续。</w:t>
            </w:r>
          </w:p>
          <w:p>
            <w:pPr>
              <w:keepNext/>
              <w:adjustRightInd w:val="0"/>
              <w:snapToGrid w:val="0"/>
              <w:spacing w:line="360" w:lineRule="auto"/>
              <w:ind w:firstLine="480" w:firstLineChars="200"/>
              <w:jc w:val="left"/>
              <w:rPr>
                <w:bCs/>
                <w:sz w:val="24"/>
              </w:rPr>
            </w:pPr>
            <w:r>
              <w:rPr>
                <w:bCs/>
                <w:sz w:val="24"/>
              </w:rPr>
              <w:t>项目工程组成见表2-1。主要经济技术指标表见表2-2。</w:t>
            </w:r>
          </w:p>
          <w:p>
            <w:pPr>
              <w:keepNext/>
              <w:adjustRightInd w:val="0"/>
              <w:snapToGrid w:val="0"/>
              <w:jc w:val="center"/>
              <w:rPr>
                <w:b/>
                <w:szCs w:val="21"/>
                <w:lang w:val="zh-CN"/>
              </w:rPr>
            </w:pPr>
            <w:r>
              <w:rPr>
                <w:b/>
                <w:szCs w:val="21"/>
                <w:lang w:val="zh-CN"/>
              </w:rPr>
              <w:t>表</w:t>
            </w:r>
            <w:r>
              <w:rPr>
                <w:b/>
                <w:szCs w:val="21"/>
              </w:rPr>
              <w:t>2-1</w:t>
            </w:r>
            <w:r>
              <w:rPr>
                <w:b/>
                <w:szCs w:val="21"/>
                <w:lang w:val="zh-CN"/>
              </w:rPr>
              <w:t xml:space="preserve">  项目组成一览表</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62"/>
              <w:gridCol w:w="992"/>
              <w:gridCol w:w="567"/>
              <w:gridCol w:w="5098"/>
              <w:gridCol w:w="716"/>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554" w:type="dxa"/>
                  <w:gridSpan w:val="2"/>
                  <w:tcMar>
                    <w:left w:w="28" w:type="dxa"/>
                    <w:right w:w="28" w:type="dxa"/>
                  </w:tcMar>
                  <w:vAlign w:val="center"/>
                </w:tcPr>
                <w:p>
                  <w:pPr>
                    <w:autoSpaceDE w:val="0"/>
                    <w:autoSpaceDN w:val="0"/>
                    <w:adjustRightInd w:val="0"/>
                    <w:snapToGrid w:val="0"/>
                    <w:jc w:val="center"/>
                    <w:rPr>
                      <w:b/>
                      <w:bCs/>
                      <w:kern w:val="0"/>
                      <w:szCs w:val="21"/>
                    </w:rPr>
                  </w:pPr>
                  <w:r>
                    <w:rPr>
                      <w:b/>
                      <w:bCs/>
                      <w:kern w:val="0"/>
                      <w:szCs w:val="21"/>
                    </w:rPr>
                    <w:t>项目组成</w:t>
                  </w:r>
                </w:p>
              </w:tc>
              <w:tc>
                <w:tcPr>
                  <w:tcW w:w="5665" w:type="dxa"/>
                  <w:gridSpan w:val="2"/>
                  <w:tcMar>
                    <w:left w:w="28" w:type="dxa"/>
                    <w:right w:w="28" w:type="dxa"/>
                  </w:tcMar>
                  <w:vAlign w:val="center"/>
                </w:tcPr>
                <w:p>
                  <w:pPr>
                    <w:autoSpaceDE w:val="0"/>
                    <w:autoSpaceDN w:val="0"/>
                    <w:adjustRightInd w:val="0"/>
                    <w:snapToGrid w:val="0"/>
                    <w:jc w:val="center"/>
                    <w:rPr>
                      <w:b/>
                      <w:bCs/>
                      <w:kern w:val="0"/>
                      <w:szCs w:val="21"/>
                    </w:rPr>
                  </w:pPr>
                  <w:r>
                    <w:rPr>
                      <w:b/>
                      <w:bCs/>
                      <w:kern w:val="0"/>
                      <w:szCs w:val="21"/>
                    </w:rPr>
                    <w:t>工程内容</w:t>
                  </w:r>
                </w:p>
              </w:tc>
              <w:tc>
                <w:tcPr>
                  <w:tcW w:w="716" w:type="dxa"/>
                  <w:vAlign w:val="center"/>
                </w:tcPr>
                <w:p>
                  <w:pPr>
                    <w:autoSpaceDE w:val="0"/>
                    <w:autoSpaceDN w:val="0"/>
                    <w:adjustRightInd w:val="0"/>
                    <w:snapToGrid w:val="0"/>
                    <w:jc w:val="center"/>
                    <w:rPr>
                      <w:b/>
                      <w:bCs/>
                      <w:kern w:val="0"/>
                      <w:szCs w:val="21"/>
                    </w:rPr>
                  </w:pPr>
                  <w:r>
                    <w:rPr>
                      <w:b/>
                      <w:bCs/>
                      <w:kern w:val="0"/>
                      <w:szCs w:val="21"/>
                    </w:rPr>
                    <w:t>备注</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主体工程</w:t>
                  </w: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医院</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8F，建筑面积1260m</w:t>
                  </w:r>
                  <w:r>
                    <w:rPr>
                      <w:kern w:val="0"/>
                      <w:szCs w:val="21"/>
                      <w:vertAlign w:val="superscript"/>
                    </w:rPr>
                    <w:t>2</w:t>
                  </w:r>
                  <w:r>
                    <w:rPr>
                      <w:kern w:val="0"/>
                      <w:szCs w:val="21"/>
                    </w:rPr>
                    <w:t>，主要设置</w:t>
                  </w:r>
                  <w:r>
                    <w:rPr>
                      <w:rFonts w:hint="eastAsia"/>
                      <w:kern w:val="0"/>
                      <w:szCs w:val="21"/>
                    </w:rPr>
                    <w:t>厨房、餐厅、多功能活动区、会议室、日间照料中心、康复训练区等</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9F，医院门诊</w:t>
                  </w:r>
                  <w:r>
                    <w:rPr>
                      <w:rFonts w:hint="eastAsia"/>
                      <w:kern w:val="0"/>
                      <w:szCs w:val="21"/>
                    </w:rPr>
                    <w:t>，</w:t>
                  </w:r>
                  <w:r>
                    <w:rPr>
                      <w:kern w:val="0"/>
                      <w:szCs w:val="21"/>
                    </w:rPr>
                    <w:t>主要设置</w:t>
                  </w:r>
                  <w:r>
                    <w:rPr>
                      <w:rFonts w:hint="eastAsia"/>
                      <w:kern w:val="0"/>
                      <w:szCs w:val="21"/>
                    </w:rPr>
                    <w:t>办公室、取药房、生化室、收费室、护理间、治疗室、分药室、护士站等</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14-18F，每层建筑面积1260m</w:t>
                  </w:r>
                  <w:r>
                    <w:rPr>
                      <w:kern w:val="0"/>
                      <w:szCs w:val="21"/>
                      <w:vertAlign w:val="superscript"/>
                    </w:rPr>
                    <w:t>2</w:t>
                  </w:r>
                  <w:r>
                    <w:rPr>
                      <w:kern w:val="0"/>
                      <w:szCs w:val="21"/>
                    </w:rPr>
                    <w:t>，主要设置活动中心、护理间、治疗室、分药室、大厅、护士站等</w:t>
                  </w:r>
                  <w:r>
                    <w:rPr>
                      <w:rFonts w:hint="eastAsia"/>
                      <w:kern w:val="0"/>
                      <w:szCs w:val="21"/>
                    </w:rPr>
                    <w:t>；每层分别设置有2人间9间，5人间2间，3人间4间，共计160张床位</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养老院</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1F，建筑面积452.44m</w:t>
                  </w:r>
                  <w:r>
                    <w:rPr>
                      <w:kern w:val="0"/>
                      <w:szCs w:val="21"/>
                      <w:vertAlign w:val="superscript"/>
                    </w:rPr>
                    <w:t>2</w:t>
                  </w:r>
                  <w:r>
                    <w:rPr>
                      <w:kern w:val="0"/>
                      <w:szCs w:val="21"/>
                    </w:rPr>
                    <w:t>，主要设置接待厅、评估室等</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10F-13F，每层建筑面积1260m</w:t>
                  </w:r>
                  <w:r>
                    <w:rPr>
                      <w:kern w:val="0"/>
                      <w:szCs w:val="21"/>
                      <w:vertAlign w:val="superscript"/>
                    </w:rPr>
                    <w:t>2</w:t>
                  </w:r>
                  <w:r>
                    <w:rPr>
                      <w:kern w:val="0"/>
                      <w:szCs w:val="21"/>
                    </w:rPr>
                    <w:t>，主要设置养老套间、活动中心、治疗室、分药室、大厅、护士站等</w:t>
                  </w:r>
                  <w:r>
                    <w:rPr>
                      <w:rFonts w:hint="eastAsia"/>
                      <w:kern w:val="0"/>
                      <w:szCs w:val="21"/>
                    </w:rPr>
                    <w:t>；每层分别设置有2人间15间，3人间15间，5人间10间，共计500张床位</w:t>
                  </w:r>
                  <w:r>
                    <w:rPr>
                      <w:kern w:val="0"/>
                      <w:szCs w:val="21"/>
                    </w:rPr>
                    <w:t xml:space="preserve"> </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辅助工程</w:t>
                  </w: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污水处理设施</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新建污水处理系统（调节池+厌氧池+缺氧池+接触氧化池+沉淀池+次氯酸钠消毒），采用“二级处理+消毒（次氯酸钠）”处理工艺。位于地下室负一层</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厨房</w:t>
                  </w:r>
                </w:p>
              </w:tc>
              <w:tc>
                <w:tcPr>
                  <w:tcW w:w="5665" w:type="dxa"/>
                  <w:gridSpan w:val="2"/>
                  <w:tcMar>
                    <w:left w:w="28" w:type="dxa"/>
                    <w:right w:w="28" w:type="dxa"/>
                  </w:tcMar>
                  <w:vAlign w:val="center"/>
                </w:tcPr>
                <w:p>
                  <w:pPr>
                    <w:autoSpaceDE w:val="0"/>
                    <w:autoSpaceDN w:val="0"/>
                    <w:adjustRightInd w:val="0"/>
                    <w:snapToGrid w:val="0"/>
                    <w:jc w:val="center"/>
                    <w:rPr>
                      <w:kern w:val="0"/>
                      <w:szCs w:val="21"/>
                    </w:rPr>
                  </w:pPr>
                  <w:r>
                    <w:rPr>
                      <w:kern w:val="0"/>
                      <w:szCs w:val="21"/>
                    </w:rPr>
                    <w:t>位于8层西侧</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公用工程</w:t>
                  </w: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给水</w:t>
                  </w:r>
                </w:p>
              </w:tc>
              <w:tc>
                <w:tcPr>
                  <w:tcW w:w="5665" w:type="dxa"/>
                  <w:gridSpan w:val="2"/>
                  <w:tcMar>
                    <w:left w:w="28" w:type="dxa"/>
                    <w:right w:w="28" w:type="dxa"/>
                  </w:tcMar>
                  <w:vAlign w:val="center"/>
                </w:tcPr>
                <w:p>
                  <w:pPr>
                    <w:autoSpaceDE w:val="0"/>
                    <w:autoSpaceDN w:val="0"/>
                    <w:adjustRightInd w:val="0"/>
                    <w:snapToGrid w:val="0"/>
                    <w:jc w:val="center"/>
                    <w:rPr>
                      <w:kern w:val="0"/>
                      <w:szCs w:val="21"/>
                    </w:rPr>
                  </w:pPr>
                  <w:r>
                    <w:rPr>
                      <w:kern w:val="0"/>
                      <w:szCs w:val="21"/>
                    </w:rPr>
                    <w:t>市政供水</w:t>
                  </w:r>
                </w:p>
              </w:tc>
              <w:tc>
                <w:tcPr>
                  <w:tcW w:w="716" w:type="dxa"/>
                  <w:vAlign w:val="center"/>
                </w:tcPr>
                <w:p>
                  <w:pPr>
                    <w:autoSpaceDE w:val="0"/>
                    <w:autoSpaceDN w:val="0"/>
                    <w:adjustRightInd w:val="0"/>
                    <w:snapToGrid w:val="0"/>
                    <w:jc w:val="center"/>
                    <w:rPr>
                      <w:kern w:val="0"/>
                      <w:szCs w:val="21"/>
                    </w:rPr>
                  </w:pPr>
                  <w:r>
                    <w:rPr>
                      <w:kern w:val="0"/>
                      <w:szCs w:val="21"/>
                    </w:rPr>
                    <w:t>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排水</w:t>
                  </w:r>
                </w:p>
              </w:tc>
              <w:tc>
                <w:tcPr>
                  <w:tcW w:w="567" w:type="dxa"/>
                  <w:tcMar>
                    <w:left w:w="28" w:type="dxa"/>
                    <w:right w:w="28" w:type="dxa"/>
                  </w:tcMar>
                  <w:vAlign w:val="center"/>
                </w:tcPr>
                <w:p>
                  <w:pPr>
                    <w:autoSpaceDE w:val="0"/>
                    <w:autoSpaceDN w:val="0"/>
                    <w:adjustRightInd w:val="0"/>
                    <w:snapToGrid w:val="0"/>
                    <w:jc w:val="center"/>
                    <w:rPr>
                      <w:kern w:val="0"/>
                      <w:szCs w:val="21"/>
                    </w:rPr>
                  </w:pPr>
                  <w:r>
                    <w:rPr>
                      <w:kern w:val="0"/>
                      <w:szCs w:val="21"/>
                    </w:rPr>
                    <w:t>雨水</w:t>
                  </w:r>
                </w:p>
              </w:tc>
              <w:tc>
                <w:tcPr>
                  <w:tcW w:w="5098" w:type="dxa"/>
                  <w:vAlign w:val="center"/>
                </w:tcPr>
                <w:p>
                  <w:pPr>
                    <w:autoSpaceDE w:val="0"/>
                    <w:autoSpaceDN w:val="0"/>
                    <w:adjustRightInd w:val="0"/>
                    <w:snapToGrid w:val="0"/>
                    <w:jc w:val="left"/>
                    <w:rPr>
                      <w:kern w:val="0"/>
                      <w:szCs w:val="21"/>
                    </w:rPr>
                  </w:pPr>
                  <w:r>
                    <w:rPr>
                      <w:kern w:val="0"/>
                      <w:szCs w:val="21"/>
                    </w:rPr>
                    <w:t>雨污分流，雨水经雨水管道收集后进入市政雨水管网</w:t>
                  </w:r>
                </w:p>
              </w:tc>
              <w:tc>
                <w:tcPr>
                  <w:tcW w:w="716" w:type="dxa"/>
                  <w:vAlign w:val="center"/>
                </w:tcPr>
                <w:p>
                  <w:pPr>
                    <w:autoSpaceDE w:val="0"/>
                    <w:autoSpaceDN w:val="0"/>
                    <w:adjustRightInd w:val="0"/>
                    <w:snapToGrid w:val="0"/>
                    <w:jc w:val="center"/>
                    <w:rPr>
                      <w:kern w:val="0"/>
                      <w:szCs w:val="21"/>
                    </w:rPr>
                  </w:pPr>
                  <w:r>
                    <w:rPr>
                      <w:kern w:val="0"/>
                      <w:szCs w:val="21"/>
                    </w:rPr>
                    <w:t>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7" w:type="dxa"/>
                  <w:tcMar>
                    <w:left w:w="28" w:type="dxa"/>
                    <w:right w:w="28" w:type="dxa"/>
                  </w:tcMar>
                  <w:vAlign w:val="center"/>
                </w:tcPr>
                <w:p>
                  <w:pPr>
                    <w:autoSpaceDE w:val="0"/>
                    <w:autoSpaceDN w:val="0"/>
                    <w:adjustRightInd w:val="0"/>
                    <w:snapToGrid w:val="0"/>
                    <w:jc w:val="center"/>
                    <w:rPr>
                      <w:kern w:val="0"/>
                      <w:szCs w:val="21"/>
                    </w:rPr>
                  </w:pPr>
                  <w:r>
                    <w:rPr>
                      <w:kern w:val="0"/>
                      <w:szCs w:val="21"/>
                    </w:rPr>
                    <w:t>污水</w:t>
                  </w:r>
                </w:p>
              </w:tc>
              <w:tc>
                <w:tcPr>
                  <w:tcW w:w="5098" w:type="dxa"/>
                  <w:vAlign w:val="center"/>
                </w:tcPr>
                <w:p>
                  <w:pPr>
                    <w:autoSpaceDE w:val="0"/>
                    <w:autoSpaceDN w:val="0"/>
                    <w:adjustRightInd w:val="0"/>
                    <w:snapToGrid w:val="0"/>
                    <w:jc w:val="left"/>
                    <w:rPr>
                      <w:kern w:val="0"/>
                      <w:szCs w:val="21"/>
                    </w:rPr>
                  </w:pPr>
                  <w:r>
                    <w:rPr>
                      <w:kern w:val="0"/>
                      <w:szCs w:val="21"/>
                    </w:rPr>
                    <w:t>食堂废水经油水分离器处理后与大楼原有废水、医院废水、养老院废水一起经化粪池（依托）+污水处理站（新建）处理，最终通过市政管网排入西安市第一污水处理厂处理</w:t>
                  </w:r>
                </w:p>
              </w:tc>
              <w:tc>
                <w:tcPr>
                  <w:tcW w:w="716" w:type="dxa"/>
                  <w:vAlign w:val="center"/>
                </w:tcPr>
                <w:p>
                  <w:pPr>
                    <w:autoSpaceDE w:val="0"/>
                    <w:autoSpaceDN w:val="0"/>
                    <w:adjustRightInd w:val="0"/>
                    <w:snapToGrid w:val="0"/>
                    <w:jc w:val="center"/>
                    <w:rPr>
                      <w:kern w:val="0"/>
                      <w:szCs w:val="21"/>
                    </w:rPr>
                  </w:pPr>
                  <w:r>
                    <w:rPr>
                      <w:kern w:val="0"/>
                      <w:szCs w:val="21"/>
                    </w:rPr>
                    <w:t>化粪池依托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供电</w:t>
                  </w:r>
                </w:p>
              </w:tc>
              <w:tc>
                <w:tcPr>
                  <w:tcW w:w="5665" w:type="dxa"/>
                  <w:gridSpan w:val="2"/>
                  <w:tcMar>
                    <w:left w:w="28" w:type="dxa"/>
                    <w:right w:w="28" w:type="dxa"/>
                  </w:tcMar>
                  <w:vAlign w:val="center"/>
                </w:tcPr>
                <w:p>
                  <w:pPr>
                    <w:autoSpaceDE w:val="0"/>
                    <w:autoSpaceDN w:val="0"/>
                    <w:adjustRightInd w:val="0"/>
                    <w:snapToGrid w:val="0"/>
                    <w:jc w:val="center"/>
                    <w:rPr>
                      <w:kern w:val="0"/>
                      <w:szCs w:val="21"/>
                    </w:rPr>
                  </w:pPr>
                  <w:r>
                    <w:rPr>
                      <w:kern w:val="0"/>
                      <w:szCs w:val="21"/>
                    </w:rPr>
                    <w:t>市政供电</w:t>
                  </w:r>
                </w:p>
              </w:tc>
              <w:tc>
                <w:tcPr>
                  <w:tcW w:w="716" w:type="dxa"/>
                  <w:vAlign w:val="center"/>
                </w:tcPr>
                <w:p>
                  <w:pPr>
                    <w:autoSpaceDE w:val="0"/>
                    <w:autoSpaceDN w:val="0"/>
                    <w:adjustRightInd w:val="0"/>
                    <w:snapToGrid w:val="0"/>
                    <w:jc w:val="center"/>
                    <w:rPr>
                      <w:kern w:val="0"/>
                      <w:szCs w:val="21"/>
                    </w:rPr>
                  </w:pPr>
                  <w:r>
                    <w:rPr>
                      <w:kern w:val="0"/>
                      <w:szCs w:val="21"/>
                    </w:rPr>
                    <w:t>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供暖、制冷</w:t>
                  </w:r>
                </w:p>
              </w:tc>
              <w:tc>
                <w:tcPr>
                  <w:tcW w:w="567" w:type="dxa"/>
                  <w:tcMar>
                    <w:left w:w="28" w:type="dxa"/>
                    <w:right w:w="28" w:type="dxa"/>
                  </w:tcMar>
                  <w:vAlign w:val="center"/>
                </w:tcPr>
                <w:p>
                  <w:pPr>
                    <w:autoSpaceDE w:val="0"/>
                    <w:autoSpaceDN w:val="0"/>
                    <w:adjustRightInd w:val="0"/>
                    <w:snapToGrid w:val="0"/>
                    <w:jc w:val="center"/>
                    <w:rPr>
                      <w:kern w:val="0"/>
                      <w:szCs w:val="21"/>
                    </w:rPr>
                  </w:pPr>
                  <w:r>
                    <w:rPr>
                      <w:kern w:val="0"/>
                      <w:szCs w:val="21"/>
                    </w:rPr>
                    <w:t>供暖</w:t>
                  </w:r>
                </w:p>
              </w:tc>
              <w:tc>
                <w:tcPr>
                  <w:tcW w:w="5098" w:type="dxa"/>
                  <w:vAlign w:val="center"/>
                </w:tcPr>
                <w:p>
                  <w:pPr>
                    <w:autoSpaceDE w:val="0"/>
                    <w:autoSpaceDN w:val="0"/>
                    <w:adjustRightInd w:val="0"/>
                    <w:snapToGrid w:val="0"/>
                    <w:jc w:val="center"/>
                    <w:rPr>
                      <w:kern w:val="0"/>
                      <w:szCs w:val="21"/>
                    </w:rPr>
                  </w:pPr>
                  <w:r>
                    <w:rPr>
                      <w:kern w:val="0"/>
                      <w:szCs w:val="21"/>
                    </w:rPr>
                    <w:t>依托大楼现有锅炉供暖</w:t>
                  </w:r>
                  <w:r>
                    <w:rPr>
                      <w:rFonts w:hint="eastAsia"/>
                      <w:kern w:val="0"/>
                      <w:szCs w:val="21"/>
                    </w:rPr>
                    <w:t>，</w:t>
                  </w:r>
                  <w:r>
                    <w:rPr>
                      <w:kern w:val="0"/>
                      <w:szCs w:val="21"/>
                    </w:rPr>
                    <w:t>热水供应为锅炉加热</w:t>
                  </w:r>
                </w:p>
              </w:tc>
              <w:tc>
                <w:tcPr>
                  <w:tcW w:w="716" w:type="dxa"/>
                  <w:vAlign w:val="center"/>
                </w:tcPr>
                <w:p>
                  <w:pPr>
                    <w:autoSpaceDE w:val="0"/>
                    <w:autoSpaceDN w:val="0"/>
                    <w:adjustRightInd w:val="0"/>
                    <w:snapToGrid w:val="0"/>
                    <w:jc w:val="center"/>
                    <w:rPr>
                      <w:kern w:val="0"/>
                      <w:szCs w:val="21"/>
                    </w:rPr>
                  </w:pPr>
                  <w:r>
                    <w:rPr>
                      <w:kern w:val="0"/>
                      <w:szCs w:val="21"/>
                    </w:rPr>
                    <w:t>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7" w:type="dxa"/>
                  <w:tcMar>
                    <w:left w:w="28" w:type="dxa"/>
                    <w:right w:w="28" w:type="dxa"/>
                  </w:tcMar>
                  <w:vAlign w:val="center"/>
                </w:tcPr>
                <w:p>
                  <w:pPr>
                    <w:autoSpaceDE w:val="0"/>
                    <w:autoSpaceDN w:val="0"/>
                    <w:adjustRightInd w:val="0"/>
                    <w:snapToGrid w:val="0"/>
                    <w:jc w:val="center"/>
                    <w:rPr>
                      <w:kern w:val="0"/>
                      <w:szCs w:val="21"/>
                    </w:rPr>
                  </w:pPr>
                  <w:r>
                    <w:rPr>
                      <w:kern w:val="0"/>
                      <w:szCs w:val="21"/>
                    </w:rPr>
                    <w:t>制冷</w:t>
                  </w:r>
                </w:p>
              </w:tc>
              <w:tc>
                <w:tcPr>
                  <w:tcW w:w="5098" w:type="dxa"/>
                  <w:vAlign w:val="center"/>
                </w:tcPr>
                <w:p>
                  <w:pPr>
                    <w:autoSpaceDE w:val="0"/>
                    <w:autoSpaceDN w:val="0"/>
                    <w:adjustRightInd w:val="0"/>
                    <w:snapToGrid w:val="0"/>
                    <w:jc w:val="center"/>
                    <w:rPr>
                      <w:kern w:val="0"/>
                      <w:szCs w:val="21"/>
                    </w:rPr>
                  </w:pPr>
                  <w:r>
                    <w:rPr>
                      <w:kern w:val="0"/>
                      <w:szCs w:val="21"/>
                    </w:rPr>
                    <w:t>空调制冷</w:t>
                  </w:r>
                </w:p>
              </w:tc>
              <w:tc>
                <w:tcPr>
                  <w:tcW w:w="716" w:type="dxa"/>
                  <w:vAlign w:val="center"/>
                </w:tcPr>
                <w:p>
                  <w:pPr>
                    <w:autoSpaceDE w:val="0"/>
                    <w:autoSpaceDN w:val="0"/>
                    <w:adjustRightInd w:val="0"/>
                    <w:snapToGrid w:val="0"/>
                    <w:jc w:val="center"/>
                    <w:rPr>
                      <w:kern w:val="0"/>
                      <w:szCs w:val="21"/>
                    </w:rPr>
                  </w:pPr>
                  <w:r>
                    <w:rPr>
                      <w:kern w:val="0"/>
                      <w:szCs w:val="21"/>
                    </w:rPr>
                    <w:t>新建</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环保工程</w:t>
                  </w: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废水</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食堂废水经油水分离器处理后与大楼原有废水、医院废水、养老院废水一起经化粪池（依托）+污水处理站（新建）处理，最终通过市政管网排入西安市第一污水处理厂处理</w:t>
                  </w:r>
                </w:p>
              </w:tc>
              <w:tc>
                <w:tcPr>
                  <w:tcW w:w="716" w:type="dxa"/>
                  <w:vAlign w:val="center"/>
                </w:tcPr>
                <w:p>
                  <w:pPr>
                    <w:autoSpaceDE w:val="0"/>
                    <w:autoSpaceDN w:val="0"/>
                    <w:adjustRightInd w:val="0"/>
                    <w:snapToGrid w:val="0"/>
                    <w:jc w:val="center"/>
                    <w:rPr>
                      <w:kern w:val="0"/>
                      <w:szCs w:val="21"/>
                    </w:rPr>
                  </w:pPr>
                  <w:r>
                    <w:rPr>
                      <w:kern w:val="0"/>
                      <w:szCs w:val="21"/>
                    </w:rPr>
                    <w:t>化粪池依托</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r>
                    <w:rPr>
                      <w:kern w:val="0"/>
                      <w:szCs w:val="21"/>
                    </w:rPr>
                    <w:t>废气</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食堂废气经油烟净化器处理后引至楼顶排放</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2"/>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备用柴油发电机运行时产生的废气经预留烟道引至地面排气口排放</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中药煎煮废气经收集后，通过预留烟道引至楼顶排放</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污水处理站位于地下</w:t>
                  </w:r>
                  <w:r>
                    <w:rPr>
                      <w:rFonts w:hint="eastAsia"/>
                      <w:kern w:val="0"/>
                      <w:szCs w:val="21"/>
                    </w:rPr>
                    <w:t>1层</w:t>
                  </w:r>
                  <w:r>
                    <w:rPr>
                      <w:kern w:val="0"/>
                      <w:szCs w:val="21"/>
                    </w:rPr>
                    <w:t>，设 1 套一体化污水处理设备，产生的恶臭气体经活性炭吸附装置处理后引至地面排放</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噪声</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水泵、风机、发电机等均位于室内，产噪设备均选用低噪声设备，采取减振、隔声等措施</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tcMar>
                    <w:left w:w="28" w:type="dxa"/>
                    <w:right w:w="28" w:type="dxa"/>
                  </w:tcMar>
                  <w:vAlign w:val="center"/>
                </w:tcPr>
                <w:p>
                  <w:pPr>
                    <w:autoSpaceDE w:val="0"/>
                    <w:autoSpaceDN w:val="0"/>
                    <w:adjustRightInd w:val="0"/>
                    <w:snapToGrid w:val="0"/>
                    <w:jc w:val="center"/>
                    <w:rPr>
                      <w:kern w:val="0"/>
                      <w:szCs w:val="21"/>
                    </w:rPr>
                  </w:pPr>
                  <w:r>
                    <w:rPr>
                      <w:kern w:val="0"/>
                      <w:szCs w:val="21"/>
                    </w:rPr>
                    <w:t>固体废物</w:t>
                  </w:r>
                </w:p>
              </w:tc>
              <w:tc>
                <w:tcPr>
                  <w:tcW w:w="5665" w:type="dxa"/>
                  <w:gridSpan w:val="2"/>
                  <w:tcMar>
                    <w:left w:w="28" w:type="dxa"/>
                    <w:right w:w="28" w:type="dxa"/>
                  </w:tcMar>
                  <w:vAlign w:val="center"/>
                </w:tcPr>
                <w:p>
                  <w:pPr>
                    <w:autoSpaceDE w:val="0"/>
                    <w:autoSpaceDN w:val="0"/>
                    <w:adjustRightInd w:val="0"/>
                    <w:snapToGrid w:val="0"/>
                    <w:jc w:val="left"/>
                    <w:rPr>
                      <w:kern w:val="0"/>
                      <w:szCs w:val="21"/>
                    </w:rPr>
                  </w:pPr>
                  <w:r>
                    <w:rPr>
                      <w:kern w:val="0"/>
                      <w:szCs w:val="21"/>
                    </w:rPr>
                    <w:t>废包装材料：一般固废，收集后外售废品回收站</w:t>
                  </w:r>
                </w:p>
              </w:tc>
              <w:tc>
                <w:tcPr>
                  <w:tcW w:w="716" w:type="dxa"/>
                  <w:vAlign w:val="center"/>
                </w:tcPr>
                <w:p>
                  <w:pPr>
                    <w:autoSpaceDE w:val="0"/>
                    <w:autoSpaceDN w:val="0"/>
                    <w:adjustRightInd w:val="0"/>
                    <w:snapToGrid w:val="0"/>
                    <w:jc w:val="center"/>
                    <w:rPr>
                      <w:kern w:val="0"/>
                      <w:szCs w:val="21"/>
                    </w:rPr>
                  </w:pPr>
                  <w:r>
                    <w:rPr>
                      <w:kern w:val="0"/>
                      <w:szCs w:val="21"/>
                    </w:rPr>
                    <w:t>/</w:t>
                  </w:r>
                </w:p>
              </w:tc>
            </w:tr>
          </w:tbl>
          <w:p/>
        </w:tc>
      </w:tr>
    </w:tbl>
    <w:p>
      <w:pPr>
        <w:sectPr>
          <w:headerReference w:type="default" r:id="rId14"/>
          <w:footerReference w:type="default" r:id="rId15"/>
          <w:type w:val="nextPage"/>
          <w:pgSz w:w="11906" w:h="16838"/>
          <w:pgMar w:top="1701" w:right="1531" w:bottom="1701" w:left="1531" w:header="851" w:footer="851" w:gutter="0"/>
          <w:pgNumType w:start="6"/>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0"/>
          <w:jc w:val="center"/>
        </w:trPr>
        <w:tc>
          <w:tcPr>
            <w:tcW w:w="823" w:type="dxa"/>
            <w:vAlign w:val="center"/>
          </w:tcPr>
          <w:p/>
        </w:tc>
        <w:tc>
          <w:tcPr>
            <w:tcW w:w="8161" w:type="dxa"/>
          </w:tcPr>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62"/>
              <w:gridCol w:w="992"/>
              <w:gridCol w:w="5665"/>
              <w:gridCol w:w="716"/>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562" w:type="dxa"/>
                  <w:vMerge w:val="restart"/>
                  <w:tcMar>
                    <w:left w:w="28" w:type="dxa"/>
                    <w:right w:w="28" w:type="dxa"/>
                  </w:tcMar>
                  <w:vAlign w:val="center"/>
                </w:tcPr>
                <w:p>
                  <w:pPr>
                    <w:autoSpaceDE w:val="0"/>
                    <w:autoSpaceDN w:val="0"/>
                    <w:adjustRightInd w:val="0"/>
                    <w:snapToGrid w:val="0"/>
                    <w:jc w:val="center"/>
                    <w:rPr>
                      <w:kern w:val="0"/>
                      <w:szCs w:val="21"/>
                    </w:rPr>
                  </w:pPr>
                </w:p>
              </w:tc>
              <w:tc>
                <w:tcPr>
                  <w:tcW w:w="992" w:type="dxa"/>
                  <w:vMerge w:val="restart"/>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医疗废物：分类收集，装入医疗废物专用包装容器中，置于医院设置的医疗废物暂存间，定期交由有资质的医疗废物处置单位转运处置</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输液瓶（袋）：设置专门容器储存在医疗废物暂存间，交由有回收处理资质的单位回收处置</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污水处理站污泥、栅渣、化粪池污泥：在</w:t>
                  </w:r>
                  <w:r>
                    <w:rPr>
                      <w:rFonts w:hint="eastAsia"/>
                      <w:kern w:val="0"/>
                      <w:szCs w:val="21"/>
                    </w:rPr>
                    <w:t>贮泥池中</w:t>
                  </w:r>
                  <w:r>
                    <w:rPr>
                      <w:kern w:val="0"/>
                      <w:szCs w:val="21"/>
                    </w:rPr>
                    <w:t>经石灰消毒后委托有危险废物处置资质的单位定期处置</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废活性炭：由专业人员每年更换一次，采用专用容器收集，定期交由有危险废物处理资质的单位处置</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中药渣：设专用中药渣收集桶，同生活垃圾统一由环卫部门处理</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 xml:space="preserve">生活垃圾：垃圾桶分类收集后，交由环卫部门清运 </w:t>
                  </w:r>
                </w:p>
              </w:tc>
              <w:tc>
                <w:tcPr>
                  <w:tcW w:w="716" w:type="dxa"/>
                  <w:vAlign w:val="center"/>
                </w:tcPr>
                <w:p>
                  <w:pPr>
                    <w:autoSpaceDE w:val="0"/>
                    <w:autoSpaceDN w:val="0"/>
                    <w:adjustRightInd w:val="0"/>
                    <w:snapToGrid w:val="0"/>
                    <w:jc w:val="center"/>
                    <w:rPr>
                      <w:kern w:val="0"/>
                      <w:szCs w:val="21"/>
                    </w:rPr>
                  </w:pPr>
                  <w:r>
                    <w:rPr>
                      <w:kern w:val="0"/>
                      <w:szCs w:val="21"/>
                    </w:rPr>
                    <w:t>/</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562" w:type="dxa"/>
                  <w:vMerge/>
                  <w:tcMar>
                    <w:left w:w="28" w:type="dxa"/>
                    <w:right w:w="28" w:type="dxa"/>
                  </w:tcMar>
                  <w:vAlign w:val="center"/>
                </w:tcPr>
                <w:p>
                  <w:pPr>
                    <w:autoSpaceDE w:val="0"/>
                    <w:autoSpaceDN w:val="0"/>
                    <w:adjustRightInd w:val="0"/>
                    <w:snapToGrid w:val="0"/>
                    <w:jc w:val="center"/>
                    <w:rPr>
                      <w:kern w:val="0"/>
                      <w:szCs w:val="21"/>
                    </w:rPr>
                  </w:pPr>
                </w:p>
              </w:tc>
              <w:tc>
                <w:tcPr>
                  <w:tcW w:w="992" w:type="dxa"/>
                  <w:vMerge/>
                  <w:tcMar>
                    <w:left w:w="28" w:type="dxa"/>
                    <w:right w:w="28" w:type="dxa"/>
                  </w:tcMar>
                  <w:vAlign w:val="center"/>
                </w:tcPr>
                <w:p>
                  <w:pPr>
                    <w:autoSpaceDE w:val="0"/>
                    <w:autoSpaceDN w:val="0"/>
                    <w:adjustRightInd w:val="0"/>
                    <w:snapToGrid w:val="0"/>
                    <w:jc w:val="center"/>
                    <w:rPr>
                      <w:kern w:val="0"/>
                      <w:szCs w:val="21"/>
                    </w:rPr>
                  </w:pPr>
                </w:p>
              </w:tc>
              <w:tc>
                <w:tcPr>
                  <w:tcW w:w="5665" w:type="dxa"/>
                  <w:tcMar>
                    <w:left w:w="28" w:type="dxa"/>
                    <w:right w:w="28" w:type="dxa"/>
                  </w:tcMar>
                  <w:vAlign w:val="center"/>
                </w:tcPr>
                <w:p>
                  <w:pPr>
                    <w:autoSpaceDE w:val="0"/>
                    <w:autoSpaceDN w:val="0"/>
                    <w:adjustRightInd w:val="0"/>
                    <w:snapToGrid w:val="0"/>
                    <w:jc w:val="left"/>
                    <w:rPr>
                      <w:kern w:val="0"/>
                      <w:szCs w:val="21"/>
                    </w:rPr>
                  </w:pPr>
                  <w:r>
                    <w:rPr>
                      <w:kern w:val="0"/>
                      <w:szCs w:val="21"/>
                    </w:rPr>
                    <w:t>食堂废油脂：交由有废油脂处理资质单位，统一回收处置</w:t>
                  </w:r>
                </w:p>
              </w:tc>
              <w:tc>
                <w:tcPr>
                  <w:tcW w:w="716" w:type="dxa"/>
                  <w:vAlign w:val="center"/>
                </w:tcPr>
                <w:p>
                  <w:pPr>
                    <w:autoSpaceDE w:val="0"/>
                    <w:autoSpaceDN w:val="0"/>
                    <w:adjustRightInd w:val="0"/>
                    <w:snapToGrid w:val="0"/>
                    <w:jc w:val="center"/>
                    <w:rPr>
                      <w:kern w:val="0"/>
                      <w:szCs w:val="21"/>
                    </w:rPr>
                  </w:pPr>
                  <w:r>
                    <w:rPr>
                      <w:kern w:val="0"/>
                      <w:szCs w:val="21"/>
                    </w:rPr>
                    <w:t>/</w:t>
                  </w:r>
                </w:p>
              </w:tc>
            </w:tr>
          </w:tbl>
          <w:p>
            <w:pPr>
              <w:keepNext/>
              <w:adjustRightInd w:val="0"/>
              <w:snapToGrid w:val="0"/>
              <w:jc w:val="center"/>
              <w:rPr>
                <w:b/>
                <w:szCs w:val="21"/>
                <w:lang w:val="zh-CN"/>
              </w:rPr>
            </w:pPr>
            <w:r>
              <w:rPr>
                <w:b/>
                <w:szCs w:val="21"/>
                <w:lang w:val="zh-CN"/>
              </w:rPr>
              <w:t>表</w:t>
            </w:r>
            <w:r>
              <w:rPr>
                <w:b/>
                <w:szCs w:val="21"/>
              </w:rPr>
              <w:t>2-2</w:t>
            </w:r>
            <w:r>
              <w:rPr>
                <w:b/>
                <w:szCs w:val="21"/>
                <w:lang w:val="zh-CN"/>
              </w:rPr>
              <w:t xml:space="preserve">  项目主要经济技术表</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83"/>
              <w:gridCol w:w="3686"/>
              <w:gridCol w:w="1716"/>
              <w:gridCol w:w="1550"/>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序号</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项目</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单位</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指标</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6952" w:type="dxa"/>
                  <w:gridSpan w:val="3"/>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建设规模指标</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1.1</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医院床位数</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张</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160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1.2</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养老院床位数</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张</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500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w:t>
                  </w:r>
                </w:p>
              </w:tc>
              <w:tc>
                <w:tcPr>
                  <w:tcW w:w="6952" w:type="dxa"/>
                  <w:gridSpan w:val="3"/>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工程建筑指标</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2.1</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占地面积</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m</w:t>
                  </w:r>
                  <w:r>
                    <w:rPr>
                      <w:rFonts w:ascii="Times New Roman" w:eastAsia="宋体" w:hAnsi="Times New Roman"/>
                      <w:b w:val="0"/>
                      <w:bCs w:val="0"/>
                      <w:sz w:val="21"/>
                      <w:szCs w:val="21"/>
                      <w:vertAlign w:val="superscript"/>
                      <w:lang w:val="zh-CN"/>
                    </w:rPr>
                    <w:t>2</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6507.95</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2.2</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建筑面积</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m</w:t>
                  </w:r>
                  <w:r>
                    <w:rPr>
                      <w:rFonts w:ascii="Times New Roman" w:eastAsia="宋体" w:hAnsi="Times New Roman"/>
                      <w:b w:val="0"/>
                      <w:bCs w:val="0"/>
                      <w:sz w:val="21"/>
                      <w:szCs w:val="21"/>
                      <w:vertAlign w:val="superscript"/>
                      <w:lang w:val="zh-CN"/>
                    </w:rPr>
                    <w:t>2</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15000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w:t>
                  </w:r>
                </w:p>
              </w:tc>
              <w:tc>
                <w:tcPr>
                  <w:tcW w:w="6952" w:type="dxa"/>
                  <w:gridSpan w:val="3"/>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经济评价指标</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3.1</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项目总投资</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万元</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5000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4</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劳动定员</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人</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120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5</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年工作日</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天</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365</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6</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日接诊人次</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人·次/d</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7</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年接诊人次</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人·次/a</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7300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8</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地上停车位</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个</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20</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9</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地下停车位</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个</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30</w:t>
                  </w:r>
                </w:p>
              </w:tc>
            </w:tr>
          </w:tbl>
          <w:p>
            <w:pPr>
              <w:keepNext/>
              <w:adjustRightInd w:val="0"/>
              <w:snapToGrid w:val="0"/>
              <w:spacing w:before="120" w:beforeLines="50" w:line="360" w:lineRule="auto"/>
              <w:ind w:firstLine="480" w:firstLineChars="200"/>
              <w:jc w:val="left"/>
              <w:rPr>
                <w:b/>
                <w:sz w:val="24"/>
              </w:rPr>
            </w:pPr>
            <w:r>
              <w:rPr>
                <w:b/>
                <w:sz w:val="24"/>
              </w:rPr>
              <w:t>3、主要设备</w:t>
            </w:r>
          </w:p>
          <w:p>
            <w:pPr>
              <w:keepNext/>
              <w:adjustRightInd w:val="0"/>
              <w:snapToGrid w:val="0"/>
              <w:jc w:val="center"/>
              <w:rPr>
                <w:b/>
                <w:szCs w:val="21"/>
                <w:lang w:val="zh-CN"/>
              </w:rPr>
            </w:pPr>
            <w:r>
              <w:rPr>
                <w:b/>
                <w:szCs w:val="21"/>
                <w:lang w:val="zh-CN"/>
              </w:rPr>
              <w:t>表</w:t>
            </w:r>
            <w:r>
              <w:rPr>
                <w:b/>
                <w:szCs w:val="21"/>
              </w:rPr>
              <w:t>2-3</w:t>
            </w:r>
            <w:r>
              <w:rPr>
                <w:b/>
                <w:szCs w:val="21"/>
                <w:lang w:val="zh-CN"/>
              </w:rPr>
              <w:t xml:space="preserve">  项目主要设备一览表</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83"/>
              <w:gridCol w:w="3686"/>
              <w:gridCol w:w="1716"/>
              <w:gridCol w:w="1550"/>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序号</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设备名称</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数量（台）</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lang w:val="zh-CN"/>
                    </w:rPr>
                  </w:pPr>
                  <w:r>
                    <w:rPr>
                      <w:rFonts w:ascii="Times New Roman" w:eastAsia="宋体" w:hAnsi="Times New Roman"/>
                      <w:sz w:val="21"/>
                      <w:szCs w:val="21"/>
                      <w:lang w:val="zh-CN"/>
                    </w:rPr>
                    <w:t>备注</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全自动生化检测仪</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2</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全自动血球计数仪（五分类）</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尿液检查仪（十一项）</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4</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全自动生化检测仪</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5</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糖化蛋白检测仪</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6</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彩超</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7</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心电图（十二导联）</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8</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骨密度检测</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bl>
          <w:p/>
        </w:tc>
      </w:tr>
    </w:tbl>
    <w:p>
      <w:pPr>
        <w:sectPr>
          <w:headerReference w:type="default" r:id="rId16"/>
          <w:footerReference w:type="default" r:id="rId17"/>
          <w:type w:val="nextPage"/>
          <w:pgSz w:w="11906" w:h="16838"/>
          <w:pgMar w:top="1701" w:right="1531" w:bottom="1701" w:left="1531" w:header="851" w:footer="851" w:gutter="0"/>
          <w:pgNumType w:start="7"/>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0"/>
          <w:jc w:val="center"/>
        </w:trPr>
        <w:tc>
          <w:tcPr>
            <w:tcW w:w="823" w:type="dxa"/>
            <w:vAlign w:val="center"/>
          </w:tcPr>
          <w:p/>
        </w:tc>
        <w:tc>
          <w:tcPr>
            <w:tcW w:w="8161" w:type="dxa"/>
          </w:tcPr>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83"/>
              <w:gridCol w:w="3686"/>
              <w:gridCol w:w="1716"/>
              <w:gridCol w:w="1550"/>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9</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三氧消毒机（壁挂式）</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3</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10</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煎药机</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11</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心电监护仪</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5</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98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12</w:t>
                  </w:r>
                </w:p>
              </w:tc>
              <w:tc>
                <w:tcPr>
                  <w:tcW w:w="368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糖化蛋白检测仪</w:t>
                  </w:r>
                </w:p>
              </w:tc>
              <w:tc>
                <w:tcPr>
                  <w:tcW w:w="1716"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1</w:t>
                  </w:r>
                </w:p>
              </w:tc>
              <w:tc>
                <w:tcPr>
                  <w:tcW w:w="1550"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医院</w:t>
                  </w:r>
                </w:p>
              </w:tc>
            </w:tr>
          </w:tbl>
          <w:p>
            <w:pPr>
              <w:keepNext/>
              <w:adjustRightInd w:val="0"/>
              <w:snapToGrid w:val="0"/>
              <w:spacing w:before="120" w:beforeLines="50" w:line="360" w:lineRule="auto"/>
              <w:ind w:firstLine="480" w:firstLineChars="200"/>
              <w:jc w:val="left"/>
              <w:rPr>
                <w:b/>
                <w:sz w:val="24"/>
              </w:rPr>
            </w:pPr>
            <w:r>
              <w:rPr>
                <w:b/>
                <w:sz w:val="24"/>
              </w:rPr>
              <w:t>4、主要原辅材料及燃料的种类和用量</w:t>
            </w:r>
          </w:p>
          <w:p>
            <w:pPr>
              <w:keepNext/>
              <w:adjustRightInd w:val="0"/>
              <w:snapToGrid w:val="0"/>
              <w:jc w:val="center"/>
              <w:rPr>
                <w:b/>
                <w:szCs w:val="21"/>
              </w:rPr>
            </w:pPr>
            <w:r>
              <w:rPr>
                <w:b/>
                <w:szCs w:val="21"/>
                <w:lang w:val="zh-CN"/>
              </w:rPr>
              <w:t>表</w:t>
            </w:r>
            <w:r>
              <w:rPr>
                <w:b/>
                <w:szCs w:val="21"/>
              </w:rPr>
              <w:t xml:space="preserve">2-4  </w:t>
            </w:r>
            <w:r>
              <w:rPr>
                <w:b/>
                <w:szCs w:val="21"/>
                <w:lang w:val="zh-CN"/>
              </w:rPr>
              <w:t>主要能耗消耗一览表</w:t>
            </w:r>
          </w:p>
          <w:tbl>
            <w:tblPr>
              <w:tblStyle w:val="TableNormal"/>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25"/>
              <w:gridCol w:w="3402"/>
              <w:gridCol w:w="1843"/>
              <w:gridCol w:w="1565"/>
            </w:tblGrid>
            <w:tr>
              <w:tblPrEx>
                <w:tblW w:w="5000"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rPr>
                  </w:pPr>
                  <w:r>
                    <w:rPr>
                      <w:rFonts w:ascii="Times New Roman" w:eastAsia="宋体" w:hAnsi="Times New Roman"/>
                      <w:sz w:val="21"/>
                      <w:szCs w:val="21"/>
                      <w:lang w:val="zh-CN"/>
                    </w:rPr>
                    <w:t>序号</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rPr>
                  </w:pPr>
                  <w:r>
                    <w:rPr>
                      <w:rFonts w:ascii="Times New Roman" w:eastAsia="宋体" w:hAnsi="Times New Roman"/>
                      <w:sz w:val="21"/>
                      <w:szCs w:val="21"/>
                      <w:lang w:val="zh-CN"/>
                    </w:rPr>
                    <w:t>能耗名称</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rPr>
                  </w:pPr>
                  <w:r>
                    <w:rPr>
                      <w:rFonts w:ascii="Times New Roman" w:eastAsia="宋体" w:hAnsi="Times New Roman"/>
                      <w:sz w:val="21"/>
                      <w:szCs w:val="21"/>
                      <w:lang w:val="zh-CN"/>
                    </w:rPr>
                    <w:t>单位</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sz w:val="21"/>
                      <w:szCs w:val="21"/>
                    </w:rPr>
                  </w:pPr>
                  <w:r>
                    <w:rPr>
                      <w:rFonts w:ascii="Times New Roman" w:eastAsia="宋体" w:hAnsi="Times New Roman"/>
                      <w:sz w:val="21"/>
                      <w:szCs w:val="21"/>
                      <w:lang w:val="zh-CN"/>
                    </w:rPr>
                    <w:t>年用量</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1</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lang w:val="zh-CN"/>
                    </w:rPr>
                    <w:t>水</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m</w:t>
                  </w:r>
                  <w:r>
                    <w:rPr>
                      <w:rFonts w:ascii="Times New Roman" w:eastAsia="宋体" w:hAnsi="Times New Roman"/>
                      <w:b w:val="0"/>
                      <w:bCs w:val="0"/>
                      <w:sz w:val="21"/>
                      <w:szCs w:val="21"/>
                      <w:vertAlign w:val="superscript"/>
                    </w:rPr>
                    <w:t>3</w:t>
                  </w:r>
                  <w:r>
                    <w:rPr>
                      <w:rFonts w:ascii="Times New Roman" w:eastAsia="宋体" w:hAnsi="Times New Roman"/>
                      <w:b w:val="0"/>
                      <w:bCs w:val="0"/>
                      <w:sz w:val="21"/>
                      <w:szCs w:val="21"/>
                    </w:rPr>
                    <w:t>/a</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hint="eastAsia"/>
                      <w:b w:val="0"/>
                      <w:bCs w:val="0"/>
                      <w:sz w:val="21"/>
                      <w:szCs w:val="21"/>
                    </w:rPr>
                    <w:t>73547.5</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2</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lang w:val="zh-CN"/>
                    </w:rPr>
                    <w:t>电</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lang w:val="zh-CN"/>
                    </w:rPr>
                    <w:t>万</w:t>
                  </w:r>
                  <w:r>
                    <w:rPr>
                      <w:rFonts w:ascii="Times New Roman" w:eastAsia="宋体" w:hAnsi="Times New Roman"/>
                      <w:b w:val="0"/>
                      <w:bCs w:val="0"/>
                      <w:sz w:val="21"/>
                      <w:szCs w:val="21"/>
                    </w:rPr>
                    <w:t>KW·h</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192</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3</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lang w:val="zh-CN"/>
                    </w:rPr>
                    <w:t>天然气</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lang w:val="zh-CN"/>
                    </w:rPr>
                    <w:t>万</w:t>
                  </w:r>
                  <w:r>
                    <w:rPr>
                      <w:rFonts w:ascii="Times New Roman" w:eastAsia="宋体" w:hAnsi="Times New Roman"/>
                      <w:b w:val="0"/>
                      <w:bCs w:val="0"/>
                      <w:sz w:val="21"/>
                      <w:szCs w:val="21"/>
                    </w:rPr>
                    <w:t>m</w:t>
                  </w:r>
                  <w:r>
                    <w:rPr>
                      <w:rFonts w:ascii="Times New Roman" w:eastAsia="宋体" w:hAnsi="Times New Roman"/>
                      <w:b w:val="0"/>
                      <w:bCs w:val="0"/>
                      <w:sz w:val="21"/>
                      <w:szCs w:val="21"/>
                      <w:vertAlign w:val="superscript"/>
                    </w:rPr>
                    <w:t>3</w:t>
                  </w:r>
                  <w:r>
                    <w:rPr>
                      <w:rFonts w:ascii="Times New Roman" w:eastAsia="宋体" w:hAnsi="Times New Roman"/>
                      <w:b w:val="0"/>
                      <w:bCs w:val="0"/>
                      <w:sz w:val="21"/>
                      <w:szCs w:val="21"/>
                    </w:rPr>
                    <w:t>/a</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b w:val="0"/>
                      <w:bCs w:val="0"/>
                      <w:sz w:val="21"/>
                      <w:szCs w:val="21"/>
                    </w:rPr>
                    <w:t>0.5</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hint="eastAsia"/>
                      <w:b w:val="0"/>
                      <w:bCs w:val="0"/>
                      <w:sz w:val="21"/>
                      <w:szCs w:val="21"/>
                    </w:rPr>
                    <w:t>4</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b w:val="0"/>
                      <w:bCs w:val="0"/>
                      <w:sz w:val="21"/>
                      <w:szCs w:val="21"/>
                      <w:lang w:val="zh-CN"/>
                    </w:rPr>
                    <w:t>石灰</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hint="eastAsia"/>
                      <w:b w:val="0"/>
                      <w:bCs w:val="0"/>
                      <w:sz w:val="21"/>
                      <w:szCs w:val="21"/>
                      <w:lang w:val="zh-CN"/>
                    </w:rPr>
                    <w:t>t/a</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rPr>
                  </w:pPr>
                  <w:r>
                    <w:rPr>
                      <w:rFonts w:ascii="Times New Roman" w:eastAsia="宋体" w:hAnsi="Times New Roman" w:hint="eastAsia"/>
                      <w:b w:val="0"/>
                      <w:bCs w:val="0"/>
                      <w:sz w:val="21"/>
                      <w:szCs w:val="21"/>
                    </w:rPr>
                    <w:t>1</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1125" w:type="dxa"/>
                  <w:tcMar>
                    <w:left w:w="28" w:type="dxa"/>
                    <w:right w:w="28" w:type="dxa"/>
                  </w:tcMar>
                  <w:vAlign w:val="center"/>
                </w:tcPr>
                <w:p>
                  <w:pPr>
                    <w:pStyle w:val="Heading2"/>
                    <w:spacing w:before="0" w:after="0" w:line="240" w:lineRule="auto"/>
                    <w:jc w:val="center"/>
                    <w:outlineLvl w:val="1"/>
                    <w:rPr>
                      <w:rFonts w:ascii="Times New Roman" w:eastAsia="宋体" w:hAnsi="Times New Roman" w:hint="eastAsia"/>
                      <w:b w:val="0"/>
                      <w:bCs w:val="0"/>
                      <w:sz w:val="21"/>
                      <w:szCs w:val="21"/>
                    </w:rPr>
                  </w:pPr>
                  <w:r>
                    <w:rPr>
                      <w:rFonts w:ascii="Times New Roman" w:eastAsia="宋体" w:hAnsi="Times New Roman" w:hint="eastAsia"/>
                      <w:b w:val="0"/>
                      <w:bCs w:val="0"/>
                      <w:sz w:val="21"/>
                      <w:szCs w:val="21"/>
                    </w:rPr>
                    <w:t>6</w:t>
                  </w:r>
                </w:p>
              </w:tc>
              <w:tc>
                <w:tcPr>
                  <w:tcW w:w="3402" w:type="dxa"/>
                  <w:tcMar>
                    <w:left w:w="28" w:type="dxa"/>
                    <w:right w:w="28" w:type="dxa"/>
                  </w:tcMar>
                  <w:vAlign w:val="center"/>
                </w:tcPr>
                <w:p>
                  <w:pPr>
                    <w:pStyle w:val="Heading2"/>
                    <w:spacing w:before="0" w:after="0" w:line="240" w:lineRule="auto"/>
                    <w:jc w:val="center"/>
                    <w:outlineLvl w:val="1"/>
                    <w:rPr>
                      <w:rFonts w:ascii="Times New Roman" w:eastAsia="宋体" w:hAnsi="Times New Roman"/>
                      <w:b w:val="0"/>
                      <w:bCs w:val="0"/>
                      <w:sz w:val="21"/>
                      <w:szCs w:val="21"/>
                      <w:lang w:val="zh-CN"/>
                    </w:rPr>
                  </w:pPr>
                  <w:r>
                    <w:rPr>
                      <w:rFonts w:ascii="Times New Roman" w:eastAsia="宋体" w:hAnsi="Times New Roman" w:hint="eastAsia"/>
                      <w:b w:val="0"/>
                      <w:bCs w:val="0"/>
                      <w:sz w:val="21"/>
                      <w:szCs w:val="21"/>
                      <w:lang w:val="zh-CN"/>
                    </w:rPr>
                    <w:t>三氯异氰尿酸钠</w:t>
                  </w:r>
                </w:p>
              </w:tc>
              <w:tc>
                <w:tcPr>
                  <w:tcW w:w="1843" w:type="dxa"/>
                  <w:tcMar>
                    <w:left w:w="28" w:type="dxa"/>
                    <w:right w:w="28" w:type="dxa"/>
                  </w:tcMar>
                  <w:vAlign w:val="center"/>
                </w:tcPr>
                <w:p>
                  <w:pPr>
                    <w:pStyle w:val="Heading2"/>
                    <w:spacing w:before="0" w:after="0" w:line="240" w:lineRule="auto"/>
                    <w:jc w:val="center"/>
                    <w:outlineLvl w:val="1"/>
                    <w:rPr>
                      <w:rFonts w:ascii="Times New Roman" w:eastAsia="宋体" w:hAnsi="Times New Roman" w:hint="eastAsia"/>
                      <w:b w:val="0"/>
                      <w:bCs w:val="0"/>
                      <w:sz w:val="21"/>
                      <w:szCs w:val="21"/>
                      <w:lang w:val="zh-CN"/>
                    </w:rPr>
                  </w:pPr>
                  <w:r>
                    <w:rPr>
                      <w:rFonts w:ascii="Times New Roman" w:eastAsia="宋体" w:hAnsi="Times New Roman" w:hint="eastAsia"/>
                      <w:b w:val="0"/>
                      <w:bCs w:val="0"/>
                      <w:sz w:val="21"/>
                      <w:szCs w:val="21"/>
                      <w:lang w:val="zh-CN"/>
                    </w:rPr>
                    <w:t>t/a</w:t>
                  </w:r>
                </w:p>
              </w:tc>
              <w:tc>
                <w:tcPr>
                  <w:tcW w:w="1565" w:type="dxa"/>
                  <w:tcMar>
                    <w:left w:w="28" w:type="dxa"/>
                    <w:right w:w="28" w:type="dxa"/>
                  </w:tcMar>
                  <w:vAlign w:val="center"/>
                </w:tcPr>
                <w:p>
                  <w:pPr>
                    <w:pStyle w:val="Heading2"/>
                    <w:spacing w:before="0" w:after="0" w:line="240" w:lineRule="auto"/>
                    <w:jc w:val="center"/>
                    <w:outlineLvl w:val="1"/>
                    <w:rPr>
                      <w:rFonts w:ascii="Times New Roman" w:eastAsia="宋体" w:hAnsi="Times New Roman" w:hint="eastAsia"/>
                      <w:b w:val="0"/>
                      <w:bCs w:val="0"/>
                      <w:sz w:val="21"/>
                      <w:szCs w:val="21"/>
                    </w:rPr>
                  </w:pPr>
                  <w:r>
                    <w:rPr>
                      <w:rFonts w:ascii="Times New Roman" w:eastAsia="宋体" w:hAnsi="Times New Roman" w:hint="eastAsia"/>
                      <w:b w:val="0"/>
                      <w:bCs w:val="0"/>
                      <w:sz w:val="21"/>
                      <w:szCs w:val="21"/>
                    </w:rPr>
                    <w:t>0.3</w:t>
                  </w:r>
                </w:p>
              </w:tc>
            </w:tr>
            <w:tr>
              <w:tblPrEx>
                <w:tblW w:w="5000" w:type="pct"/>
                <w:jc w:val="center"/>
                <w:tblInd w:w="33" w:type="dxa"/>
                <w:tblLayout w:type="fixed"/>
                <w:tblCellMar>
                  <w:top w:w="0" w:type="dxa"/>
                  <w:left w:w="108" w:type="dxa"/>
                  <w:bottom w:w="0" w:type="dxa"/>
                  <w:right w:w="108" w:type="dxa"/>
                </w:tblCellMar>
                <w:tblLook w:val="0000"/>
              </w:tblPrEx>
              <w:trPr>
                <w:trHeight w:val="340"/>
                <w:jc w:val="center"/>
              </w:trPr>
              <w:tc>
                <w:tcPr>
                  <w:tcW w:w="7935" w:type="dxa"/>
                  <w:gridSpan w:val="4"/>
                  <w:tcMar>
                    <w:left w:w="28" w:type="dxa"/>
                    <w:right w:w="28" w:type="dxa"/>
                  </w:tcMar>
                  <w:vAlign w:val="center"/>
                </w:tcPr>
                <w:p>
                  <w:pPr>
                    <w:pStyle w:val="Heading2"/>
                    <w:spacing w:before="0" w:after="0" w:line="240" w:lineRule="auto"/>
                    <w:jc w:val="left"/>
                    <w:outlineLvl w:val="1"/>
                    <w:rPr>
                      <w:rFonts w:ascii="Times New Roman" w:eastAsia="宋体" w:hAnsi="Times New Roman" w:hint="eastAsia"/>
                      <w:b w:val="0"/>
                      <w:bCs w:val="0"/>
                      <w:sz w:val="21"/>
                      <w:szCs w:val="21"/>
                    </w:rPr>
                  </w:pPr>
                  <w:r>
                    <w:rPr>
                      <w:rFonts w:ascii="Times New Roman" w:eastAsia="宋体" w:hAnsi="Times New Roman" w:hint="eastAsia"/>
                      <w:b w:val="0"/>
                      <w:bCs w:val="0"/>
                      <w:sz w:val="21"/>
                      <w:szCs w:val="21"/>
                    </w:rPr>
                    <w:t>注：三氯异氰尿酸钠溶于水时发生水解，游离出次氯酸钠。</w:t>
                  </w:r>
                </w:p>
              </w:tc>
            </w:tr>
          </w:tbl>
          <w:p>
            <w:pPr>
              <w:keepNext/>
              <w:adjustRightInd w:val="0"/>
              <w:snapToGrid w:val="0"/>
              <w:spacing w:before="120" w:beforeLines="50" w:line="360" w:lineRule="auto"/>
              <w:ind w:firstLine="480" w:firstLineChars="200"/>
              <w:jc w:val="left"/>
              <w:rPr>
                <w:b/>
                <w:sz w:val="24"/>
              </w:rPr>
            </w:pPr>
            <w:r>
              <w:rPr>
                <w:b/>
                <w:sz w:val="24"/>
              </w:rPr>
              <w:t>5、水平衡分析</w:t>
            </w:r>
          </w:p>
          <w:p>
            <w:pPr>
              <w:keepNext/>
              <w:adjustRightInd w:val="0"/>
              <w:snapToGrid w:val="0"/>
              <w:spacing w:line="360" w:lineRule="auto"/>
              <w:ind w:firstLine="480" w:firstLineChars="200"/>
              <w:jc w:val="left"/>
              <w:rPr>
                <w:bCs/>
                <w:sz w:val="24"/>
              </w:rPr>
            </w:pPr>
            <w:r>
              <w:rPr>
                <w:bCs/>
                <w:sz w:val="24"/>
              </w:rPr>
              <w:t>（1）给水</w:t>
            </w:r>
          </w:p>
          <w:p>
            <w:pPr>
              <w:keepNext/>
              <w:adjustRightInd w:val="0"/>
              <w:snapToGrid w:val="0"/>
              <w:spacing w:line="360" w:lineRule="auto"/>
              <w:ind w:firstLine="480" w:firstLineChars="200"/>
              <w:jc w:val="left"/>
              <w:rPr>
                <w:bCs/>
                <w:sz w:val="24"/>
              </w:rPr>
            </w:pPr>
            <w:r>
              <w:rPr>
                <w:bCs/>
                <w:sz w:val="24"/>
              </w:rPr>
              <w:t>根据《陕西省行业用水定额（修订稿）》（DT61/943-2020）、《建筑给排水设计规范》（GB50015-2010）及《医院污水处理工程技术规范》（HJ2029-2013）有关规定，本项目不设置洗衣房，洗衣外委。结合本项目特点，项目用水量计算如下：</w:t>
            </w:r>
          </w:p>
          <w:p>
            <w:pPr>
              <w:keepNext/>
              <w:adjustRightInd w:val="0"/>
              <w:snapToGrid w:val="0"/>
              <w:spacing w:line="360" w:lineRule="auto"/>
              <w:ind w:firstLine="480" w:firstLineChars="200"/>
              <w:jc w:val="left"/>
              <w:rPr>
                <w:bCs/>
                <w:sz w:val="24"/>
              </w:rPr>
            </w:pPr>
            <w:r>
              <w:rPr>
                <w:rFonts w:ascii="宋体" w:hAnsi="宋体" w:cs="宋体" w:hint="eastAsia"/>
                <w:bCs/>
                <w:sz w:val="24"/>
              </w:rPr>
              <w:t>①</w:t>
            </w:r>
            <w:r>
              <w:rPr>
                <w:bCs/>
                <w:sz w:val="24"/>
              </w:rPr>
              <w:t>养老院老人用水：本项目设置床位500张，设单独卫生间，用水定额以250L/床·d计，则养老院老人用水量为125m</w:t>
            </w:r>
            <w:r>
              <w:rPr>
                <w:bCs/>
                <w:sz w:val="24"/>
                <w:vertAlign w:val="superscript"/>
              </w:rPr>
              <w:t>3</w:t>
            </w:r>
            <w:r>
              <w:rPr>
                <w:bCs/>
                <w:sz w:val="24"/>
              </w:rPr>
              <w:t>/d，45625m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②</w:t>
            </w:r>
            <w:r>
              <w:rPr>
                <w:bCs/>
                <w:sz w:val="24"/>
              </w:rPr>
              <w:t>养老院工作人员用水：本项目养老院工作人员人数50人，用水定额以120L/人·班计，则养老院工作人员用水量为6m</w:t>
            </w:r>
            <w:r>
              <w:rPr>
                <w:bCs/>
                <w:sz w:val="24"/>
                <w:vertAlign w:val="superscript"/>
              </w:rPr>
              <w:t>3</w:t>
            </w:r>
            <w:r>
              <w:rPr>
                <w:bCs/>
                <w:sz w:val="24"/>
              </w:rPr>
              <w:t>/d，2190m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③</w:t>
            </w:r>
            <w:r>
              <w:rPr>
                <w:bCs/>
                <w:sz w:val="24"/>
              </w:rPr>
              <w:t>门诊用水：本项目门诊最大接待量为20人/d，用水定额11L/人·次计，门诊用水量为0.22m</w:t>
            </w:r>
            <w:r>
              <w:rPr>
                <w:bCs/>
                <w:sz w:val="24"/>
                <w:vertAlign w:val="superscript"/>
              </w:rPr>
              <w:t>3</w:t>
            </w:r>
            <w:r>
              <w:rPr>
                <w:bCs/>
                <w:sz w:val="24"/>
              </w:rPr>
              <w:t>/d，80.3m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④</w:t>
            </w:r>
            <w:r>
              <w:rPr>
                <w:bCs/>
                <w:sz w:val="24"/>
              </w:rPr>
              <w:t>病房用水：本项目设置床位160张，用水定额以250L/床·d计；住院陪护人员用水定额按40L/床·d计；则病房用水量为46.4m</w:t>
            </w:r>
            <w:r>
              <w:rPr>
                <w:bCs/>
                <w:sz w:val="24"/>
                <w:vertAlign w:val="superscript"/>
              </w:rPr>
              <w:t>3</w:t>
            </w:r>
            <w:r>
              <w:rPr>
                <w:bCs/>
                <w:sz w:val="24"/>
              </w:rPr>
              <w:t>/d，16936m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⑤</w:t>
            </w:r>
            <w:r>
              <w:rPr>
                <w:bCs/>
                <w:sz w:val="24"/>
              </w:rPr>
              <w:t>医院工作人员用水：本项目医院工作人员人数70人，用水定额以120L/人·班计，则医院工作人员用水量为8.4m</w:t>
            </w:r>
            <w:r>
              <w:rPr>
                <w:bCs/>
                <w:sz w:val="24"/>
                <w:vertAlign w:val="superscript"/>
              </w:rPr>
              <w:t>3</w:t>
            </w:r>
            <w:r>
              <w:rPr>
                <w:bCs/>
                <w:sz w:val="24"/>
              </w:rPr>
              <w:t>/d，3066m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⑥</w:t>
            </w:r>
            <w:r>
              <w:rPr>
                <w:bCs/>
                <w:sz w:val="24"/>
              </w:rPr>
              <w:t>食堂用水：根据建设单位提供资料，食堂按200人计，食堂用水量按照16L/人·次计，一日三餐，则本项目食堂用水量为</w:t>
            </w:r>
            <w:r>
              <w:rPr>
                <w:rFonts w:hint="eastAsia"/>
                <w:bCs/>
                <w:sz w:val="24"/>
              </w:rPr>
              <w:t>9.6</w:t>
            </w:r>
            <w:r>
              <w:rPr>
                <w:bCs/>
                <w:sz w:val="24"/>
              </w:rPr>
              <w:t>m</w:t>
            </w:r>
            <w:r>
              <w:rPr>
                <w:bCs/>
                <w:sz w:val="24"/>
                <w:vertAlign w:val="superscript"/>
              </w:rPr>
              <w:t>3</w:t>
            </w:r>
            <w:r>
              <w:rPr>
                <w:bCs/>
                <w:sz w:val="24"/>
              </w:rPr>
              <w:t>/d，</w:t>
            </w:r>
            <w:r>
              <w:rPr>
                <w:rFonts w:hint="eastAsia"/>
                <w:bCs/>
                <w:sz w:val="24"/>
              </w:rPr>
              <w:t>3504</w:t>
            </w:r>
            <w:r>
              <w:rPr>
                <w:bCs/>
                <w:sz w:val="24"/>
              </w:rPr>
              <w:t>m</w:t>
            </w:r>
            <w:r>
              <w:rPr>
                <w:bCs/>
                <w:sz w:val="24"/>
                <w:vertAlign w:val="superscript"/>
              </w:rPr>
              <w:t>3</w:t>
            </w:r>
            <w:r>
              <w:rPr>
                <w:bCs/>
                <w:sz w:val="24"/>
              </w:rPr>
              <w:t>/a。</w:t>
            </w:r>
          </w:p>
        </w:tc>
      </w:tr>
    </w:tbl>
    <w:p>
      <w:pPr>
        <w:sectPr>
          <w:headerReference w:type="default" r:id="rId18"/>
          <w:footerReference w:type="default" r:id="rId19"/>
          <w:type w:val="nextPage"/>
          <w:pgSz w:w="11906" w:h="16838"/>
          <w:pgMar w:top="1701" w:right="1531" w:bottom="1701" w:left="1531" w:header="851" w:footer="851" w:gutter="0"/>
          <w:pgNumType w:start="8"/>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10"/>
          <w:jc w:val="center"/>
        </w:trPr>
        <w:tc>
          <w:tcPr>
            <w:tcW w:w="823" w:type="dxa"/>
            <w:vAlign w:val="center"/>
          </w:tcPr>
          <w:p/>
        </w:tc>
        <w:tc>
          <w:tcPr>
            <w:tcW w:w="8161" w:type="dxa"/>
          </w:tcPr>
          <w:p>
            <w:pPr>
              <w:keepNext/>
              <w:adjustRightInd w:val="0"/>
              <w:snapToGrid w:val="0"/>
              <w:spacing w:line="360" w:lineRule="auto"/>
              <w:ind w:firstLine="480" w:firstLineChars="200"/>
              <w:jc w:val="left"/>
              <w:rPr>
                <w:bCs/>
                <w:sz w:val="24"/>
              </w:rPr>
            </w:pPr>
            <w:r>
              <w:rPr>
                <w:rFonts w:ascii="宋体" w:hAnsi="宋体" w:cs="宋体" w:hint="eastAsia"/>
                <w:bCs/>
                <w:sz w:val="24"/>
              </w:rPr>
              <w:t>⑦</w:t>
            </w:r>
            <w:r>
              <w:rPr>
                <w:bCs/>
                <w:sz w:val="24"/>
              </w:rPr>
              <w:t>中药煎煮及设备清洗用水：项目每天约为80人提供中药代煎服务，每次煎煮用水为 4L/次▪人，煎药过程不排水。每次煎药完成后需要进行清洗，每次煎药机清洗用水量为 2L，每天清洗80次。则中药煎煮及设备清洗用水量为0.48m</w:t>
            </w:r>
            <w:r>
              <w:rPr>
                <w:bCs/>
                <w:sz w:val="24"/>
                <w:vertAlign w:val="superscript"/>
              </w:rPr>
              <w:t>3</w:t>
            </w:r>
            <w:r>
              <w:rPr>
                <w:bCs/>
                <w:sz w:val="24"/>
              </w:rPr>
              <w:t>/d，175.2m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⑧</w:t>
            </w:r>
            <w:r>
              <w:rPr>
                <w:bCs/>
                <w:sz w:val="24"/>
              </w:rPr>
              <w:t>医疗废物运输设施和暂存间地面冲洗用水：医疗废物运输设施和暂存间需定期清洗，根据其他医院经验数据，清洗用水量为5m</w:t>
            </w:r>
            <w:r>
              <w:rPr>
                <w:bCs/>
                <w:sz w:val="24"/>
                <w:vertAlign w:val="superscript"/>
              </w:rPr>
              <w:t>3</w:t>
            </w:r>
            <w:r>
              <w:rPr>
                <w:bCs/>
                <w:sz w:val="24"/>
              </w:rPr>
              <w:t>/d，1825m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rFonts w:ascii="宋体" w:hAnsi="宋体" w:cs="宋体" w:hint="eastAsia"/>
                <w:bCs/>
                <w:sz w:val="24"/>
              </w:rPr>
              <w:t>⑨</w:t>
            </w:r>
            <w:r>
              <w:rPr>
                <w:bCs/>
                <w:sz w:val="24"/>
              </w:rPr>
              <w:t>检验室用水：检验室采用外购的成套试剂盒，试剂盒内配有分析和测定所需的全部试剂，使用时直接加入检验设备中，不需自制检验试剂。本项目绝大多数耗材（试管、滴管、量杯等）均为一次性用品，用过直接作为医疗废物处置，无重复利用。化验室用水主要是对化验室用过的非一次性容器、托盘及诊疗仪器设备进行清洗消毒，类比同规模医院运行情况，用水量约为0.4 m</w:t>
            </w:r>
            <w:r>
              <w:rPr>
                <w:bCs/>
                <w:sz w:val="24"/>
                <w:vertAlign w:val="superscript"/>
              </w:rPr>
              <w:t>3</w:t>
            </w:r>
            <w:r>
              <w:rPr>
                <w:bCs/>
                <w:sz w:val="24"/>
              </w:rPr>
              <w:t>/d，146m</w:t>
            </w:r>
            <w:r>
              <w:rPr>
                <w:bCs/>
                <w:sz w:val="24"/>
                <w:vertAlign w:val="superscript"/>
              </w:rPr>
              <w:t>3</w:t>
            </w:r>
            <w:r>
              <w:rPr>
                <w:bCs/>
                <w:sz w:val="24"/>
              </w:rPr>
              <w:t>/a。</w:t>
            </w:r>
          </w:p>
          <w:p>
            <w:pPr>
              <w:keepNext/>
              <w:adjustRightInd w:val="0"/>
              <w:snapToGrid w:val="0"/>
              <w:spacing w:line="360" w:lineRule="auto"/>
              <w:ind w:firstLine="480" w:firstLineChars="200"/>
              <w:jc w:val="left"/>
              <w:rPr>
                <w:bCs/>
                <w:sz w:val="24"/>
              </w:rPr>
            </w:pPr>
            <w:r>
              <w:rPr>
                <w:bCs/>
                <w:sz w:val="24"/>
              </w:rPr>
              <w:t>（2）排水</w:t>
            </w:r>
          </w:p>
          <w:p>
            <w:pPr>
              <w:keepNext/>
              <w:adjustRightInd w:val="0"/>
              <w:snapToGrid w:val="0"/>
              <w:spacing w:line="360" w:lineRule="auto"/>
              <w:ind w:firstLine="480" w:firstLineChars="200"/>
              <w:jc w:val="left"/>
              <w:rPr>
                <w:bCs/>
                <w:sz w:val="24"/>
              </w:rPr>
            </w:pPr>
            <w:r>
              <w:rPr>
                <w:bCs/>
                <w:sz w:val="24"/>
              </w:rPr>
              <w:t>项目排水采用雨污分流排水系统。</w:t>
            </w:r>
          </w:p>
          <w:p>
            <w:pPr>
              <w:keepNext/>
              <w:adjustRightInd w:val="0"/>
              <w:snapToGrid w:val="0"/>
              <w:spacing w:line="360" w:lineRule="auto"/>
              <w:ind w:firstLine="480" w:firstLineChars="200"/>
              <w:jc w:val="left"/>
              <w:rPr>
                <w:bCs/>
                <w:sz w:val="24"/>
              </w:rPr>
            </w:pPr>
            <w:r>
              <w:rPr>
                <w:bCs/>
                <w:sz w:val="24"/>
              </w:rPr>
              <w:t>雨水：雨水通过管网就近排入市政雨水管网。</w:t>
            </w:r>
          </w:p>
          <w:p>
            <w:pPr>
              <w:keepNext/>
              <w:adjustRightInd w:val="0"/>
              <w:snapToGrid w:val="0"/>
              <w:spacing w:line="360" w:lineRule="auto"/>
              <w:ind w:firstLine="480" w:firstLineChars="200"/>
              <w:jc w:val="left"/>
              <w:rPr>
                <w:bCs/>
                <w:sz w:val="24"/>
              </w:rPr>
            </w:pPr>
            <w:r>
              <w:rPr>
                <w:bCs/>
                <w:sz w:val="24"/>
              </w:rPr>
              <w:t>污水：项目产生的废水主要是养老院老人住院产生生活污水、养老院工作人员办公产生的生活污水、门诊废水、病房废水、医院医护人员办公产生的生活污水、食堂废水、中药煎煮及设备清洗废水、医疗废物运输设施和暂存间地面冲洗废水、检验室废水。</w:t>
            </w:r>
          </w:p>
          <w:p>
            <w:pPr>
              <w:keepNext/>
              <w:adjustRightInd w:val="0"/>
              <w:snapToGrid w:val="0"/>
              <w:spacing w:line="360" w:lineRule="auto"/>
              <w:ind w:firstLine="480" w:firstLineChars="200"/>
              <w:jc w:val="left"/>
              <w:rPr>
                <w:bCs/>
                <w:sz w:val="24"/>
              </w:rPr>
            </w:pPr>
            <w:r>
              <w:rPr>
                <w:bCs/>
                <w:sz w:val="24"/>
              </w:rPr>
              <w:t>医院产生的废水主要为门诊废水、病房废水、医院医护人员办公产生的生活污水、中药煎煮及设备清洗废水、医疗废物运输设施和暂存间地面冲洗废水、检验室废水；养老院产生的废水主要为养老院老人住院产生生活污水、养老院工作人员办公产生的生活污水。</w:t>
            </w:r>
          </w:p>
          <w:p>
            <w:pPr>
              <w:keepNext/>
              <w:adjustRightInd w:val="0"/>
              <w:snapToGrid w:val="0"/>
              <w:spacing w:line="360" w:lineRule="auto"/>
              <w:ind w:firstLine="480" w:firstLineChars="200"/>
              <w:jc w:val="left"/>
              <w:rPr>
                <w:bCs/>
                <w:sz w:val="24"/>
              </w:rPr>
            </w:pPr>
            <w:r>
              <w:rPr>
                <w:bCs/>
                <w:sz w:val="24"/>
              </w:rPr>
              <w:t>财富广场原有生活污水经化粪池处理后通过市政管网排入西安市第一污水处理厂，由于该楼建成时间较久，原有污水管网改造复杂困难，原有生活污水排放量较小，故在化粪池后新建污水处理站，将所有废水全都排入化粪池，然后再经过污水处理站处理。</w:t>
            </w:r>
          </w:p>
          <w:p>
            <w:pPr>
              <w:keepNext/>
              <w:adjustRightInd w:val="0"/>
              <w:snapToGrid w:val="0"/>
              <w:spacing w:after="0" w:line="360" w:lineRule="auto"/>
              <w:ind w:firstLine="480" w:firstLineChars="200"/>
              <w:jc w:val="left"/>
              <w:rPr>
                <w:bCs/>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https://d.book118.com/247000104164006053</w:t>
        </w:r>
      </w:hyperlink>
    </w:p>
    <w:p/>
    <w:sectPr>
      <w:headerReference w:type="default" r:id="rId21"/>
      <w:footerReference w:type="default" r:id="rId22"/>
      <w:type w:val="nextPage"/>
      <w:pgSz w:w="11906" w:h="16838"/>
      <w:pgMar w:top="1701" w:right="1531" w:bottom="1701" w:left="1531" w:header="851" w:footer="851" w:gutter="0"/>
      <w:pgNumType w:start="9"/>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2</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3</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5</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6</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7</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8</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9</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650ECC"/>
    <w:multiLevelType w:val="singleLevel"/>
    <w:tmpl w:val="53650ECC"/>
    <w:lvl w:ilvl="0">
      <w:start w:val="1"/>
      <w:numFmt w:val="upperLetter"/>
      <w:lvlText w:val="%1."/>
      <w:lvlJc w:val="left"/>
      <w:pPr>
        <w:tabs>
          <w:tab w:val="num"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attachedTemplate r:id="rId1"/>
  <w:stylePaneFormatFilter w:val="3F01"/>
  <w:documentProtection w:edit="trackedChanges" w:enforcement="0"/>
  <w:defaultTabStop w:val="420"/>
  <w:doNotHyphenateCaps/>
  <w:drawingGridVerticalSpacing w:val="156"/>
  <w:displayHorizontalDrawingGridEvery w:val="0"/>
  <w:displayVerticalDrawingGridEvery w:val="2"/>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06BA"/>
    <w:rsid w:val="00001AE9"/>
    <w:rsid w:val="00001E36"/>
    <w:rsid w:val="000021B1"/>
    <w:rsid w:val="00004F4C"/>
    <w:rsid w:val="0000544B"/>
    <w:rsid w:val="000060B3"/>
    <w:rsid w:val="00006559"/>
    <w:rsid w:val="000067F5"/>
    <w:rsid w:val="000110E6"/>
    <w:rsid w:val="00011DB3"/>
    <w:rsid w:val="00012677"/>
    <w:rsid w:val="00013730"/>
    <w:rsid w:val="00013987"/>
    <w:rsid w:val="000146E4"/>
    <w:rsid w:val="00014DE5"/>
    <w:rsid w:val="00014FE1"/>
    <w:rsid w:val="00016159"/>
    <w:rsid w:val="00021716"/>
    <w:rsid w:val="000221AB"/>
    <w:rsid w:val="00022668"/>
    <w:rsid w:val="00023533"/>
    <w:rsid w:val="00024E41"/>
    <w:rsid w:val="00025DB3"/>
    <w:rsid w:val="0002778D"/>
    <w:rsid w:val="00027B00"/>
    <w:rsid w:val="0003157A"/>
    <w:rsid w:val="000319FF"/>
    <w:rsid w:val="00033A43"/>
    <w:rsid w:val="00033BA5"/>
    <w:rsid w:val="00036ABB"/>
    <w:rsid w:val="00037368"/>
    <w:rsid w:val="0003756F"/>
    <w:rsid w:val="0004188A"/>
    <w:rsid w:val="0004364B"/>
    <w:rsid w:val="00043FEF"/>
    <w:rsid w:val="0004462F"/>
    <w:rsid w:val="0004480F"/>
    <w:rsid w:val="000471C1"/>
    <w:rsid w:val="000473B5"/>
    <w:rsid w:val="00047921"/>
    <w:rsid w:val="00051E9E"/>
    <w:rsid w:val="00053DA9"/>
    <w:rsid w:val="000619FD"/>
    <w:rsid w:val="00061B1F"/>
    <w:rsid w:val="00062751"/>
    <w:rsid w:val="00065F29"/>
    <w:rsid w:val="00067603"/>
    <w:rsid w:val="00072A53"/>
    <w:rsid w:val="000733C4"/>
    <w:rsid w:val="000735E0"/>
    <w:rsid w:val="000741FC"/>
    <w:rsid w:val="00074783"/>
    <w:rsid w:val="000756A7"/>
    <w:rsid w:val="00075BBD"/>
    <w:rsid w:val="000772D3"/>
    <w:rsid w:val="00077735"/>
    <w:rsid w:val="00080114"/>
    <w:rsid w:val="00080446"/>
    <w:rsid w:val="0008070B"/>
    <w:rsid w:val="00080C72"/>
    <w:rsid w:val="000810AC"/>
    <w:rsid w:val="000816EB"/>
    <w:rsid w:val="00081A02"/>
    <w:rsid w:val="00082231"/>
    <w:rsid w:val="00083400"/>
    <w:rsid w:val="00084C6A"/>
    <w:rsid w:val="000873A5"/>
    <w:rsid w:val="00087A52"/>
    <w:rsid w:val="00090094"/>
    <w:rsid w:val="0009168C"/>
    <w:rsid w:val="00092D38"/>
    <w:rsid w:val="0009377B"/>
    <w:rsid w:val="00094094"/>
    <w:rsid w:val="000946F0"/>
    <w:rsid w:val="0009500D"/>
    <w:rsid w:val="000960D6"/>
    <w:rsid w:val="000A10DB"/>
    <w:rsid w:val="000A18F6"/>
    <w:rsid w:val="000A20C9"/>
    <w:rsid w:val="000A21F5"/>
    <w:rsid w:val="000A23AF"/>
    <w:rsid w:val="000A319B"/>
    <w:rsid w:val="000A3EA8"/>
    <w:rsid w:val="000A629E"/>
    <w:rsid w:val="000A6817"/>
    <w:rsid w:val="000A7C7E"/>
    <w:rsid w:val="000B058F"/>
    <w:rsid w:val="000B0C0E"/>
    <w:rsid w:val="000B3755"/>
    <w:rsid w:val="000B37C1"/>
    <w:rsid w:val="000B39DD"/>
    <w:rsid w:val="000B3F1B"/>
    <w:rsid w:val="000B4467"/>
    <w:rsid w:val="000B4DB9"/>
    <w:rsid w:val="000B5B27"/>
    <w:rsid w:val="000B73F7"/>
    <w:rsid w:val="000C0288"/>
    <w:rsid w:val="000C07B1"/>
    <w:rsid w:val="000C09AC"/>
    <w:rsid w:val="000C2D46"/>
    <w:rsid w:val="000C2E08"/>
    <w:rsid w:val="000C39C9"/>
    <w:rsid w:val="000C4D9E"/>
    <w:rsid w:val="000C4FB0"/>
    <w:rsid w:val="000C59A3"/>
    <w:rsid w:val="000C767F"/>
    <w:rsid w:val="000D03DC"/>
    <w:rsid w:val="000D0473"/>
    <w:rsid w:val="000D0897"/>
    <w:rsid w:val="000D2D69"/>
    <w:rsid w:val="000D3359"/>
    <w:rsid w:val="000D33B4"/>
    <w:rsid w:val="000D33CB"/>
    <w:rsid w:val="000D5845"/>
    <w:rsid w:val="000D5A44"/>
    <w:rsid w:val="000E2095"/>
    <w:rsid w:val="000E36B6"/>
    <w:rsid w:val="000E3ED2"/>
    <w:rsid w:val="000E4442"/>
    <w:rsid w:val="000E63EF"/>
    <w:rsid w:val="000E7632"/>
    <w:rsid w:val="000E7C67"/>
    <w:rsid w:val="000F142E"/>
    <w:rsid w:val="000F1844"/>
    <w:rsid w:val="000F2ABE"/>
    <w:rsid w:val="000F4166"/>
    <w:rsid w:val="000F46C7"/>
    <w:rsid w:val="000F6F61"/>
    <w:rsid w:val="001035B2"/>
    <w:rsid w:val="00105097"/>
    <w:rsid w:val="00105CEE"/>
    <w:rsid w:val="00106BC2"/>
    <w:rsid w:val="00110C34"/>
    <w:rsid w:val="00110CBC"/>
    <w:rsid w:val="00111E3B"/>
    <w:rsid w:val="00112C65"/>
    <w:rsid w:val="00115681"/>
    <w:rsid w:val="00115896"/>
    <w:rsid w:val="00116804"/>
    <w:rsid w:val="00117674"/>
    <w:rsid w:val="00123547"/>
    <w:rsid w:val="00123D9F"/>
    <w:rsid w:val="00124077"/>
    <w:rsid w:val="00125E94"/>
    <w:rsid w:val="00126E91"/>
    <w:rsid w:val="00127392"/>
    <w:rsid w:val="00127CF6"/>
    <w:rsid w:val="00131F42"/>
    <w:rsid w:val="00132CBE"/>
    <w:rsid w:val="0013386C"/>
    <w:rsid w:val="001349D8"/>
    <w:rsid w:val="001357F1"/>
    <w:rsid w:val="00137716"/>
    <w:rsid w:val="00137923"/>
    <w:rsid w:val="00137CBF"/>
    <w:rsid w:val="0014008B"/>
    <w:rsid w:val="00140FA8"/>
    <w:rsid w:val="00142B15"/>
    <w:rsid w:val="00142CFE"/>
    <w:rsid w:val="00142FEB"/>
    <w:rsid w:val="00143290"/>
    <w:rsid w:val="001432E9"/>
    <w:rsid w:val="001436E4"/>
    <w:rsid w:val="00143857"/>
    <w:rsid w:val="00143A2D"/>
    <w:rsid w:val="001441C1"/>
    <w:rsid w:val="00145A41"/>
    <w:rsid w:val="001509F2"/>
    <w:rsid w:val="00151675"/>
    <w:rsid w:val="00152B18"/>
    <w:rsid w:val="00152E4A"/>
    <w:rsid w:val="0015384D"/>
    <w:rsid w:val="001545A2"/>
    <w:rsid w:val="00157432"/>
    <w:rsid w:val="00157435"/>
    <w:rsid w:val="0015793A"/>
    <w:rsid w:val="001600C2"/>
    <w:rsid w:val="00160715"/>
    <w:rsid w:val="0016114F"/>
    <w:rsid w:val="00161BF0"/>
    <w:rsid w:val="00161E83"/>
    <w:rsid w:val="001645D3"/>
    <w:rsid w:val="00164E47"/>
    <w:rsid w:val="001652F7"/>
    <w:rsid w:val="00165534"/>
    <w:rsid w:val="0016719B"/>
    <w:rsid w:val="001702BB"/>
    <w:rsid w:val="001738F8"/>
    <w:rsid w:val="0017504D"/>
    <w:rsid w:val="0017632F"/>
    <w:rsid w:val="0017671A"/>
    <w:rsid w:val="001769D1"/>
    <w:rsid w:val="00176C8A"/>
    <w:rsid w:val="00176EE2"/>
    <w:rsid w:val="00176F98"/>
    <w:rsid w:val="00177422"/>
    <w:rsid w:val="001815B5"/>
    <w:rsid w:val="001826E1"/>
    <w:rsid w:val="00184590"/>
    <w:rsid w:val="00185D86"/>
    <w:rsid w:val="001870D1"/>
    <w:rsid w:val="0018781E"/>
    <w:rsid w:val="0018786E"/>
    <w:rsid w:val="001913E5"/>
    <w:rsid w:val="001924B0"/>
    <w:rsid w:val="0019262D"/>
    <w:rsid w:val="001961BB"/>
    <w:rsid w:val="001967E4"/>
    <w:rsid w:val="00197705"/>
    <w:rsid w:val="001A04EB"/>
    <w:rsid w:val="001A1B35"/>
    <w:rsid w:val="001A35B8"/>
    <w:rsid w:val="001A3753"/>
    <w:rsid w:val="001A4143"/>
    <w:rsid w:val="001A48A2"/>
    <w:rsid w:val="001A5166"/>
    <w:rsid w:val="001A55B7"/>
    <w:rsid w:val="001A5841"/>
    <w:rsid w:val="001A65D9"/>
    <w:rsid w:val="001A6F61"/>
    <w:rsid w:val="001A7268"/>
    <w:rsid w:val="001A7872"/>
    <w:rsid w:val="001A7901"/>
    <w:rsid w:val="001B3BCF"/>
    <w:rsid w:val="001B487B"/>
    <w:rsid w:val="001B70B6"/>
    <w:rsid w:val="001B72B8"/>
    <w:rsid w:val="001C20DC"/>
    <w:rsid w:val="001C2205"/>
    <w:rsid w:val="001C2748"/>
    <w:rsid w:val="001C3352"/>
    <w:rsid w:val="001C3732"/>
    <w:rsid w:val="001C51B6"/>
    <w:rsid w:val="001C6678"/>
    <w:rsid w:val="001C69B3"/>
    <w:rsid w:val="001C6D9A"/>
    <w:rsid w:val="001D022E"/>
    <w:rsid w:val="001D08A7"/>
    <w:rsid w:val="001D1454"/>
    <w:rsid w:val="001D180E"/>
    <w:rsid w:val="001D24E6"/>
    <w:rsid w:val="001D431B"/>
    <w:rsid w:val="001D4411"/>
    <w:rsid w:val="001D5595"/>
    <w:rsid w:val="001D5B87"/>
    <w:rsid w:val="001D69A9"/>
    <w:rsid w:val="001D7874"/>
    <w:rsid w:val="001D7F22"/>
    <w:rsid w:val="001D7F9E"/>
    <w:rsid w:val="001E402B"/>
    <w:rsid w:val="001E411D"/>
    <w:rsid w:val="001E48B2"/>
    <w:rsid w:val="001E64C8"/>
    <w:rsid w:val="001E7E96"/>
    <w:rsid w:val="001F0F17"/>
    <w:rsid w:val="001F1397"/>
    <w:rsid w:val="001F2EA0"/>
    <w:rsid w:val="001F3347"/>
    <w:rsid w:val="001F33AF"/>
    <w:rsid w:val="001F3E0C"/>
    <w:rsid w:val="001F440D"/>
    <w:rsid w:val="001F4D84"/>
    <w:rsid w:val="001F5FF3"/>
    <w:rsid w:val="001F64C9"/>
    <w:rsid w:val="001F69E4"/>
    <w:rsid w:val="001F7241"/>
    <w:rsid w:val="00200F8B"/>
    <w:rsid w:val="00201CC9"/>
    <w:rsid w:val="00202516"/>
    <w:rsid w:val="00202B52"/>
    <w:rsid w:val="00204B35"/>
    <w:rsid w:val="00205056"/>
    <w:rsid w:val="002058E6"/>
    <w:rsid w:val="00207329"/>
    <w:rsid w:val="00207C22"/>
    <w:rsid w:val="00210E94"/>
    <w:rsid w:val="002114F4"/>
    <w:rsid w:val="002125B4"/>
    <w:rsid w:val="002155B8"/>
    <w:rsid w:val="00216427"/>
    <w:rsid w:val="00216CB5"/>
    <w:rsid w:val="00220CCE"/>
    <w:rsid w:val="002219FD"/>
    <w:rsid w:val="00221A79"/>
    <w:rsid w:val="00222E98"/>
    <w:rsid w:val="00223C2D"/>
    <w:rsid w:val="00224839"/>
    <w:rsid w:val="00224844"/>
    <w:rsid w:val="002249B2"/>
    <w:rsid w:val="00225D6C"/>
    <w:rsid w:val="00226574"/>
    <w:rsid w:val="00226AE9"/>
    <w:rsid w:val="002278EC"/>
    <w:rsid w:val="00231C80"/>
    <w:rsid w:val="0023280E"/>
    <w:rsid w:val="00232BD6"/>
    <w:rsid w:val="00233ED4"/>
    <w:rsid w:val="0023417D"/>
    <w:rsid w:val="002342F4"/>
    <w:rsid w:val="002377D1"/>
    <w:rsid w:val="002430E9"/>
    <w:rsid w:val="002443F0"/>
    <w:rsid w:val="00245225"/>
    <w:rsid w:val="00245283"/>
    <w:rsid w:val="0024562A"/>
    <w:rsid w:val="00246290"/>
    <w:rsid w:val="00246584"/>
    <w:rsid w:val="00246EDF"/>
    <w:rsid w:val="002475D6"/>
    <w:rsid w:val="00247F9B"/>
    <w:rsid w:val="002506BC"/>
    <w:rsid w:val="0025257A"/>
    <w:rsid w:val="00253C00"/>
    <w:rsid w:val="00253F14"/>
    <w:rsid w:val="00254345"/>
    <w:rsid w:val="00254570"/>
    <w:rsid w:val="00255916"/>
    <w:rsid w:val="00256C39"/>
    <w:rsid w:val="00257217"/>
    <w:rsid w:val="00261D3C"/>
    <w:rsid w:val="00263F06"/>
    <w:rsid w:val="00264557"/>
    <w:rsid w:val="0026494C"/>
    <w:rsid w:val="00264A9E"/>
    <w:rsid w:val="00265A1C"/>
    <w:rsid w:val="00266711"/>
    <w:rsid w:val="0026764D"/>
    <w:rsid w:val="00270D76"/>
    <w:rsid w:val="00270E7C"/>
    <w:rsid w:val="00270FBE"/>
    <w:rsid w:val="00271345"/>
    <w:rsid w:val="0027163A"/>
    <w:rsid w:val="002717C0"/>
    <w:rsid w:val="0027344F"/>
    <w:rsid w:val="00274EE3"/>
    <w:rsid w:val="002774AD"/>
    <w:rsid w:val="002805AB"/>
    <w:rsid w:val="00280D79"/>
    <w:rsid w:val="0028181C"/>
    <w:rsid w:val="00282805"/>
    <w:rsid w:val="00283C8F"/>
    <w:rsid w:val="00284204"/>
    <w:rsid w:val="00284677"/>
    <w:rsid w:val="00284C18"/>
    <w:rsid w:val="002860D6"/>
    <w:rsid w:val="00286F22"/>
    <w:rsid w:val="002872C7"/>
    <w:rsid w:val="00287812"/>
    <w:rsid w:val="002904C2"/>
    <w:rsid w:val="00291773"/>
    <w:rsid w:val="002938F7"/>
    <w:rsid w:val="00294118"/>
    <w:rsid w:val="002942D0"/>
    <w:rsid w:val="0029508D"/>
    <w:rsid w:val="00295BAD"/>
    <w:rsid w:val="00295DA4"/>
    <w:rsid w:val="002A0E07"/>
    <w:rsid w:val="002A1433"/>
    <w:rsid w:val="002A168C"/>
    <w:rsid w:val="002A16CF"/>
    <w:rsid w:val="002A1A8F"/>
    <w:rsid w:val="002A1CB7"/>
    <w:rsid w:val="002A3DC7"/>
    <w:rsid w:val="002A3F10"/>
    <w:rsid w:val="002A40C5"/>
    <w:rsid w:val="002A5F24"/>
    <w:rsid w:val="002B071A"/>
    <w:rsid w:val="002B0CB1"/>
    <w:rsid w:val="002B0FF5"/>
    <w:rsid w:val="002B14F5"/>
    <w:rsid w:val="002B1510"/>
    <w:rsid w:val="002B1DC0"/>
    <w:rsid w:val="002B2332"/>
    <w:rsid w:val="002B2D3E"/>
    <w:rsid w:val="002B3FF1"/>
    <w:rsid w:val="002B49E2"/>
    <w:rsid w:val="002B4B90"/>
    <w:rsid w:val="002B515B"/>
    <w:rsid w:val="002B66D9"/>
    <w:rsid w:val="002B7B00"/>
    <w:rsid w:val="002B7C44"/>
    <w:rsid w:val="002B7EA7"/>
    <w:rsid w:val="002C272D"/>
    <w:rsid w:val="002C2B17"/>
    <w:rsid w:val="002C4C0B"/>
    <w:rsid w:val="002C51D9"/>
    <w:rsid w:val="002D00C4"/>
    <w:rsid w:val="002D1717"/>
    <w:rsid w:val="002D3B07"/>
    <w:rsid w:val="002D3DD0"/>
    <w:rsid w:val="002D3EB6"/>
    <w:rsid w:val="002D44E3"/>
    <w:rsid w:val="002D44E4"/>
    <w:rsid w:val="002D6C92"/>
    <w:rsid w:val="002D74BA"/>
    <w:rsid w:val="002E0252"/>
    <w:rsid w:val="002E0E5D"/>
    <w:rsid w:val="002E1B09"/>
    <w:rsid w:val="002E1F3A"/>
    <w:rsid w:val="002E1F85"/>
    <w:rsid w:val="002E25B7"/>
    <w:rsid w:val="002E298A"/>
    <w:rsid w:val="002E2AA2"/>
    <w:rsid w:val="002E3EBD"/>
    <w:rsid w:val="002E4921"/>
    <w:rsid w:val="002E4B5C"/>
    <w:rsid w:val="002E55F9"/>
    <w:rsid w:val="002E6EA6"/>
    <w:rsid w:val="002E70B3"/>
    <w:rsid w:val="002F03CE"/>
    <w:rsid w:val="002F1125"/>
    <w:rsid w:val="002F1B3A"/>
    <w:rsid w:val="002F3E42"/>
    <w:rsid w:val="002F590A"/>
    <w:rsid w:val="002F7014"/>
    <w:rsid w:val="002F7DF3"/>
    <w:rsid w:val="003013AB"/>
    <w:rsid w:val="00301978"/>
    <w:rsid w:val="003024E5"/>
    <w:rsid w:val="0030332C"/>
    <w:rsid w:val="003051C2"/>
    <w:rsid w:val="00305DE7"/>
    <w:rsid w:val="00305F9C"/>
    <w:rsid w:val="00312296"/>
    <w:rsid w:val="00312D0D"/>
    <w:rsid w:val="00313887"/>
    <w:rsid w:val="00314F0E"/>
    <w:rsid w:val="003173F0"/>
    <w:rsid w:val="00317A72"/>
    <w:rsid w:val="0032068A"/>
    <w:rsid w:val="00320960"/>
    <w:rsid w:val="00321D8E"/>
    <w:rsid w:val="00322495"/>
    <w:rsid w:val="00322C9C"/>
    <w:rsid w:val="00324267"/>
    <w:rsid w:val="003253F4"/>
    <w:rsid w:val="00325928"/>
    <w:rsid w:val="00326A09"/>
    <w:rsid w:val="00330D71"/>
    <w:rsid w:val="00331C1F"/>
    <w:rsid w:val="00332863"/>
    <w:rsid w:val="003329F9"/>
    <w:rsid w:val="00332E4C"/>
    <w:rsid w:val="00333099"/>
    <w:rsid w:val="003338F1"/>
    <w:rsid w:val="0033473A"/>
    <w:rsid w:val="003354A6"/>
    <w:rsid w:val="00336335"/>
    <w:rsid w:val="0033684D"/>
    <w:rsid w:val="00336A38"/>
    <w:rsid w:val="00336A3A"/>
    <w:rsid w:val="00337084"/>
    <w:rsid w:val="00337B42"/>
    <w:rsid w:val="003418E9"/>
    <w:rsid w:val="00341B42"/>
    <w:rsid w:val="00342165"/>
    <w:rsid w:val="00342C36"/>
    <w:rsid w:val="0034348F"/>
    <w:rsid w:val="00343CD0"/>
    <w:rsid w:val="00344ED4"/>
    <w:rsid w:val="0034547C"/>
    <w:rsid w:val="003458AA"/>
    <w:rsid w:val="00346803"/>
    <w:rsid w:val="00352390"/>
    <w:rsid w:val="003552B6"/>
    <w:rsid w:val="00356354"/>
    <w:rsid w:val="00356653"/>
    <w:rsid w:val="0035743F"/>
    <w:rsid w:val="00357BE2"/>
    <w:rsid w:val="00360DD4"/>
    <w:rsid w:val="0036170C"/>
    <w:rsid w:val="00361DED"/>
    <w:rsid w:val="00363A26"/>
    <w:rsid w:val="003667A1"/>
    <w:rsid w:val="00366E0F"/>
    <w:rsid w:val="0036783D"/>
    <w:rsid w:val="00371E6F"/>
    <w:rsid w:val="003742C1"/>
    <w:rsid w:val="003753FB"/>
    <w:rsid w:val="00376C6F"/>
    <w:rsid w:val="00376C73"/>
    <w:rsid w:val="00380F70"/>
    <w:rsid w:val="003810D4"/>
    <w:rsid w:val="00381A72"/>
    <w:rsid w:val="00384676"/>
    <w:rsid w:val="003867D5"/>
    <w:rsid w:val="00386D9B"/>
    <w:rsid w:val="0038780B"/>
    <w:rsid w:val="00387CD5"/>
    <w:rsid w:val="003903CE"/>
    <w:rsid w:val="00390857"/>
    <w:rsid w:val="003911A1"/>
    <w:rsid w:val="003911E4"/>
    <w:rsid w:val="00391781"/>
    <w:rsid w:val="003922B7"/>
    <w:rsid w:val="00393972"/>
    <w:rsid w:val="003962DE"/>
    <w:rsid w:val="00396D55"/>
    <w:rsid w:val="0039755E"/>
    <w:rsid w:val="003A2E36"/>
    <w:rsid w:val="003A4BF3"/>
    <w:rsid w:val="003A70A6"/>
    <w:rsid w:val="003A79CC"/>
    <w:rsid w:val="003A7B5C"/>
    <w:rsid w:val="003B420D"/>
    <w:rsid w:val="003B49BE"/>
    <w:rsid w:val="003B4ABD"/>
    <w:rsid w:val="003B4FD5"/>
    <w:rsid w:val="003C107C"/>
    <w:rsid w:val="003C3791"/>
    <w:rsid w:val="003C6901"/>
    <w:rsid w:val="003C6C16"/>
    <w:rsid w:val="003D41CC"/>
    <w:rsid w:val="003D5ACE"/>
    <w:rsid w:val="003D644C"/>
    <w:rsid w:val="003D794D"/>
    <w:rsid w:val="003D7C4F"/>
    <w:rsid w:val="003E1830"/>
    <w:rsid w:val="003E3058"/>
    <w:rsid w:val="003E48E2"/>
    <w:rsid w:val="003E4C69"/>
    <w:rsid w:val="003E5230"/>
    <w:rsid w:val="003E5EEC"/>
    <w:rsid w:val="003E5F0C"/>
    <w:rsid w:val="003E76A9"/>
    <w:rsid w:val="003F0461"/>
    <w:rsid w:val="003F0809"/>
    <w:rsid w:val="003F2E7C"/>
    <w:rsid w:val="003F2FEB"/>
    <w:rsid w:val="003F3161"/>
    <w:rsid w:val="003F3836"/>
    <w:rsid w:val="003F42CD"/>
    <w:rsid w:val="003F47ED"/>
    <w:rsid w:val="003F4A59"/>
    <w:rsid w:val="003F6A8C"/>
    <w:rsid w:val="003F6D0E"/>
    <w:rsid w:val="003F755C"/>
    <w:rsid w:val="003F7BE4"/>
    <w:rsid w:val="00400855"/>
    <w:rsid w:val="00400F32"/>
    <w:rsid w:val="00401103"/>
    <w:rsid w:val="0040283F"/>
    <w:rsid w:val="004046D1"/>
    <w:rsid w:val="0040687C"/>
    <w:rsid w:val="00406F01"/>
    <w:rsid w:val="00407146"/>
    <w:rsid w:val="00407CC9"/>
    <w:rsid w:val="004101F9"/>
    <w:rsid w:val="0041026C"/>
    <w:rsid w:val="00410744"/>
    <w:rsid w:val="004111B3"/>
    <w:rsid w:val="00411680"/>
    <w:rsid w:val="00412BF7"/>
    <w:rsid w:val="004142C9"/>
    <w:rsid w:val="00414C67"/>
    <w:rsid w:val="00416D50"/>
    <w:rsid w:val="00416FD5"/>
    <w:rsid w:val="00417772"/>
    <w:rsid w:val="00417780"/>
    <w:rsid w:val="00420E6A"/>
    <w:rsid w:val="004251FB"/>
    <w:rsid w:val="00425A9E"/>
    <w:rsid w:val="00426D6B"/>
    <w:rsid w:val="00426DBA"/>
    <w:rsid w:val="00427A01"/>
    <w:rsid w:val="00431E6C"/>
    <w:rsid w:val="004332A5"/>
    <w:rsid w:val="00433CE7"/>
    <w:rsid w:val="00434791"/>
    <w:rsid w:val="00434B35"/>
    <w:rsid w:val="00435B78"/>
    <w:rsid w:val="00437185"/>
    <w:rsid w:val="00437CE7"/>
    <w:rsid w:val="00441A4E"/>
    <w:rsid w:val="00442BDC"/>
    <w:rsid w:val="00444AD0"/>
    <w:rsid w:val="004452F2"/>
    <w:rsid w:val="004465CA"/>
    <w:rsid w:val="00446B32"/>
    <w:rsid w:val="004476B9"/>
    <w:rsid w:val="004501A3"/>
    <w:rsid w:val="004507A8"/>
    <w:rsid w:val="00452738"/>
    <w:rsid w:val="00454136"/>
    <w:rsid w:val="0045475A"/>
    <w:rsid w:val="0045489F"/>
    <w:rsid w:val="00454AE5"/>
    <w:rsid w:val="004550F7"/>
    <w:rsid w:val="0045530C"/>
    <w:rsid w:val="00456091"/>
    <w:rsid w:val="00457E2B"/>
    <w:rsid w:val="004608C2"/>
    <w:rsid w:val="00461215"/>
    <w:rsid w:val="00463782"/>
    <w:rsid w:val="00466321"/>
    <w:rsid w:val="00467BA9"/>
    <w:rsid w:val="00470C2D"/>
    <w:rsid w:val="00471480"/>
    <w:rsid w:val="004726DE"/>
    <w:rsid w:val="00474491"/>
    <w:rsid w:val="00474580"/>
    <w:rsid w:val="004747EC"/>
    <w:rsid w:val="004758CC"/>
    <w:rsid w:val="00476390"/>
    <w:rsid w:val="00476543"/>
    <w:rsid w:val="00480EE1"/>
    <w:rsid w:val="00481D99"/>
    <w:rsid w:val="00484B9B"/>
    <w:rsid w:val="004855F6"/>
    <w:rsid w:val="0048661E"/>
    <w:rsid w:val="00487236"/>
    <w:rsid w:val="00494670"/>
    <w:rsid w:val="00494BB4"/>
    <w:rsid w:val="00495740"/>
    <w:rsid w:val="00496315"/>
    <w:rsid w:val="00496C87"/>
    <w:rsid w:val="00497AE8"/>
    <w:rsid w:val="004A0401"/>
    <w:rsid w:val="004A1E97"/>
    <w:rsid w:val="004A2988"/>
    <w:rsid w:val="004A3531"/>
    <w:rsid w:val="004A3823"/>
    <w:rsid w:val="004A3F34"/>
    <w:rsid w:val="004A6689"/>
    <w:rsid w:val="004A6CEC"/>
    <w:rsid w:val="004A6E42"/>
    <w:rsid w:val="004B08EC"/>
    <w:rsid w:val="004B139B"/>
    <w:rsid w:val="004B1CD1"/>
    <w:rsid w:val="004B21F4"/>
    <w:rsid w:val="004B2A99"/>
    <w:rsid w:val="004B3C2B"/>
    <w:rsid w:val="004B5711"/>
    <w:rsid w:val="004B7370"/>
    <w:rsid w:val="004C3761"/>
    <w:rsid w:val="004C3C0F"/>
    <w:rsid w:val="004C4EDF"/>
    <w:rsid w:val="004C5700"/>
    <w:rsid w:val="004C593E"/>
    <w:rsid w:val="004C67C2"/>
    <w:rsid w:val="004C67CD"/>
    <w:rsid w:val="004C6D95"/>
    <w:rsid w:val="004D23C8"/>
    <w:rsid w:val="004D3E9F"/>
    <w:rsid w:val="004D7544"/>
    <w:rsid w:val="004E0680"/>
    <w:rsid w:val="004E0CF8"/>
    <w:rsid w:val="004E28BA"/>
    <w:rsid w:val="004E48E0"/>
    <w:rsid w:val="004E57A3"/>
    <w:rsid w:val="004E6946"/>
    <w:rsid w:val="004F0C75"/>
    <w:rsid w:val="004F1AD8"/>
    <w:rsid w:val="004F25F6"/>
    <w:rsid w:val="004F28F5"/>
    <w:rsid w:val="004F2D69"/>
    <w:rsid w:val="004F60E3"/>
    <w:rsid w:val="004F7272"/>
    <w:rsid w:val="0050055F"/>
    <w:rsid w:val="005039CB"/>
    <w:rsid w:val="00504723"/>
    <w:rsid w:val="0050558F"/>
    <w:rsid w:val="00505DED"/>
    <w:rsid w:val="00506286"/>
    <w:rsid w:val="00506623"/>
    <w:rsid w:val="00510813"/>
    <w:rsid w:val="00511990"/>
    <w:rsid w:val="00511DE0"/>
    <w:rsid w:val="00514870"/>
    <w:rsid w:val="00514B9B"/>
    <w:rsid w:val="00514D0D"/>
    <w:rsid w:val="0051554D"/>
    <w:rsid w:val="005164ED"/>
    <w:rsid w:val="00517F02"/>
    <w:rsid w:val="005200EC"/>
    <w:rsid w:val="00520C68"/>
    <w:rsid w:val="00522842"/>
    <w:rsid w:val="00524111"/>
    <w:rsid w:val="00524303"/>
    <w:rsid w:val="005258A2"/>
    <w:rsid w:val="005313E1"/>
    <w:rsid w:val="00531B75"/>
    <w:rsid w:val="00533FC4"/>
    <w:rsid w:val="005348C2"/>
    <w:rsid w:val="00536E40"/>
    <w:rsid w:val="005401AE"/>
    <w:rsid w:val="005423B1"/>
    <w:rsid w:val="00542698"/>
    <w:rsid w:val="00542E03"/>
    <w:rsid w:val="00542E07"/>
    <w:rsid w:val="00543D23"/>
    <w:rsid w:val="005445CE"/>
    <w:rsid w:val="00544E87"/>
    <w:rsid w:val="00545424"/>
    <w:rsid w:val="00545EB5"/>
    <w:rsid w:val="005463BB"/>
    <w:rsid w:val="0054774B"/>
    <w:rsid w:val="00554A7B"/>
    <w:rsid w:val="0055572C"/>
    <w:rsid w:val="00555D47"/>
    <w:rsid w:val="00557D5F"/>
    <w:rsid w:val="0056106A"/>
    <w:rsid w:val="00561E88"/>
    <w:rsid w:val="005631D2"/>
    <w:rsid w:val="00570A55"/>
    <w:rsid w:val="0057137C"/>
    <w:rsid w:val="00571822"/>
    <w:rsid w:val="005720AE"/>
    <w:rsid w:val="00572CCA"/>
    <w:rsid w:val="00575715"/>
    <w:rsid w:val="00575E9D"/>
    <w:rsid w:val="0057612E"/>
    <w:rsid w:val="005769D3"/>
    <w:rsid w:val="005814CF"/>
    <w:rsid w:val="005816EF"/>
    <w:rsid w:val="00581C4D"/>
    <w:rsid w:val="0058361B"/>
    <w:rsid w:val="005848F1"/>
    <w:rsid w:val="00584DE2"/>
    <w:rsid w:val="00585C92"/>
    <w:rsid w:val="00585F19"/>
    <w:rsid w:val="00586496"/>
    <w:rsid w:val="0058690D"/>
    <w:rsid w:val="00587F24"/>
    <w:rsid w:val="005926B0"/>
    <w:rsid w:val="005932DA"/>
    <w:rsid w:val="00594D77"/>
    <w:rsid w:val="0059513C"/>
    <w:rsid w:val="00595E7F"/>
    <w:rsid w:val="0059611A"/>
    <w:rsid w:val="00596128"/>
    <w:rsid w:val="00596416"/>
    <w:rsid w:val="005969E4"/>
    <w:rsid w:val="00596B11"/>
    <w:rsid w:val="0059726B"/>
    <w:rsid w:val="005973D1"/>
    <w:rsid w:val="005A06B7"/>
    <w:rsid w:val="005A1759"/>
    <w:rsid w:val="005A39D3"/>
    <w:rsid w:val="005A4E39"/>
    <w:rsid w:val="005A68A7"/>
    <w:rsid w:val="005B001F"/>
    <w:rsid w:val="005B14C7"/>
    <w:rsid w:val="005B400E"/>
    <w:rsid w:val="005B65E9"/>
    <w:rsid w:val="005B6AA5"/>
    <w:rsid w:val="005B7B51"/>
    <w:rsid w:val="005C01B8"/>
    <w:rsid w:val="005C0274"/>
    <w:rsid w:val="005C2932"/>
    <w:rsid w:val="005C3877"/>
    <w:rsid w:val="005C489E"/>
    <w:rsid w:val="005C6CEF"/>
    <w:rsid w:val="005D05EC"/>
    <w:rsid w:val="005D24DD"/>
    <w:rsid w:val="005D36AB"/>
    <w:rsid w:val="005D46F0"/>
    <w:rsid w:val="005D54D2"/>
    <w:rsid w:val="005D57AA"/>
    <w:rsid w:val="005D79D4"/>
    <w:rsid w:val="005E1455"/>
    <w:rsid w:val="005E376C"/>
    <w:rsid w:val="005E6D2B"/>
    <w:rsid w:val="005F0893"/>
    <w:rsid w:val="005F0901"/>
    <w:rsid w:val="005F2134"/>
    <w:rsid w:val="005F2C74"/>
    <w:rsid w:val="005F4A91"/>
    <w:rsid w:val="005F4FC0"/>
    <w:rsid w:val="005F562D"/>
    <w:rsid w:val="005F5634"/>
    <w:rsid w:val="005F691E"/>
    <w:rsid w:val="005F7F10"/>
    <w:rsid w:val="00600049"/>
    <w:rsid w:val="00601515"/>
    <w:rsid w:val="00601924"/>
    <w:rsid w:val="006020EA"/>
    <w:rsid w:val="0060479E"/>
    <w:rsid w:val="00604F11"/>
    <w:rsid w:val="00605481"/>
    <w:rsid w:val="00612A03"/>
    <w:rsid w:val="00614770"/>
    <w:rsid w:val="00617CC3"/>
    <w:rsid w:val="00621879"/>
    <w:rsid w:val="006228F5"/>
    <w:rsid w:val="00623513"/>
    <w:rsid w:val="00627532"/>
    <w:rsid w:val="00627D38"/>
    <w:rsid w:val="00634F4F"/>
    <w:rsid w:val="006376FB"/>
    <w:rsid w:val="006377A6"/>
    <w:rsid w:val="006379EE"/>
    <w:rsid w:val="00637A3D"/>
    <w:rsid w:val="006411EF"/>
    <w:rsid w:val="006439BF"/>
    <w:rsid w:val="00644604"/>
    <w:rsid w:val="00644F4B"/>
    <w:rsid w:val="006478A6"/>
    <w:rsid w:val="00650D4D"/>
    <w:rsid w:val="00651C96"/>
    <w:rsid w:val="006523BC"/>
    <w:rsid w:val="006524A3"/>
    <w:rsid w:val="00654C6A"/>
    <w:rsid w:val="00654D14"/>
    <w:rsid w:val="00655344"/>
    <w:rsid w:val="0065717B"/>
    <w:rsid w:val="00657668"/>
    <w:rsid w:val="0066036A"/>
    <w:rsid w:val="00662ED0"/>
    <w:rsid w:val="00663458"/>
    <w:rsid w:val="00664D16"/>
    <w:rsid w:val="006667C5"/>
    <w:rsid w:val="006704FC"/>
    <w:rsid w:val="00671FE7"/>
    <w:rsid w:val="00672ED1"/>
    <w:rsid w:val="006748B8"/>
    <w:rsid w:val="00675914"/>
    <w:rsid w:val="006775C3"/>
    <w:rsid w:val="00686B6B"/>
    <w:rsid w:val="006873E1"/>
    <w:rsid w:val="00687E39"/>
    <w:rsid w:val="00691789"/>
    <w:rsid w:val="0069290A"/>
    <w:rsid w:val="00692A7D"/>
    <w:rsid w:val="00695BCD"/>
    <w:rsid w:val="006963ED"/>
    <w:rsid w:val="00696E00"/>
    <w:rsid w:val="0069775A"/>
    <w:rsid w:val="00697813"/>
    <w:rsid w:val="006A3444"/>
    <w:rsid w:val="006A3EE8"/>
    <w:rsid w:val="006A606B"/>
    <w:rsid w:val="006A62D1"/>
    <w:rsid w:val="006A663C"/>
    <w:rsid w:val="006A72BF"/>
    <w:rsid w:val="006A7CD3"/>
    <w:rsid w:val="006B03F2"/>
    <w:rsid w:val="006B2194"/>
    <w:rsid w:val="006B23A5"/>
    <w:rsid w:val="006B37DC"/>
    <w:rsid w:val="006B3C1D"/>
    <w:rsid w:val="006B4272"/>
    <w:rsid w:val="006B4F68"/>
    <w:rsid w:val="006B566B"/>
    <w:rsid w:val="006B71E9"/>
    <w:rsid w:val="006B74DD"/>
    <w:rsid w:val="006B78D4"/>
    <w:rsid w:val="006C0592"/>
    <w:rsid w:val="006C0DCE"/>
    <w:rsid w:val="006C23C5"/>
    <w:rsid w:val="006C272E"/>
    <w:rsid w:val="006C2C62"/>
    <w:rsid w:val="006C336F"/>
    <w:rsid w:val="006C365A"/>
    <w:rsid w:val="006C37B6"/>
    <w:rsid w:val="006C37E8"/>
    <w:rsid w:val="006C4043"/>
    <w:rsid w:val="006C4435"/>
    <w:rsid w:val="006C5479"/>
    <w:rsid w:val="006C56E4"/>
    <w:rsid w:val="006D0086"/>
    <w:rsid w:val="006D0DF7"/>
    <w:rsid w:val="006D13B5"/>
    <w:rsid w:val="006D1454"/>
    <w:rsid w:val="006D3E95"/>
    <w:rsid w:val="006D4741"/>
    <w:rsid w:val="006D4B3F"/>
    <w:rsid w:val="006E03F1"/>
    <w:rsid w:val="006E12FF"/>
    <w:rsid w:val="006E15C9"/>
    <w:rsid w:val="006E2A42"/>
    <w:rsid w:val="006E2B4E"/>
    <w:rsid w:val="006E32ED"/>
    <w:rsid w:val="006E5F76"/>
    <w:rsid w:val="006E607E"/>
    <w:rsid w:val="006E669A"/>
    <w:rsid w:val="006E6DFC"/>
    <w:rsid w:val="006E6EEE"/>
    <w:rsid w:val="006E7DC5"/>
    <w:rsid w:val="006F2ACC"/>
    <w:rsid w:val="006F34E7"/>
    <w:rsid w:val="006F4C28"/>
    <w:rsid w:val="006F4C97"/>
    <w:rsid w:val="006F505B"/>
    <w:rsid w:val="006F5D2C"/>
    <w:rsid w:val="006F620F"/>
    <w:rsid w:val="006F63CA"/>
    <w:rsid w:val="006F716B"/>
    <w:rsid w:val="00701946"/>
    <w:rsid w:val="00702BE7"/>
    <w:rsid w:val="00702DFA"/>
    <w:rsid w:val="00703865"/>
    <w:rsid w:val="00704095"/>
    <w:rsid w:val="007040A0"/>
    <w:rsid w:val="00706656"/>
    <w:rsid w:val="00706C5D"/>
    <w:rsid w:val="00707658"/>
    <w:rsid w:val="007076C1"/>
    <w:rsid w:val="0070791C"/>
    <w:rsid w:val="00710349"/>
    <w:rsid w:val="00710C5C"/>
    <w:rsid w:val="0071179E"/>
    <w:rsid w:val="00711802"/>
    <w:rsid w:val="00712196"/>
    <w:rsid w:val="00713E29"/>
    <w:rsid w:val="00715A54"/>
    <w:rsid w:val="00715EEC"/>
    <w:rsid w:val="00720102"/>
    <w:rsid w:val="007219BF"/>
    <w:rsid w:val="00721BD4"/>
    <w:rsid w:val="00723D88"/>
    <w:rsid w:val="00726234"/>
    <w:rsid w:val="0072746B"/>
    <w:rsid w:val="00727A17"/>
    <w:rsid w:val="007304B6"/>
    <w:rsid w:val="00730BBB"/>
    <w:rsid w:val="00730C28"/>
    <w:rsid w:val="0073183B"/>
    <w:rsid w:val="0073264A"/>
    <w:rsid w:val="00732922"/>
    <w:rsid w:val="007344B0"/>
    <w:rsid w:val="00734EDB"/>
    <w:rsid w:val="007374A2"/>
    <w:rsid w:val="007378E2"/>
    <w:rsid w:val="007448FF"/>
    <w:rsid w:val="00744CB7"/>
    <w:rsid w:val="007458F7"/>
    <w:rsid w:val="00747EE0"/>
    <w:rsid w:val="0075162E"/>
    <w:rsid w:val="00752F07"/>
    <w:rsid w:val="00754034"/>
    <w:rsid w:val="00754284"/>
    <w:rsid w:val="0075440D"/>
    <w:rsid w:val="00755065"/>
    <w:rsid w:val="00756556"/>
    <w:rsid w:val="00757815"/>
    <w:rsid w:val="00757A45"/>
    <w:rsid w:val="007618C4"/>
    <w:rsid w:val="00762646"/>
    <w:rsid w:val="007641AB"/>
    <w:rsid w:val="00765FC0"/>
    <w:rsid w:val="00767181"/>
    <w:rsid w:val="00767980"/>
    <w:rsid w:val="00770B19"/>
    <w:rsid w:val="007717E3"/>
    <w:rsid w:val="00772BED"/>
    <w:rsid w:val="00773D46"/>
    <w:rsid w:val="0077463F"/>
    <w:rsid w:val="00774800"/>
    <w:rsid w:val="00776674"/>
    <w:rsid w:val="00776D5A"/>
    <w:rsid w:val="0078204E"/>
    <w:rsid w:val="0078302F"/>
    <w:rsid w:val="0078339C"/>
    <w:rsid w:val="00783691"/>
    <w:rsid w:val="007836EA"/>
    <w:rsid w:val="0078387D"/>
    <w:rsid w:val="00783897"/>
    <w:rsid w:val="00784CDA"/>
    <w:rsid w:val="007901A3"/>
    <w:rsid w:val="007903FD"/>
    <w:rsid w:val="007906C4"/>
    <w:rsid w:val="00792D66"/>
    <w:rsid w:val="00793434"/>
    <w:rsid w:val="007934A0"/>
    <w:rsid w:val="007940EA"/>
    <w:rsid w:val="007967E8"/>
    <w:rsid w:val="007975D8"/>
    <w:rsid w:val="007A110C"/>
    <w:rsid w:val="007A2170"/>
    <w:rsid w:val="007A22BF"/>
    <w:rsid w:val="007A2A32"/>
    <w:rsid w:val="007A3323"/>
    <w:rsid w:val="007A3CCF"/>
    <w:rsid w:val="007A3D02"/>
    <w:rsid w:val="007A4B46"/>
    <w:rsid w:val="007A6EE6"/>
    <w:rsid w:val="007A7B0C"/>
    <w:rsid w:val="007B22D0"/>
    <w:rsid w:val="007B360A"/>
    <w:rsid w:val="007B478E"/>
    <w:rsid w:val="007B5F69"/>
    <w:rsid w:val="007B67EE"/>
    <w:rsid w:val="007B72B8"/>
    <w:rsid w:val="007B7A58"/>
    <w:rsid w:val="007C0D77"/>
    <w:rsid w:val="007C21B5"/>
    <w:rsid w:val="007C229C"/>
    <w:rsid w:val="007C282A"/>
    <w:rsid w:val="007C291B"/>
    <w:rsid w:val="007C2AE7"/>
    <w:rsid w:val="007C41F0"/>
    <w:rsid w:val="007C7ABF"/>
    <w:rsid w:val="007C7F24"/>
    <w:rsid w:val="007D0578"/>
    <w:rsid w:val="007D158A"/>
    <w:rsid w:val="007D18AE"/>
    <w:rsid w:val="007D6131"/>
    <w:rsid w:val="007E0098"/>
    <w:rsid w:val="007E2173"/>
    <w:rsid w:val="007E4BD2"/>
    <w:rsid w:val="007E5A66"/>
    <w:rsid w:val="007E6BDD"/>
    <w:rsid w:val="007E75EF"/>
    <w:rsid w:val="007E7B93"/>
    <w:rsid w:val="007F00CE"/>
    <w:rsid w:val="007F2936"/>
    <w:rsid w:val="007F2CA5"/>
    <w:rsid w:val="007F7D87"/>
    <w:rsid w:val="007F7E61"/>
    <w:rsid w:val="00801393"/>
    <w:rsid w:val="00802D54"/>
    <w:rsid w:val="00802F88"/>
    <w:rsid w:val="00806428"/>
    <w:rsid w:val="00806995"/>
    <w:rsid w:val="00810693"/>
    <w:rsid w:val="0081293E"/>
    <w:rsid w:val="00813D01"/>
    <w:rsid w:val="008150EA"/>
    <w:rsid w:val="00815465"/>
    <w:rsid w:val="00815B85"/>
    <w:rsid w:val="00817271"/>
    <w:rsid w:val="00817775"/>
    <w:rsid w:val="00817837"/>
    <w:rsid w:val="00817E9A"/>
    <w:rsid w:val="00826669"/>
    <w:rsid w:val="008274B1"/>
    <w:rsid w:val="00827AB5"/>
    <w:rsid w:val="00830403"/>
    <w:rsid w:val="008306BD"/>
    <w:rsid w:val="00831A80"/>
    <w:rsid w:val="0083295B"/>
    <w:rsid w:val="00832B06"/>
    <w:rsid w:val="00833743"/>
    <w:rsid w:val="00833AAE"/>
    <w:rsid w:val="008340A4"/>
    <w:rsid w:val="008340DC"/>
    <w:rsid w:val="00837529"/>
    <w:rsid w:val="008403DE"/>
    <w:rsid w:val="00840610"/>
    <w:rsid w:val="00843B82"/>
    <w:rsid w:val="00843F55"/>
    <w:rsid w:val="008446B4"/>
    <w:rsid w:val="00847F26"/>
    <w:rsid w:val="0085031E"/>
    <w:rsid w:val="00850A77"/>
    <w:rsid w:val="0085317E"/>
    <w:rsid w:val="00853897"/>
    <w:rsid w:val="00857AD5"/>
    <w:rsid w:val="008631DB"/>
    <w:rsid w:val="008643D3"/>
    <w:rsid w:val="008647F7"/>
    <w:rsid w:val="008653A6"/>
    <w:rsid w:val="00865721"/>
    <w:rsid w:val="00865E10"/>
    <w:rsid w:val="00867E65"/>
    <w:rsid w:val="00871137"/>
    <w:rsid w:val="0087135F"/>
    <w:rsid w:val="00872D94"/>
    <w:rsid w:val="00873F5E"/>
    <w:rsid w:val="008802FF"/>
    <w:rsid w:val="00880304"/>
    <w:rsid w:val="00880364"/>
    <w:rsid w:val="00881CC5"/>
    <w:rsid w:val="00881E85"/>
    <w:rsid w:val="00882750"/>
    <w:rsid w:val="008831FB"/>
    <w:rsid w:val="0088494F"/>
    <w:rsid w:val="00885A16"/>
    <w:rsid w:val="00886FB2"/>
    <w:rsid w:val="00891592"/>
    <w:rsid w:val="00891E9E"/>
    <w:rsid w:val="00891F86"/>
    <w:rsid w:val="008928FC"/>
    <w:rsid w:val="00894B49"/>
    <w:rsid w:val="00894BD1"/>
    <w:rsid w:val="00895346"/>
    <w:rsid w:val="00895F2A"/>
    <w:rsid w:val="0089737A"/>
    <w:rsid w:val="00897CC2"/>
    <w:rsid w:val="00897DFD"/>
    <w:rsid w:val="008A1DEA"/>
    <w:rsid w:val="008A2F68"/>
    <w:rsid w:val="008A4386"/>
    <w:rsid w:val="008A4931"/>
    <w:rsid w:val="008A4AEF"/>
    <w:rsid w:val="008A6615"/>
    <w:rsid w:val="008A79DA"/>
    <w:rsid w:val="008B3647"/>
    <w:rsid w:val="008B4FA6"/>
    <w:rsid w:val="008B5282"/>
    <w:rsid w:val="008B7C17"/>
    <w:rsid w:val="008C0059"/>
    <w:rsid w:val="008C09B3"/>
    <w:rsid w:val="008C2D01"/>
    <w:rsid w:val="008C3F02"/>
    <w:rsid w:val="008C40E6"/>
    <w:rsid w:val="008C5C2E"/>
    <w:rsid w:val="008C6322"/>
    <w:rsid w:val="008C70DA"/>
    <w:rsid w:val="008C77CA"/>
    <w:rsid w:val="008D0B27"/>
    <w:rsid w:val="008D0F7A"/>
    <w:rsid w:val="008D2276"/>
    <w:rsid w:val="008D28A3"/>
    <w:rsid w:val="008D68E4"/>
    <w:rsid w:val="008E0506"/>
    <w:rsid w:val="008E0CFF"/>
    <w:rsid w:val="008E138B"/>
    <w:rsid w:val="008E227F"/>
    <w:rsid w:val="008E5D6B"/>
    <w:rsid w:val="008E6754"/>
    <w:rsid w:val="008E76F0"/>
    <w:rsid w:val="008F093C"/>
    <w:rsid w:val="008F0B5F"/>
    <w:rsid w:val="008F0FFD"/>
    <w:rsid w:val="008F12D7"/>
    <w:rsid w:val="008F15FE"/>
    <w:rsid w:val="008F2465"/>
    <w:rsid w:val="008F2D29"/>
    <w:rsid w:val="008F43F9"/>
    <w:rsid w:val="008F5187"/>
    <w:rsid w:val="008F60D8"/>
    <w:rsid w:val="008F6198"/>
    <w:rsid w:val="008F7460"/>
    <w:rsid w:val="00900605"/>
    <w:rsid w:val="00900617"/>
    <w:rsid w:val="00900727"/>
    <w:rsid w:val="00901073"/>
    <w:rsid w:val="00901A71"/>
    <w:rsid w:val="00902727"/>
    <w:rsid w:val="0090312B"/>
    <w:rsid w:val="0090462B"/>
    <w:rsid w:val="00910621"/>
    <w:rsid w:val="00911AE5"/>
    <w:rsid w:val="00911C00"/>
    <w:rsid w:val="0091237D"/>
    <w:rsid w:val="00912783"/>
    <w:rsid w:val="00913D54"/>
    <w:rsid w:val="009151C0"/>
    <w:rsid w:val="00915A64"/>
    <w:rsid w:val="00915DCB"/>
    <w:rsid w:val="0091736D"/>
    <w:rsid w:val="00917378"/>
    <w:rsid w:val="0091756E"/>
    <w:rsid w:val="0092229C"/>
    <w:rsid w:val="009223D6"/>
    <w:rsid w:val="009225B3"/>
    <w:rsid w:val="00923316"/>
    <w:rsid w:val="009235EF"/>
    <w:rsid w:val="00923C4D"/>
    <w:rsid w:val="00924420"/>
    <w:rsid w:val="00924E82"/>
    <w:rsid w:val="009261D1"/>
    <w:rsid w:val="0093037A"/>
    <w:rsid w:val="0093216F"/>
    <w:rsid w:val="009330A6"/>
    <w:rsid w:val="00934530"/>
    <w:rsid w:val="009359F2"/>
    <w:rsid w:val="00937606"/>
    <w:rsid w:val="00937B98"/>
    <w:rsid w:val="0094007F"/>
    <w:rsid w:val="00940437"/>
    <w:rsid w:val="009408C6"/>
    <w:rsid w:val="0094154D"/>
    <w:rsid w:val="00942B73"/>
    <w:rsid w:val="00943382"/>
    <w:rsid w:val="00943707"/>
    <w:rsid w:val="00943EE7"/>
    <w:rsid w:val="009444BB"/>
    <w:rsid w:val="00945539"/>
    <w:rsid w:val="00947306"/>
    <w:rsid w:val="0094776F"/>
    <w:rsid w:val="0095155F"/>
    <w:rsid w:val="00951890"/>
    <w:rsid w:val="0095274D"/>
    <w:rsid w:val="00952B67"/>
    <w:rsid w:val="00954429"/>
    <w:rsid w:val="009546AC"/>
    <w:rsid w:val="009561FB"/>
    <w:rsid w:val="009563CE"/>
    <w:rsid w:val="00956DF1"/>
    <w:rsid w:val="0095736C"/>
    <w:rsid w:val="00960B64"/>
    <w:rsid w:val="00962251"/>
    <w:rsid w:val="0096566D"/>
    <w:rsid w:val="009716A8"/>
    <w:rsid w:val="00971AD2"/>
    <w:rsid w:val="009756DB"/>
    <w:rsid w:val="00976328"/>
    <w:rsid w:val="0097680D"/>
    <w:rsid w:val="009777E7"/>
    <w:rsid w:val="00981B85"/>
    <w:rsid w:val="00981D3A"/>
    <w:rsid w:val="00982438"/>
    <w:rsid w:val="0098312B"/>
    <w:rsid w:val="0098404C"/>
    <w:rsid w:val="0098434B"/>
    <w:rsid w:val="00985283"/>
    <w:rsid w:val="00986112"/>
    <w:rsid w:val="009861A2"/>
    <w:rsid w:val="00987107"/>
    <w:rsid w:val="00991970"/>
    <w:rsid w:val="00995992"/>
    <w:rsid w:val="00995C8F"/>
    <w:rsid w:val="00996385"/>
    <w:rsid w:val="0099638F"/>
    <w:rsid w:val="009964C2"/>
    <w:rsid w:val="009A03E5"/>
    <w:rsid w:val="009A0F3B"/>
    <w:rsid w:val="009A1BB4"/>
    <w:rsid w:val="009A2628"/>
    <w:rsid w:val="009A2861"/>
    <w:rsid w:val="009A3200"/>
    <w:rsid w:val="009A320E"/>
    <w:rsid w:val="009A33EB"/>
    <w:rsid w:val="009A36E3"/>
    <w:rsid w:val="009A545B"/>
    <w:rsid w:val="009A60E3"/>
    <w:rsid w:val="009A65D7"/>
    <w:rsid w:val="009B063B"/>
    <w:rsid w:val="009B0897"/>
    <w:rsid w:val="009B0905"/>
    <w:rsid w:val="009B0E55"/>
    <w:rsid w:val="009B1F70"/>
    <w:rsid w:val="009B2111"/>
    <w:rsid w:val="009B2446"/>
    <w:rsid w:val="009B382B"/>
    <w:rsid w:val="009B3C8A"/>
    <w:rsid w:val="009B5062"/>
    <w:rsid w:val="009B6557"/>
    <w:rsid w:val="009B7BD9"/>
    <w:rsid w:val="009C1510"/>
    <w:rsid w:val="009C2812"/>
    <w:rsid w:val="009C5B3C"/>
    <w:rsid w:val="009C6740"/>
    <w:rsid w:val="009C7DD5"/>
    <w:rsid w:val="009D0302"/>
    <w:rsid w:val="009D0CF7"/>
    <w:rsid w:val="009D1864"/>
    <w:rsid w:val="009D3421"/>
    <w:rsid w:val="009D3A2A"/>
    <w:rsid w:val="009D50C0"/>
    <w:rsid w:val="009D6724"/>
    <w:rsid w:val="009D6FE9"/>
    <w:rsid w:val="009E227D"/>
    <w:rsid w:val="009E5019"/>
    <w:rsid w:val="009E540C"/>
    <w:rsid w:val="009E79EB"/>
    <w:rsid w:val="009E7C80"/>
    <w:rsid w:val="009F4049"/>
    <w:rsid w:val="009F4891"/>
    <w:rsid w:val="009F4F00"/>
    <w:rsid w:val="009F5349"/>
    <w:rsid w:val="009F5925"/>
    <w:rsid w:val="009F61DF"/>
    <w:rsid w:val="009F7505"/>
    <w:rsid w:val="00A01CD3"/>
    <w:rsid w:val="00A0234A"/>
    <w:rsid w:val="00A02CEC"/>
    <w:rsid w:val="00A04F1B"/>
    <w:rsid w:val="00A0501B"/>
    <w:rsid w:val="00A06652"/>
    <w:rsid w:val="00A11271"/>
    <w:rsid w:val="00A113F2"/>
    <w:rsid w:val="00A11AF7"/>
    <w:rsid w:val="00A14947"/>
    <w:rsid w:val="00A15C32"/>
    <w:rsid w:val="00A16207"/>
    <w:rsid w:val="00A178B1"/>
    <w:rsid w:val="00A216B3"/>
    <w:rsid w:val="00A261AA"/>
    <w:rsid w:val="00A26C07"/>
    <w:rsid w:val="00A27555"/>
    <w:rsid w:val="00A3016F"/>
    <w:rsid w:val="00A31243"/>
    <w:rsid w:val="00A32A83"/>
    <w:rsid w:val="00A3330F"/>
    <w:rsid w:val="00A345A4"/>
    <w:rsid w:val="00A35C08"/>
    <w:rsid w:val="00A368DB"/>
    <w:rsid w:val="00A373C2"/>
    <w:rsid w:val="00A4076E"/>
    <w:rsid w:val="00A423AA"/>
    <w:rsid w:val="00A43B98"/>
    <w:rsid w:val="00A4519B"/>
    <w:rsid w:val="00A4677D"/>
    <w:rsid w:val="00A47EFA"/>
    <w:rsid w:val="00A533EF"/>
    <w:rsid w:val="00A53EC6"/>
    <w:rsid w:val="00A5496E"/>
    <w:rsid w:val="00A54CB4"/>
    <w:rsid w:val="00A55C0F"/>
    <w:rsid w:val="00A57B4D"/>
    <w:rsid w:val="00A60E3D"/>
    <w:rsid w:val="00A63ED4"/>
    <w:rsid w:val="00A641E9"/>
    <w:rsid w:val="00A64739"/>
    <w:rsid w:val="00A65D54"/>
    <w:rsid w:val="00A66AEF"/>
    <w:rsid w:val="00A67C7C"/>
    <w:rsid w:val="00A71533"/>
    <w:rsid w:val="00A722D8"/>
    <w:rsid w:val="00A73C1C"/>
    <w:rsid w:val="00A742B7"/>
    <w:rsid w:val="00A76609"/>
    <w:rsid w:val="00A766C8"/>
    <w:rsid w:val="00A76CC5"/>
    <w:rsid w:val="00A80C8D"/>
    <w:rsid w:val="00A811F6"/>
    <w:rsid w:val="00A81D66"/>
    <w:rsid w:val="00A839AB"/>
    <w:rsid w:val="00A85DD3"/>
    <w:rsid w:val="00A86CC6"/>
    <w:rsid w:val="00A8713F"/>
    <w:rsid w:val="00A9040E"/>
    <w:rsid w:val="00A90BA1"/>
    <w:rsid w:val="00A96192"/>
    <w:rsid w:val="00A97A9A"/>
    <w:rsid w:val="00AA0671"/>
    <w:rsid w:val="00AA23C4"/>
    <w:rsid w:val="00AA2531"/>
    <w:rsid w:val="00AA29E5"/>
    <w:rsid w:val="00AA317D"/>
    <w:rsid w:val="00AA3AE3"/>
    <w:rsid w:val="00AA4656"/>
    <w:rsid w:val="00AA5667"/>
    <w:rsid w:val="00AA6706"/>
    <w:rsid w:val="00AA6885"/>
    <w:rsid w:val="00AA7791"/>
    <w:rsid w:val="00AB1E09"/>
    <w:rsid w:val="00AB2F9F"/>
    <w:rsid w:val="00AB399A"/>
    <w:rsid w:val="00AB48E4"/>
    <w:rsid w:val="00AB5330"/>
    <w:rsid w:val="00AB5938"/>
    <w:rsid w:val="00AB7270"/>
    <w:rsid w:val="00AB7747"/>
    <w:rsid w:val="00AC0091"/>
    <w:rsid w:val="00AC14CE"/>
    <w:rsid w:val="00AC2260"/>
    <w:rsid w:val="00AC2307"/>
    <w:rsid w:val="00AC2A56"/>
    <w:rsid w:val="00AC2CD2"/>
    <w:rsid w:val="00AC311C"/>
    <w:rsid w:val="00AC655C"/>
    <w:rsid w:val="00AD055E"/>
    <w:rsid w:val="00AD1FFE"/>
    <w:rsid w:val="00AD24BE"/>
    <w:rsid w:val="00AD3018"/>
    <w:rsid w:val="00AD3FEE"/>
    <w:rsid w:val="00AD47A7"/>
    <w:rsid w:val="00AE2DDE"/>
    <w:rsid w:val="00AE3142"/>
    <w:rsid w:val="00AE44FA"/>
    <w:rsid w:val="00AE509B"/>
    <w:rsid w:val="00AE7A99"/>
    <w:rsid w:val="00AE7EF5"/>
    <w:rsid w:val="00AF04E5"/>
    <w:rsid w:val="00AF0CBF"/>
    <w:rsid w:val="00AF257F"/>
    <w:rsid w:val="00AF33CF"/>
    <w:rsid w:val="00AF4D50"/>
    <w:rsid w:val="00AF542E"/>
    <w:rsid w:val="00AF6179"/>
    <w:rsid w:val="00AF6D74"/>
    <w:rsid w:val="00AF7625"/>
    <w:rsid w:val="00AF7DB4"/>
    <w:rsid w:val="00B00461"/>
    <w:rsid w:val="00B0069B"/>
    <w:rsid w:val="00B00B95"/>
    <w:rsid w:val="00B03666"/>
    <w:rsid w:val="00B0372F"/>
    <w:rsid w:val="00B03E35"/>
    <w:rsid w:val="00B05CDD"/>
    <w:rsid w:val="00B06117"/>
    <w:rsid w:val="00B06F44"/>
    <w:rsid w:val="00B11DE7"/>
    <w:rsid w:val="00B1295A"/>
    <w:rsid w:val="00B13107"/>
    <w:rsid w:val="00B2063D"/>
    <w:rsid w:val="00B20A45"/>
    <w:rsid w:val="00B21D33"/>
    <w:rsid w:val="00B221CD"/>
    <w:rsid w:val="00B22C5C"/>
    <w:rsid w:val="00B22F9F"/>
    <w:rsid w:val="00B239A3"/>
    <w:rsid w:val="00B23B1F"/>
    <w:rsid w:val="00B2428D"/>
    <w:rsid w:val="00B24F0C"/>
    <w:rsid w:val="00B24F30"/>
    <w:rsid w:val="00B25E7C"/>
    <w:rsid w:val="00B25EFC"/>
    <w:rsid w:val="00B26AE9"/>
    <w:rsid w:val="00B27336"/>
    <w:rsid w:val="00B27976"/>
    <w:rsid w:val="00B31ABF"/>
    <w:rsid w:val="00B321D1"/>
    <w:rsid w:val="00B33BE3"/>
    <w:rsid w:val="00B35B8A"/>
    <w:rsid w:val="00B36C8D"/>
    <w:rsid w:val="00B4147E"/>
    <w:rsid w:val="00B41CE4"/>
    <w:rsid w:val="00B42D08"/>
    <w:rsid w:val="00B468A3"/>
    <w:rsid w:val="00B47072"/>
    <w:rsid w:val="00B50A4B"/>
    <w:rsid w:val="00B51321"/>
    <w:rsid w:val="00B51F5E"/>
    <w:rsid w:val="00B522F4"/>
    <w:rsid w:val="00B53B5D"/>
    <w:rsid w:val="00B54615"/>
    <w:rsid w:val="00B54D21"/>
    <w:rsid w:val="00B5624F"/>
    <w:rsid w:val="00B56921"/>
    <w:rsid w:val="00B6055E"/>
    <w:rsid w:val="00B6317D"/>
    <w:rsid w:val="00B6436F"/>
    <w:rsid w:val="00B6472B"/>
    <w:rsid w:val="00B703FE"/>
    <w:rsid w:val="00B705AB"/>
    <w:rsid w:val="00B707C6"/>
    <w:rsid w:val="00B71918"/>
    <w:rsid w:val="00B71EAE"/>
    <w:rsid w:val="00B71EFF"/>
    <w:rsid w:val="00B7385A"/>
    <w:rsid w:val="00B73EAA"/>
    <w:rsid w:val="00B73FAD"/>
    <w:rsid w:val="00B744FE"/>
    <w:rsid w:val="00B74C4C"/>
    <w:rsid w:val="00B76869"/>
    <w:rsid w:val="00B76D53"/>
    <w:rsid w:val="00B7723F"/>
    <w:rsid w:val="00B77F6A"/>
    <w:rsid w:val="00B80534"/>
    <w:rsid w:val="00B80ECA"/>
    <w:rsid w:val="00B8433C"/>
    <w:rsid w:val="00B863B7"/>
    <w:rsid w:val="00B8680E"/>
    <w:rsid w:val="00B87491"/>
    <w:rsid w:val="00B87D5D"/>
    <w:rsid w:val="00B91759"/>
    <w:rsid w:val="00B92BA2"/>
    <w:rsid w:val="00B92EC1"/>
    <w:rsid w:val="00B93FC3"/>
    <w:rsid w:val="00B94804"/>
    <w:rsid w:val="00B94999"/>
    <w:rsid w:val="00B94C53"/>
    <w:rsid w:val="00BA12E6"/>
    <w:rsid w:val="00BA29E9"/>
    <w:rsid w:val="00BA31CF"/>
    <w:rsid w:val="00BA460B"/>
    <w:rsid w:val="00BA5534"/>
    <w:rsid w:val="00BA5729"/>
    <w:rsid w:val="00BA6214"/>
    <w:rsid w:val="00BA7142"/>
    <w:rsid w:val="00BA77C6"/>
    <w:rsid w:val="00BA7F35"/>
    <w:rsid w:val="00BB04F7"/>
    <w:rsid w:val="00BB237C"/>
    <w:rsid w:val="00BB3383"/>
    <w:rsid w:val="00BB41A3"/>
    <w:rsid w:val="00BB4D74"/>
    <w:rsid w:val="00BB7A73"/>
    <w:rsid w:val="00BC004A"/>
    <w:rsid w:val="00BC0E95"/>
    <w:rsid w:val="00BC2843"/>
    <w:rsid w:val="00BC32DC"/>
    <w:rsid w:val="00BC35B6"/>
    <w:rsid w:val="00BC36B9"/>
    <w:rsid w:val="00BC4E7E"/>
    <w:rsid w:val="00BC7A00"/>
    <w:rsid w:val="00BD1B51"/>
    <w:rsid w:val="00BD34E5"/>
    <w:rsid w:val="00BD3996"/>
    <w:rsid w:val="00BD4596"/>
    <w:rsid w:val="00BE1405"/>
    <w:rsid w:val="00BE2886"/>
    <w:rsid w:val="00BE312D"/>
    <w:rsid w:val="00BE6BB9"/>
    <w:rsid w:val="00BF1A7D"/>
    <w:rsid w:val="00BF1C20"/>
    <w:rsid w:val="00BF227A"/>
    <w:rsid w:val="00BF4ECA"/>
    <w:rsid w:val="00BF71C8"/>
    <w:rsid w:val="00C01A3A"/>
    <w:rsid w:val="00C03211"/>
    <w:rsid w:val="00C0404F"/>
    <w:rsid w:val="00C0467B"/>
    <w:rsid w:val="00C04881"/>
    <w:rsid w:val="00C04B19"/>
    <w:rsid w:val="00C0640C"/>
    <w:rsid w:val="00C06BE8"/>
    <w:rsid w:val="00C07380"/>
    <w:rsid w:val="00C10578"/>
    <w:rsid w:val="00C10D2F"/>
    <w:rsid w:val="00C11D6B"/>
    <w:rsid w:val="00C12871"/>
    <w:rsid w:val="00C135BC"/>
    <w:rsid w:val="00C15C95"/>
    <w:rsid w:val="00C171E6"/>
    <w:rsid w:val="00C20B66"/>
    <w:rsid w:val="00C22462"/>
    <w:rsid w:val="00C2276B"/>
    <w:rsid w:val="00C22A4E"/>
    <w:rsid w:val="00C22E64"/>
    <w:rsid w:val="00C23007"/>
    <w:rsid w:val="00C23329"/>
    <w:rsid w:val="00C24BD3"/>
    <w:rsid w:val="00C24C4D"/>
    <w:rsid w:val="00C2577D"/>
    <w:rsid w:val="00C2596A"/>
    <w:rsid w:val="00C26A26"/>
    <w:rsid w:val="00C27537"/>
    <w:rsid w:val="00C27EC5"/>
    <w:rsid w:val="00C328FE"/>
    <w:rsid w:val="00C33507"/>
    <w:rsid w:val="00C3766C"/>
    <w:rsid w:val="00C37A29"/>
    <w:rsid w:val="00C402A4"/>
    <w:rsid w:val="00C41935"/>
    <w:rsid w:val="00C43C77"/>
    <w:rsid w:val="00C4409D"/>
    <w:rsid w:val="00C44B09"/>
    <w:rsid w:val="00C44E72"/>
    <w:rsid w:val="00C455D9"/>
    <w:rsid w:val="00C45A06"/>
    <w:rsid w:val="00C45B0F"/>
    <w:rsid w:val="00C46984"/>
    <w:rsid w:val="00C47E5B"/>
    <w:rsid w:val="00C57DE3"/>
    <w:rsid w:val="00C608EA"/>
    <w:rsid w:val="00C61E4B"/>
    <w:rsid w:val="00C62407"/>
    <w:rsid w:val="00C62A91"/>
    <w:rsid w:val="00C62FB5"/>
    <w:rsid w:val="00C64BFF"/>
    <w:rsid w:val="00C66AD2"/>
    <w:rsid w:val="00C66C5E"/>
    <w:rsid w:val="00C704E9"/>
    <w:rsid w:val="00C707A8"/>
    <w:rsid w:val="00C727C1"/>
    <w:rsid w:val="00C73666"/>
    <w:rsid w:val="00C74D2F"/>
    <w:rsid w:val="00C75941"/>
    <w:rsid w:val="00C76131"/>
    <w:rsid w:val="00C763C9"/>
    <w:rsid w:val="00C7788C"/>
    <w:rsid w:val="00C77C83"/>
    <w:rsid w:val="00C80057"/>
    <w:rsid w:val="00C80FB2"/>
    <w:rsid w:val="00C81CCE"/>
    <w:rsid w:val="00C81F8A"/>
    <w:rsid w:val="00C82232"/>
    <w:rsid w:val="00C82913"/>
    <w:rsid w:val="00C858EF"/>
    <w:rsid w:val="00C86A36"/>
    <w:rsid w:val="00C87872"/>
    <w:rsid w:val="00C91295"/>
    <w:rsid w:val="00C92FC7"/>
    <w:rsid w:val="00C9388B"/>
    <w:rsid w:val="00C9488F"/>
    <w:rsid w:val="00C95D1F"/>
    <w:rsid w:val="00C966A8"/>
    <w:rsid w:val="00C969CE"/>
    <w:rsid w:val="00C972B1"/>
    <w:rsid w:val="00C9789C"/>
    <w:rsid w:val="00CA0D0C"/>
    <w:rsid w:val="00CA2CCE"/>
    <w:rsid w:val="00CA365B"/>
    <w:rsid w:val="00CA38A2"/>
    <w:rsid w:val="00CA4079"/>
    <w:rsid w:val="00CA43FD"/>
    <w:rsid w:val="00CA45E2"/>
    <w:rsid w:val="00CA4F8E"/>
    <w:rsid w:val="00CA51A2"/>
    <w:rsid w:val="00CA7EF8"/>
    <w:rsid w:val="00CB04D5"/>
    <w:rsid w:val="00CB05BA"/>
    <w:rsid w:val="00CB0EA1"/>
    <w:rsid w:val="00CB1C77"/>
    <w:rsid w:val="00CB328B"/>
    <w:rsid w:val="00CB5A07"/>
    <w:rsid w:val="00CB5E6B"/>
    <w:rsid w:val="00CB6566"/>
    <w:rsid w:val="00CB7FE9"/>
    <w:rsid w:val="00CC0BE9"/>
    <w:rsid w:val="00CC1C0F"/>
    <w:rsid w:val="00CC2EE1"/>
    <w:rsid w:val="00CC2FF3"/>
    <w:rsid w:val="00CC35C6"/>
    <w:rsid w:val="00CC489B"/>
    <w:rsid w:val="00CC6902"/>
    <w:rsid w:val="00CC7AD0"/>
    <w:rsid w:val="00CD2BCD"/>
    <w:rsid w:val="00CD3671"/>
    <w:rsid w:val="00CD3A4C"/>
    <w:rsid w:val="00CD3B07"/>
    <w:rsid w:val="00CD4F42"/>
    <w:rsid w:val="00CD57C6"/>
    <w:rsid w:val="00CE10E9"/>
    <w:rsid w:val="00CE2910"/>
    <w:rsid w:val="00CE30A8"/>
    <w:rsid w:val="00CE3384"/>
    <w:rsid w:val="00CE46D3"/>
    <w:rsid w:val="00CE5393"/>
    <w:rsid w:val="00CE67A7"/>
    <w:rsid w:val="00CE7F18"/>
    <w:rsid w:val="00CF36BE"/>
    <w:rsid w:val="00CF40C6"/>
    <w:rsid w:val="00CF53B7"/>
    <w:rsid w:val="00CF6000"/>
    <w:rsid w:val="00CF6B8C"/>
    <w:rsid w:val="00CF7346"/>
    <w:rsid w:val="00D003F3"/>
    <w:rsid w:val="00D00ACD"/>
    <w:rsid w:val="00D0212E"/>
    <w:rsid w:val="00D02191"/>
    <w:rsid w:val="00D0224B"/>
    <w:rsid w:val="00D0320A"/>
    <w:rsid w:val="00D03524"/>
    <w:rsid w:val="00D0364F"/>
    <w:rsid w:val="00D037FB"/>
    <w:rsid w:val="00D0564A"/>
    <w:rsid w:val="00D06834"/>
    <w:rsid w:val="00D07DEC"/>
    <w:rsid w:val="00D1225D"/>
    <w:rsid w:val="00D125E3"/>
    <w:rsid w:val="00D12E4A"/>
    <w:rsid w:val="00D147CB"/>
    <w:rsid w:val="00D16B6C"/>
    <w:rsid w:val="00D17F47"/>
    <w:rsid w:val="00D20ACE"/>
    <w:rsid w:val="00D20F32"/>
    <w:rsid w:val="00D21A97"/>
    <w:rsid w:val="00D21AF3"/>
    <w:rsid w:val="00D221A9"/>
    <w:rsid w:val="00D223C3"/>
    <w:rsid w:val="00D22995"/>
    <w:rsid w:val="00D2372D"/>
    <w:rsid w:val="00D238E1"/>
    <w:rsid w:val="00D24FA7"/>
    <w:rsid w:val="00D26722"/>
    <w:rsid w:val="00D3034E"/>
    <w:rsid w:val="00D308ED"/>
    <w:rsid w:val="00D33E47"/>
    <w:rsid w:val="00D34C6E"/>
    <w:rsid w:val="00D353B7"/>
    <w:rsid w:val="00D357C3"/>
    <w:rsid w:val="00D358BB"/>
    <w:rsid w:val="00D364F5"/>
    <w:rsid w:val="00D36D86"/>
    <w:rsid w:val="00D37867"/>
    <w:rsid w:val="00D407E3"/>
    <w:rsid w:val="00D41C4B"/>
    <w:rsid w:val="00D4210F"/>
    <w:rsid w:val="00D428AA"/>
    <w:rsid w:val="00D42AF5"/>
    <w:rsid w:val="00D4556C"/>
    <w:rsid w:val="00D46DAE"/>
    <w:rsid w:val="00D50A34"/>
    <w:rsid w:val="00D5218A"/>
    <w:rsid w:val="00D5300E"/>
    <w:rsid w:val="00D53307"/>
    <w:rsid w:val="00D53EFA"/>
    <w:rsid w:val="00D5734F"/>
    <w:rsid w:val="00D57F90"/>
    <w:rsid w:val="00D6039D"/>
    <w:rsid w:val="00D61D7D"/>
    <w:rsid w:val="00D61E58"/>
    <w:rsid w:val="00D63193"/>
    <w:rsid w:val="00D638AF"/>
    <w:rsid w:val="00D64725"/>
    <w:rsid w:val="00D66C30"/>
    <w:rsid w:val="00D713A3"/>
    <w:rsid w:val="00D71DCC"/>
    <w:rsid w:val="00D728BF"/>
    <w:rsid w:val="00D73088"/>
    <w:rsid w:val="00D74899"/>
    <w:rsid w:val="00D75E27"/>
    <w:rsid w:val="00D75F71"/>
    <w:rsid w:val="00D761B0"/>
    <w:rsid w:val="00D76AF3"/>
    <w:rsid w:val="00D800BA"/>
    <w:rsid w:val="00D8342A"/>
    <w:rsid w:val="00D840AB"/>
    <w:rsid w:val="00D8522E"/>
    <w:rsid w:val="00D85556"/>
    <w:rsid w:val="00D8621B"/>
    <w:rsid w:val="00D867DD"/>
    <w:rsid w:val="00D8744A"/>
    <w:rsid w:val="00D90E43"/>
    <w:rsid w:val="00D91874"/>
    <w:rsid w:val="00D93B34"/>
    <w:rsid w:val="00D943BA"/>
    <w:rsid w:val="00D94A7C"/>
    <w:rsid w:val="00D95522"/>
    <w:rsid w:val="00D95896"/>
    <w:rsid w:val="00D972FE"/>
    <w:rsid w:val="00D97FD7"/>
    <w:rsid w:val="00DA1471"/>
    <w:rsid w:val="00DA7651"/>
    <w:rsid w:val="00DB0737"/>
    <w:rsid w:val="00DB2983"/>
    <w:rsid w:val="00DB2CD3"/>
    <w:rsid w:val="00DB4313"/>
    <w:rsid w:val="00DB44CB"/>
    <w:rsid w:val="00DB48E7"/>
    <w:rsid w:val="00DB6405"/>
    <w:rsid w:val="00DB669D"/>
    <w:rsid w:val="00DC00DF"/>
    <w:rsid w:val="00DC0177"/>
    <w:rsid w:val="00DC103C"/>
    <w:rsid w:val="00DC1257"/>
    <w:rsid w:val="00DC1D8E"/>
    <w:rsid w:val="00DC34CE"/>
    <w:rsid w:val="00DC3DC0"/>
    <w:rsid w:val="00DC3FC2"/>
    <w:rsid w:val="00DC4E66"/>
    <w:rsid w:val="00DC53C1"/>
    <w:rsid w:val="00DC5AD6"/>
    <w:rsid w:val="00DC5B2B"/>
    <w:rsid w:val="00DC66BD"/>
    <w:rsid w:val="00DC69BE"/>
    <w:rsid w:val="00DD1226"/>
    <w:rsid w:val="00DD20CA"/>
    <w:rsid w:val="00DD318D"/>
    <w:rsid w:val="00DD3B7F"/>
    <w:rsid w:val="00DD4BAC"/>
    <w:rsid w:val="00DD687B"/>
    <w:rsid w:val="00DD6D9E"/>
    <w:rsid w:val="00DD7931"/>
    <w:rsid w:val="00DE01BA"/>
    <w:rsid w:val="00DE1226"/>
    <w:rsid w:val="00DE29C1"/>
    <w:rsid w:val="00DE29DB"/>
    <w:rsid w:val="00DE3043"/>
    <w:rsid w:val="00DE41FB"/>
    <w:rsid w:val="00DE4D10"/>
    <w:rsid w:val="00DE585E"/>
    <w:rsid w:val="00DF2340"/>
    <w:rsid w:val="00DF24DB"/>
    <w:rsid w:val="00DF2E12"/>
    <w:rsid w:val="00DF45E8"/>
    <w:rsid w:val="00DF514A"/>
    <w:rsid w:val="00DF6690"/>
    <w:rsid w:val="00DF6804"/>
    <w:rsid w:val="00E008E3"/>
    <w:rsid w:val="00E0358D"/>
    <w:rsid w:val="00E04323"/>
    <w:rsid w:val="00E06551"/>
    <w:rsid w:val="00E06F89"/>
    <w:rsid w:val="00E070A2"/>
    <w:rsid w:val="00E1002B"/>
    <w:rsid w:val="00E103B1"/>
    <w:rsid w:val="00E12BBF"/>
    <w:rsid w:val="00E15BC6"/>
    <w:rsid w:val="00E1672D"/>
    <w:rsid w:val="00E16EDD"/>
    <w:rsid w:val="00E16FB7"/>
    <w:rsid w:val="00E17923"/>
    <w:rsid w:val="00E17E31"/>
    <w:rsid w:val="00E20A49"/>
    <w:rsid w:val="00E2109C"/>
    <w:rsid w:val="00E23106"/>
    <w:rsid w:val="00E2656A"/>
    <w:rsid w:val="00E27AF2"/>
    <w:rsid w:val="00E324A3"/>
    <w:rsid w:val="00E3290A"/>
    <w:rsid w:val="00E36A9D"/>
    <w:rsid w:val="00E40691"/>
    <w:rsid w:val="00E40AD5"/>
    <w:rsid w:val="00E412D0"/>
    <w:rsid w:val="00E43D67"/>
    <w:rsid w:val="00E44A47"/>
    <w:rsid w:val="00E461DC"/>
    <w:rsid w:val="00E463B6"/>
    <w:rsid w:val="00E46FEB"/>
    <w:rsid w:val="00E474D3"/>
    <w:rsid w:val="00E53039"/>
    <w:rsid w:val="00E53B84"/>
    <w:rsid w:val="00E53E52"/>
    <w:rsid w:val="00E54083"/>
    <w:rsid w:val="00E55665"/>
    <w:rsid w:val="00E55CBC"/>
    <w:rsid w:val="00E562CF"/>
    <w:rsid w:val="00E56322"/>
    <w:rsid w:val="00E5708F"/>
    <w:rsid w:val="00E5768D"/>
    <w:rsid w:val="00E60197"/>
    <w:rsid w:val="00E60982"/>
    <w:rsid w:val="00E618F3"/>
    <w:rsid w:val="00E6238B"/>
    <w:rsid w:val="00E62C62"/>
    <w:rsid w:val="00E62D49"/>
    <w:rsid w:val="00E646A8"/>
    <w:rsid w:val="00E64C64"/>
    <w:rsid w:val="00E654C1"/>
    <w:rsid w:val="00E65A40"/>
    <w:rsid w:val="00E65D97"/>
    <w:rsid w:val="00E66051"/>
    <w:rsid w:val="00E66614"/>
    <w:rsid w:val="00E67E79"/>
    <w:rsid w:val="00E70B63"/>
    <w:rsid w:val="00E7158F"/>
    <w:rsid w:val="00E72A5A"/>
    <w:rsid w:val="00E73354"/>
    <w:rsid w:val="00E73A4D"/>
    <w:rsid w:val="00E74B6A"/>
    <w:rsid w:val="00E74D30"/>
    <w:rsid w:val="00E74F6C"/>
    <w:rsid w:val="00E765D1"/>
    <w:rsid w:val="00E77B59"/>
    <w:rsid w:val="00E821FE"/>
    <w:rsid w:val="00E84D8F"/>
    <w:rsid w:val="00E87B85"/>
    <w:rsid w:val="00E90E82"/>
    <w:rsid w:val="00E91034"/>
    <w:rsid w:val="00E915DD"/>
    <w:rsid w:val="00E9242D"/>
    <w:rsid w:val="00E9255B"/>
    <w:rsid w:val="00E9402A"/>
    <w:rsid w:val="00E94171"/>
    <w:rsid w:val="00E95BCA"/>
    <w:rsid w:val="00E95F76"/>
    <w:rsid w:val="00E97707"/>
    <w:rsid w:val="00EA02CD"/>
    <w:rsid w:val="00EA1011"/>
    <w:rsid w:val="00EA1B1E"/>
    <w:rsid w:val="00EA2969"/>
    <w:rsid w:val="00EA3BFA"/>
    <w:rsid w:val="00EA5814"/>
    <w:rsid w:val="00EA6FE6"/>
    <w:rsid w:val="00EB1080"/>
    <w:rsid w:val="00EB2A2F"/>
    <w:rsid w:val="00EB4907"/>
    <w:rsid w:val="00EB5255"/>
    <w:rsid w:val="00EB59AF"/>
    <w:rsid w:val="00EB5C47"/>
    <w:rsid w:val="00EB60C0"/>
    <w:rsid w:val="00EB74AE"/>
    <w:rsid w:val="00EC0221"/>
    <w:rsid w:val="00EC0586"/>
    <w:rsid w:val="00EC19EF"/>
    <w:rsid w:val="00EC29B3"/>
    <w:rsid w:val="00EC3069"/>
    <w:rsid w:val="00EC30A3"/>
    <w:rsid w:val="00EC33DE"/>
    <w:rsid w:val="00EC6775"/>
    <w:rsid w:val="00EC6A37"/>
    <w:rsid w:val="00ED0639"/>
    <w:rsid w:val="00ED0F9A"/>
    <w:rsid w:val="00ED1DAD"/>
    <w:rsid w:val="00ED3708"/>
    <w:rsid w:val="00ED44EF"/>
    <w:rsid w:val="00ED5D77"/>
    <w:rsid w:val="00ED6494"/>
    <w:rsid w:val="00ED660C"/>
    <w:rsid w:val="00ED71DA"/>
    <w:rsid w:val="00ED7E4C"/>
    <w:rsid w:val="00EE0D12"/>
    <w:rsid w:val="00EE107A"/>
    <w:rsid w:val="00EE294E"/>
    <w:rsid w:val="00EE2A0B"/>
    <w:rsid w:val="00EE33A4"/>
    <w:rsid w:val="00EE5649"/>
    <w:rsid w:val="00EE6D34"/>
    <w:rsid w:val="00EF039E"/>
    <w:rsid w:val="00EF0EBA"/>
    <w:rsid w:val="00EF12E9"/>
    <w:rsid w:val="00EF1A61"/>
    <w:rsid w:val="00EF4755"/>
    <w:rsid w:val="00EF6A19"/>
    <w:rsid w:val="00EF7135"/>
    <w:rsid w:val="00EF7D54"/>
    <w:rsid w:val="00EF7E75"/>
    <w:rsid w:val="00F0186A"/>
    <w:rsid w:val="00F027DB"/>
    <w:rsid w:val="00F107A8"/>
    <w:rsid w:val="00F1085D"/>
    <w:rsid w:val="00F10B1D"/>
    <w:rsid w:val="00F11022"/>
    <w:rsid w:val="00F11597"/>
    <w:rsid w:val="00F12290"/>
    <w:rsid w:val="00F14A7A"/>
    <w:rsid w:val="00F16C01"/>
    <w:rsid w:val="00F2164B"/>
    <w:rsid w:val="00F22985"/>
    <w:rsid w:val="00F22B46"/>
    <w:rsid w:val="00F2356B"/>
    <w:rsid w:val="00F23CBB"/>
    <w:rsid w:val="00F2437E"/>
    <w:rsid w:val="00F243EE"/>
    <w:rsid w:val="00F27FE1"/>
    <w:rsid w:val="00F32F9B"/>
    <w:rsid w:val="00F331A9"/>
    <w:rsid w:val="00F3383E"/>
    <w:rsid w:val="00F33C25"/>
    <w:rsid w:val="00F3408E"/>
    <w:rsid w:val="00F340ED"/>
    <w:rsid w:val="00F353E2"/>
    <w:rsid w:val="00F35527"/>
    <w:rsid w:val="00F37480"/>
    <w:rsid w:val="00F37A32"/>
    <w:rsid w:val="00F40B00"/>
    <w:rsid w:val="00F40B55"/>
    <w:rsid w:val="00F44966"/>
    <w:rsid w:val="00F461BD"/>
    <w:rsid w:val="00F465A7"/>
    <w:rsid w:val="00F46ED1"/>
    <w:rsid w:val="00F47294"/>
    <w:rsid w:val="00F472E4"/>
    <w:rsid w:val="00F50B7C"/>
    <w:rsid w:val="00F5123C"/>
    <w:rsid w:val="00F5246C"/>
    <w:rsid w:val="00F53D74"/>
    <w:rsid w:val="00F54EC2"/>
    <w:rsid w:val="00F550E6"/>
    <w:rsid w:val="00F55A5F"/>
    <w:rsid w:val="00F55B93"/>
    <w:rsid w:val="00F56AE4"/>
    <w:rsid w:val="00F61661"/>
    <w:rsid w:val="00F6261C"/>
    <w:rsid w:val="00F726FA"/>
    <w:rsid w:val="00F74345"/>
    <w:rsid w:val="00F7527A"/>
    <w:rsid w:val="00F76A69"/>
    <w:rsid w:val="00F80A0A"/>
    <w:rsid w:val="00F82B19"/>
    <w:rsid w:val="00F82D05"/>
    <w:rsid w:val="00F8344A"/>
    <w:rsid w:val="00F83780"/>
    <w:rsid w:val="00F83ADE"/>
    <w:rsid w:val="00F85EA0"/>
    <w:rsid w:val="00F8664C"/>
    <w:rsid w:val="00F91490"/>
    <w:rsid w:val="00F91D4E"/>
    <w:rsid w:val="00F920EA"/>
    <w:rsid w:val="00F9212D"/>
    <w:rsid w:val="00F92385"/>
    <w:rsid w:val="00F926AD"/>
    <w:rsid w:val="00F92EA0"/>
    <w:rsid w:val="00F933D7"/>
    <w:rsid w:val="00F94B75"/>
    <w:rsid w:val="00F95D2F"/>
    <w:rsid w:val="00F965DA"/>
    <w:rsid w:val="00FA303B"/>
    <w:rsid w:val="00FA406A"/>
    <w:rsid w:val="00FA4083"/>
    <w:rsid w:val="00FA56B2"/>
    <w:rsid w:val="00FB0701"/>
    <w:rsid w:val="00FB32BF"/>
    <w:rsid w:val="00FB503A"/>
    <w:rsid w:val="00FB516C"/>
    <w:rsid w:val="00FC149A"/>
    <w:rsid w:val="00FC5D48"/>
    <w:rsid w:val="00FC62A5"/>
    <w:rsid w:val="00FC6BCD"/>
    <w:rsid w:val="00FC7509"/>
    <w:rsid w:val="00FD0236"/>
    <w:rsid w:val="00FD0710"/>
    <w:rsid w:val="00FD18F4"/>
    <w:rsid w:val="00FD33F5"/>
    <w:rsid w:val="00FD454D"/>
    <w:rsid w:val="00FD4592"/>
    <w:rsid w:val="00FD53BE"/>
    <w:rsid w:val="00FD54DB"/>
    <w:rsid w:val="00FD619F"/>
    <w:rsid w:val="00FE005B"/>
    <w:rsid w:val="00FE0D5B"/>
    <w:rsid w:val="00FE0F18"/>
    <w:rsid w:val="00FE106D"/>
    <w:rsid w:val="00FE1910"/>
    <w:rsid w:val="00FE248B"/>
    <w:rsid w:val="00FE2D6D"/>
    <w:rsid w:val="00FE3288"/>
    <w:rsid w:val="00FE3F80"/>
    <w:rsid w:val="00FE5F94"/>
    <w:rsid w:val="00FF0295"/>
    <w:rsid w:val="00FF0408"/>
    <w:rsid w:val="00FF0DC2"/>
    <w:rsid w:val="00FF42CE"/>
    <w:rsid w:val="00FF737D"/>
    <w:rsid w:val="012471A3"/>
    <w:rsid w:val="01290F7E"/>
    <w:rsid w:val="01543940"/>
    <w:rsid w:val="015D1E09"/>
    <w:rsid w:val="017E7B67"/>
    <w:rsid w:val="021F4B31"/>
    <w:rsid w:val="02656155"/>
    <w:rsid w:val="02697903"/>
    <w:rsid w:val="028751E3"/>
    <w:rsid w:val="02A06B95"/>
    <w:rsid w:val="02F96569"/>
    <w:rsid w:val="03512315"/>
    <w:rsid w:val="03825F52"/>
    <w:rsid w:val="03B83384"/>
    <w:rsid w:val="03CE5C58"/>
    <w:rsid w:val="03D24D73"/>
    <w:rsid w:val="03D80464"/>
    <w:rsid w:val="03EA7B21"/>
    <w:rsid w:val="04A81969"/>
    <w:rsid w:val="05575388"/>
    <w:rsid w:val="0559048B"/>
    <w:rsid w:val="05E65754"/>
    <w:rsid w:val="05F83EAE"/>
    <w:rsid w:val="063E7D85"/>
    <w:rsid w:val="069A2926"/>
    <w:rsid w:val="07137F07"/>
    <w:rsid w:val="07293586"/>
    <w:rsid w:val="07295285"/>
    <w:rsid w:val="07636392"/>
    <w:rsid w:val="07770C56"/>
    <w:rsid w:val="07F921E9"/>
    <w:rsid w:val="08001556"/>
    <w:rsid w:val="092217DD"/>
    <w:rsid w:val="093A7294"/>
    <w:rsid w:val="0941005D"/>
    <w:rsid w:val="0A14728E"/>
    <w:rsid w:val="0A263993"/>
    <w:rsid w:val="0A2D3AC2"/>
    <w:rsid w:val="0A661336"/>
    <w:rsid w:val="0AA755DF"/>
    <w:rsid w:val="0AB923CF"/>
    <w:rsid w:val="0AD149A9"/>
    <w:rsid w:val="0B120D44"/>
    <w:rsid w:val="0B59503D"/>
    <w:rsid w:val="0BD27BF6"/>
    <w:rsid w:val="0C3B3C7D"/>
    <w:rsid w:val="0C4B47A6"/>
    <w:rsid w:val="0CAB2EAE"/>
    <w:rsid w:val="0CFE15AA"/>
    <w:rsid w:val="0D312A96"/>
    <w:rsid w:val="0D621C7D"/>
    <w:rsid w:val="0DB8482F"/>
    <w:rsid w:val="0E6527EC"/>
    <w:rsid w:val="0E73034D"/>
    <w:rsid w:val="0E7D7AB8"/>
    <w:rsid w:val="0E7E449A"/>
    <w:rsid w:val="0E9E3A1A"/>
    <w:rsid w:val="0F136AEF"/>
    <w:rsid w:val="0F13775A"/>
    <w:rsid w:val="0F2E34B4"/>
    <w:rsid w:val="0F3F28AE"/>
    <w:rsid w:val="0F5048C4"/>
    <w:rsid w:val="0F5F45FE"/>
    <w:rsid w:val="0F9A112B"/>
    <w:rsid w:val="0FDB69B3"/>
    <w:rsid w:val="0FEB33B6"/>
    <w:rsid w:val="100B4700"/>
    <w:rsid w:val="102C6595"/>
    <w:rsid w:val="106D2F64"/>
    <w:rsid w:val="10A27607"/>
    <w:rsid w:val="10B63710"/>
    <w:rsid w:val="10F10820"/>
    <w:rsid w:val="111C2F7A"/>
    <w:rsid w:val="11282BC2"/>
    <w:rsid w:val="11584BE5"/>
    <w:rsid w:val="11665CA1"/>
    <w:rsid w:val="117D6659"/>
    <w:rsid w:val="137B6F34"/>
    <w:rsid w:val="13951726"/>
    <w:rsid w:val="13A332EB"/>
    <w:rsid w:val="141640DA"/>
    <w:rsid w:val="14396509"/>
    <w:rsid w:val="14A34507"/>
    <w:rsid w:val="14DD2C3C"/>
    <w:rsid w:val="15635C69"/>
    <w:rsid w:val="15730D37"/>
    <w:rsid w:val="16087E1D"/>
    <w:rsid w:val="16101012"/>
    <w:rsid w:val="16294C1D"/>
    <w:rsid w:val="167F1E9B"/>
    <w:rsid w:val="16A653F5"/>
    <w:rsid w:val="16B87FF6"/>
    <w:rsid w:val="172A1D4A"/>
    <w:rsid w:val="17701D14"/>
    <w:rsid w:val="17735226"/>
    <w:rsid w:val="17910B09"/>
    <w:rsid w:val="18656279"/>
    <w:rsid w:val="189F624C"/>
    <w:rsid w:val="199577E8"/>
    <w:rsid w:val="1A1C66C0"/>
    <w:rsid w:val="1A285777"/>
    <w:rsid w:val="1A3B1016"/>
    <w:rsid w:val="1A42393B"/>
    <w:rsid w:val="1A6A374A"/>
    <w:rsid w:val="1AA61034"/>
    <w:rsid w:val="1AAD45DE"/>
    <w:rsid w:val="1AF94062"/>
    <w:rsid w:val="1B046F80"/>
    <w:rsid w:val="1B3267B5"/>
    <w:rsid w:val="1B40161D"/>
    <w:rsid w:val="1B441859"/>
    <w:rsid w:val="1B6606B1"/>
    <w:rsid w:val="1BB86BC4"/>
    <w:rsid w:val="1BBE2606"/>
    <w:rsid w:val="1C5E7925"/>
    <w:rsid w:val="1CFD070F"/>
    <w:rsid w:val="1D0D2CCD"/>
    <w:rsid w:val="1D5F6196"/>
    <w:rsid w:val="1D6132A5"/>
    <w:rsid w:val="1D8E56D5"/>
    <w:rsid w:val="1DA6602C"/>
    <w:rsid w:val="1E7A43DA"/>
    <w:rsid w:val="1EBD41DB"/>
    <w:rsid w:val="1F32289B"/>
    <w:rsid w:val="1F9F50A0"/>
    <w:rsid w:val="1FDA6A83"/>
    <w:rsid w:val="1FE7539E"/>
    <w:rsid w:val="1FF94064"/>
    <w:rsid w:val="200F2193"/>
    <w:rsid w:val="20671BE0"/>
    <w:rsid w:val="20963CB8"/>
    <w:rsid w:val="20A81A1B"/>
    <w:rsid w:val="20B07FB6"/>
    <w:rsid w:val="20B646FB"/>
    <w:rsid w:val="20FD6336"/>
    <w:rsid w:val="211631AD"/>
    <w:rsid w:val="213B74B1"/>
    <w:rsid w:val="214F5CFE"/>
    <w:rsid w:val="21513CC2"/>
    <w:rsid w:val="21542B00"/>
    <w:rsid w:val="215A2310"/>
    <w:rsid w:val="216433FD"/>
    <w:rsid w:val="21DE318A"/>
    <w:rsid w:val="21EF5B80"/>
    <w:rsid w:val="22375EEF"/>
    <w:rsid w:val="22576990"/>
    <w:rsid w:val="225B3F0E"/>
    <w:rsid w:val="2270520D"/>
    <w:rsid w:val="22F47480"/>
    <w:rsid w:val="236E3F52"/>
    <w:rsid w:val="238A3C11"/>
    <w:rsid w:val="23B35C0C"/>
    <w:rsid w:val="23DE1C48"/>
    <w:rsid w:val="240210CD"/>
    <w:rsid w:val="2431683F"/>
    <w:rsid w:val="24BF09F7"/>
    <w:rsid w:val="252D53FE"/>
    <w:rsid w:val="25365F04"/>
    <w:rsid w:val="255D1D9F"/>
    <w:rsid w:val="25784CF6"/>
    <w:rsid w:val="25A53340"/>
    <w:rsid w:val="25A907F3"/>
    <w:rsid w:val="25AF5901"/>
    <w:rsid w:val="25EC2D81"/>
    <w:rsid w:val="268D2EC7"/>
    <w:rsid w:val="26F70B68"/>
    <w:rsid w:val="27220408"/>
    <w:rsid w:val="272A39CA"/>
    <w:rsid w:val="276A7739"/>
    <w:rsid w:val="277057A2"/>
    <w:rsid w:val="27C5559F"/>
    <w:rsid w:val="285936E1"/>
    <w:rsid w:val="28E14F01"/>
    <w:rsid w:val="28EF2C91"/>
    <w:rsid w:val="2911014B"/>
    <w:rsid w:val="291263E6"/>
    <w:rsid w:val="29206EB8"/>
    <w:rsid w:val="29595666"/>
    <w:rsid w:val="29874881"/>
    <w:rsid w:val="29E325E0"/>
    <w:rsid w:val="29F32A64"/>
    <w:rsid w:val="2A452503"/>
    <w:rsid w:val="2B2325C7"/>
    <w:rsid w:val="2BA936A8"/>
    <w:rsid w:val="2C315A5A"/>
    <w:rsid w:val="2C4B1C25"/>
    <w:rsid w:val="2D536DD7"/>
    <w:rsid w:val="2D9E56F5"/>
    <w:rsid w:val="2DA33FD0"/>
    <w:rsid w:val="2E667F96"/>
    <w:rsid w:val="2E8226AB"/>
    <w:rsid w:val="2EC172F4"/>
    <w:rsid w:val="2EF30DB0"/>
    <w:rsid w:val="2F0A57B7"/>
    <w:rsid w:val="2FA2023E"/>
    <w:rsid w:val="2FB66DE3"/>
    <w:rsid w:val="2FD065E6"/>
    <w:rsid w:val="2FD96870"/>
    <w:rsid w:val="2FD97D27"/>
    <w:rsid w:val="30580BC9"/>
    <w:rsid w:val="307867CE"/>
    <w:rsid w:val="30D22741"/>
    <w:rsid w:val="311E2ED7"/>
    <w:rsid w:val="315619EE"/>
    <w:rsid w:val="315C449C"/>
    <w:rsid w:val="31B82709"/>
    <w:rsid w:val="31D05482"/>
    <w:rsid w:val="31D84FBC"/>
    <w:rsid w:val="320655E1"/>
    <w:rsid w:val="320B09BF"/>
    <w:rsid w:val="321002B9"/>
    <w:rsid w:val="32330B44"/>
    <w:rsid w:val="323A0F8F"/>
    <w:rsid w:val="32400B34"/>
    <w:rsid w:val="324D6727"/>
    <w:rsid w:val="3297001D"/>
    <w:rsid w:val="329E6876"/>
    <w:rsid w:val="333015F2"/>
    <w:rsid w:val="334B6320"/>
    <w:rsid w:val="33604304"/>
    <w:rsid w:val="33D934D4"/>
    <w:rsid w:val="33FE2F6A"/>
    <w:rsid w:val="340E07E5"/>
    <w:rsid w:val="34235BF7"/>
    <w:rsid w:val="34E0253A"/>
    <w:rsid w:val="358C5FA8"/>
    <w:rsid w:val="359438DB"/>
    <w:rsid w:val="35C15DF1"/>
    <w:rsid w:val="35F26D61"/>
    <w:rsid w:val="35F51823"/>
    <w:rsid w:val="36074A7F"/>
    <w:rsid w:val="360D155A"/>
    <w:rsid w:val="36563070"/>
    <w:rsid w:val="36923549"/>
    <w:rsid w:val="36B75FBF"/>
    <w:rsid w:val="36BD0C45"/>
    <w:rsid w:val="36C5188E"/>
    <w:rsid w:val="37135653"/>
    <w:rsid w:val="371419BA"/>
    <w:rsid w:val="37392D0D"/>
    <w:rsid w:val="376924DD"/>
    <w:rsid w:val="377C5B39"/>
    <w:rsid w:val="37867EF8"/>
    <w:rsid w:val="37A30521"/>
    <w:rsid w:val="37C841DD"/>
    <w:rsid w:val="37E00298"/>
    <w:rsid w:val="37F20F3E"/>
    <w:rsid w:val="383602D8"/>
    <w:rsid w:val="387E402B"/>
    <w:rsid w:val="38B302F9"/>
    <w:rsid w:val="38F12CD3"/>
    <w:rsid w:val="38F94775"/>
    <w:rsid w:val="392971ED"/>
    <w:rsid w:val="39325651"/>
    <w:rsid w:val="396F3BE4"/>
    <w:rsid w:val="39D44666"/>
    <w:rsid w:val="3A327811"/>
    <w:rsid w:val="3A3B56D2"/>
    <w:rsid w:val="3A8465C6"/>
    <w:rsid w:val="3A872856"/>
    <w:rsid w:val="3AC07DC0"/>
    <w:rsid w:val="3B2D264A"/>
    <w:rsid w:val="3B3763D1"/>
    <w:rsid w:val="3B68143A"/>
    <w:rsid w:val="3C2F6E1E"/>
    <w:rsid w:val="3C4C153F"/>
    <w:rsid w:val="3C4F64BA"/>
    <w:rsid w:val="3CDA245A"/>
    <w:rsid w:val="3CFE24AE"/>
    <w:rsid w:val="3D1E06B7"/>
    <w:rsid w:val="3D2900B1"/>
    <w:rsid w:val="3EDA0523"/>
    <w:rsid w:val="3EFC0C82"/>
    <w:rsid w:val="3F34637E"/>
    <w:rsid w:val="407A6407"/>
    <w:rsid w:val="40922907"/>
    <w:rsid w:val="40A11CC1"/>
    <w:rsid w:val="40CD1EB9"/>
    <w:rsid w:val="41F74D91"/>
    <w:rsid w:val="4200449D"/>
    <w:rsid w:val="423A3BCC"/>
    <w:rsid w:val="424E57D2"/>
    <w:rsid w:val="42B26C49"/>
    <w:rsid w:val="431D54C1"/>
    <w:rsid w:val="433A6FE6"/>
    <w:rsid w:val="43480868"/>
    <w:rsid w:val="4350713C"/>
    <w:rsid w:val="436653E0"/>
    <w:rsid w:val="43C4431A"/>
    <w:rsid w:val="44B951CC"/>
    <w:rsid w:val="44CD14E0"/>
    <w:rsid w:val="44F20B0B"/>
    <w:rsid w:val="44FC7CAD"/>
    <w:rsid w:val="45112B1C"/>
    <w:rsid w:val="452E5F4C"/>
    <w:rsid w:val="45612018"/>
    <w:rsid w:val="458946E9"/>
    <w:rsid w:val="45A47C0E"/>
    <w:rsid w:val="45CD46CD"/>
    <w:rsid w:val="464D007C"/>
    <w:rsid w:val="46577FD6"/>
    <w:rsid w:val="46D955A7"/>
    <w:rsid w:val="47133957"/>
    <w:rsid w:val="47A07E0C"/>
    <w:rsid w:val="47AA56A6"/>
    <w:rsid w:val="47E02D45"/>
    <w:rsid w:val="47F17750"/>
    <w:rsid w:val="486C0F7C"/>
    <w:rsid w:val="4870272E"/>
    <w:rsid w:val="48713601"/>
    <w:rsid w:val="48CE29B7"/>
    <w:rsid w:val="49361C47"/>
    <w:rsid w:val="49747F75"/>
    <w:rsid w:val="499951E0"/>
    <w:rsid w:val="49DC7715"/>
    <w:rsid w:val="4A023139"/>
    <w:rsid w:val="4A7B576F"/>
    <w:rsid w:val="4AA2455A"/>
    <w:rsid w:val="4AF561A9"/>
    <w:rsid w:val="4BC77BF2"/>
    <w:rsid w:val="4C3E0383"/>
    <w:rsid w:val="4C4A0649"/>
    <w:rsid w:val="4C6C7FDF"/>
    <w:rsid w:val="4C7E5ECA"/>
    <w:rsid w:val="4C8230DA"/>
    <w:rsid w:val="4C876AA5"/>
    <w:rsid w:val="4CE80AF5"/>
    <w:rsid w:val="4CF5603D"/>
    <w:rsid w:val="4D0E00FB"/>
    <w:rsid w:val="4D176606"/>
    <w:rsid w:val="4D327C7B"/>
    <w:rsid w:val="4D8A655A"/>
    <w:rsid w:val="4DD34FA6"/>
    <w:rsid w:val="4DEC4FB0"/>
    <w:rsid w:val="4E075D8A"/>
    <w:rsid w:val="4EA97B00"/>
    <w:rsid w:val="4EC00FAD"/>
    <w:rsid w:val="4ED764BB"/>
    <w:rsid w:val="4EF639CD"/>
    <w:rsid w:val="4F9843DC"/>
    <w:rsid w:val="4FC62A8C"/>
    <w:rsid w:val="4FE20F0D"/>
    <w:rsid w:val="4FE51552"/>
    <w:rsid w:val="4FE9681C"/>
    <w:rsid w:val="500033BC"/>
    <w:rsid w:val="50504C4B"/>
    <w:rsid w:val="50846CC5"/>
    <w:rsid w:val="509C6E7C"/>
    <w:rsid w:val="5162104E"/>
    <w:rsid w:val="5249541F"/>
    <w:rsid w:val="526B6872"/>
    <w:rsid w:val="528B5B4A"/>
    <w:rsid w:val="52A818EF"/>
    <w:rsid w:val="537371FA"/>
    <w:rsid w:val="53A039CC"/>
    <w:rsid w:val="53A1505A"/>
    <w:rsid w:val="54063E08"/>
    <w:rsid w:val="543437E8"/>
    <w:rsid w:val="54F73313"/>
    <w:rsid w:val="54F80955"/>
    <w:rsid w:val="553B4516"/>
    <w:rsid w:val="555170A7"/>
    <w:rsid w:val="555D4189"/>
    <w:rsid w:val="5587536D"/>
    <w:rsid w:val="559B174B"/>
    <w:rsid w:val="55CE0CF4"/>
    <w:rsid w:val="564B0D6D"/>
    <w:rsid w:val="56B22A9C"/>
    <w:rsid w:val="57B72A76"/>
    <w:rsid w:val="57C3426C"/>
    <w:rsid w:val="57CE1F93"/>
    <w:rsid w:val="5808165A"/>
    <w:rsid w:val="587C3015"/>
    <w:rsid w:val="588743D1"/>
    <w:rsid w:val="5887701A"/>
    <w:rsid w:val="58DF1C91"/>
    <w:rsid w:val="59C0439F"/>
    <w:rsid w:val="5A2A00CC"/>
    <w:rsid w:val="5A465017"/>
    <w:rsid w:val="5A81084C"/>
    <w:rsid w:val="5ABE2233"/>
    <w:rsid w:val="5AE22680"/>
    <w:rsid w:val="5B18602C"/>
    <w:rsid w:val="5BDF5D95"/>
    <w:rsid w:val="5BFE7528"/>
    <w:rsid w:val="5DA645C2"/>
    <w:rsid w:val="5DD75C90"/>
    <w:rsid w:val="5DF671E1"/>
    <w:rsid w:val="5E2467F1"/>
    <w:rsid w:val="5E823F5C"/>
    <w:rsid w:val="5EFC7ED7"/>
    <w:rsid w:val="5F033A53"/>
    <w:rsid w:val="5F1A2B43"/>
    <w:rsid w:val="5FAF77AE"/>
    <w:rsid w:val="5FB837BB"/>
    <w:rsid w:val="603E48D2"/>
    <w:rsid w:val="60CC405A"/>
    <w:rsid w:val="612A6FCE"/>
    <w:rsid w:val="61853E39"/>
    <w:rsid w:val="619E70CE"/>
    <w:rsid w:val="61E215D8"/>
    <w:rsid w:val="621B3775"/>
    <w:rsid w:val="62364782"/>
    <w:rsid w:val="627562BA"/>
    <w:rsid w:val="62CB333F"/>
    <w:rsid w:val="62E03BBD"/>
    <w:rsid w:val="62E83139"/>
    <w:rsid w:val="632C053E"/>
    <w:rsid w:val="63422F30"/>
    <w:rsid w:val="63487E35"/>
    <w:rsid w:val="6394356A"/>
    <w:rsid w:val="63C61B2C"/>
    <w:rsid w:val="63D40BE9"/>
    <w:rsid w:val="64102431"/>
    <w:rsid w:val="64A5243A"/>
    <w:rsid w:val="64D32252"/>
    <w:rsid w:val="64DF2BBE"/>
    <w:rsid w:val="64F531DE"/>
    <w:rsid w:val="65285D36"/>
    <w:rsid w:val="65373578"/>
    <w:rsid w:val="65616DD7"/>
    <w:rsid w:val="667F5E1E"/>
    <w:rsid w:val="668C11F9"/>
    <w:rsid w:val="671F124A"/>
    <w:rsid w:val="677A33C6"/>
    <w:rsid w:val="67946B80"/>
    <w:rsid w:val="681F6961"/>
    <w:rsid w:val="682805AD"/>
    <w:rsid w:val="68494705"/>
    <w:rsid w:val="68610A2F"/>
    <w:rsid w:val="68805514"/>
    <w:rsid w:val="69316E2F"/>
    <w:rsid w:val="694E2071"/>
    <w:rsid w:val="69766163"/>
    <w:rsid w:val="697A3B33"/>
    <w:rsid w:val="69C029E1"/>
    <w:rsid w:val="69D44760"/>
    <w:rsid w:val="6A520EC7"/>
    <w:rsid w:val="6A720CA9"/>
    <w:rsid w:val="6A877CD7"/>
    <w:rsid w:val="6ADC66B7"/>
    <w:rsid w:val="6AF87E20"/>
    <w:rsid w:val="6B322639"/>
    <w:rsid w:val="6B8C6D5A"/>
    <w:rsid w:val="6BEF6DAB"/>
    <w:rsid w:val="6BF4098F"/>
    <w:rsid w:val="6BF43BE2"/>
    <w:rsid w:val="6C5D1346"/>
    <w:rsid w:val="6C636C38"/>
    <w:rsid w:val="6C8B10E0"/>
    <w:rsid w:val="6C941818"/>
    <w:rsid w:val="6CA428B7"/>
    <w:rsid w:val="6D195EFC"/>
    <w:rsid w:val="6D5B2DBD"/>
    <w:rsid w:val="6D9474C6"/>
    <w:rsid w:val="6DB34098"/>
    <w:rsid w:val="6DB545B6"/>
    <w:rsid w:val="6DE02FB4"/>
    <w:rsid w:val="6E514CED"/>
    <w:rsid w:val="6E8B5A05"/>
    <w:rsid w:val="6EB563D5"/>
    <w:rsid w:val="6EBC6EF9"/>
    <w:rsid w:val="6ED92677"/>
    <w:rsid w:val="6F225983"/>
    <w:rsid w:val="6FCA36A4"/>
    <w:rsid w:val="6FFC5590"/>
    <w:rsid w:val="705B0B53"/>
    <w:rsid w:val="705E1F26"/>
    <w:rsid w:val="706D1DD0"/>
    <w:rsid w:val="70856B87"/>
    <w:rsid w:val="708D7D11"/>
    <w:rsid w:val="70C8792F"/>
    <w:rsid w:val="70D527EE"/>
    <w:rsid w:val="715B5300"/>
    <w:rsid w:val="718B44FD"/>
    <w:rsid w:val="71D27F8A"/>
    <w:rsid w:val="71DF0205"/>
    <w:rsid w:val="72050CD4"/>
    <w:rsid w:val="72436182"/>
    <w:rsid w:val="72553024"/>
    <w:rsid w:val="73122968"/>
    <w:rsid w:val="731F5D5E"/>
    <w:rsid w:val="73AA3056"/>
    <w:rsid w:val="73C51AD5"/>
    <w:rsid w:val="73F727E4"/>
    <w:rsid w:val="741E793C"/>
    <w:rsid w:val="745E3944"/>
    <w:rsid w:val="749B52FD"/>
    <w:rsid w:val="74FC1A62"/>
    <w:rsid w:val="75654A56"/>
    <w:rsid w:val="75D10DAE"/>
    <w:rsid w:val="76203008"/>
    <w:rsid w:val="7635099D"/>
    <w:rsid w:val="768B4395"/>
    <w:rsid w:val="76C33D03"/>
    <w:rsid w:val="774240FA"/>
    <w:rsid w:val="77762421"/>
    <w:rsid w:val="779A7C02"/>
    <w:rsid w:val="77B56B1F"/>
    <w:rsid w:val="77F94AC2"/>
    <w:rsid w:val="780F09F4"/>
    <w:rsid w:val="78651763"/>
    <w:rsid w:val="78A02AA9"/>
    <w:rsid w:val="78A90480"/>
    <w:rsid w:val="78F75ED8"/>
    <w:rsid w:val="79132CF2"/>
    <w:rsid w:val="79E8585B"/>
    <w:rsid w:val="7A082DD3"/>
    <w:rsid w:val="7A1B275E"/>
    <w:rsid w:val="7A364017"/>
    <w:rsid w:val="7A371106"/>
    <w:rsid w:val="7A4835AD"/>
    <w:rsid w:val="7A8265E1"/>
    <w:rsid w:val="7B686D42"/>
    <w:rsid w:val="7B841746"/>
    <w:rsid w:val="7C6C5AC7"/>
    <w:rsid w:val="7CC60405"/>
    <w:rsid w:val="7CC6544B"/>
    <w:rsid w:val="7CCB29D4"/>
    <w:rsid w:val="7D0239FF"/>
    <w:rsid w:val="7D342A4D"/>
    <w:rsid w:val="7D5939EC"/>
    <w:rsid w:val="7D5E40CD"/>
    <w:rsid w:val="7DAD1B91"/>
    <w:rsid w:val="7DCD56F2"/>
    <w:rsid w:val="7E4358C5"/>
    <w:rsid w:val="7EB30ADB"/>
    <w:rsid w:val="7F001CE7"/>
    <w:rsid w:val="7FE47E50"/>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semiHidden="0" w:uiPriority="0" w:unhideWhenUsed="0"/>
    <w:lsdException w:name="caption" w:locked="1" w:uiPriority="0" w:qFormat="1"/>
    <w:lsdException w:name="table of figures" w:locked="1" w:semiHidden="0" w:uiPriority="0" w:unhideWhenUsed="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qFormat="1"/>
    <w:lsdException w:name="Body Text First Indent 2" w:locked="1" w:semiHidden="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qFormat="1"/>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nhideWhenUsed="0" w:qFormat="1"/>
    <w:lsdException w:name="Table Theme"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2"/>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link w:val="20"/>
    <w:qFormat/>
    <w:locked/>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a">
    <w:name w:val="日期 字符"/>
    <w:semiHidden/>
    <w:rPr>
      <w:rFonts w:ascii="Times New Roman" w:eastAsia="宋体" w:hAnsi="Times New Roman"/>
      <w:sz w:val="24"/>
    </w:rPr>
  </w:style>
  <w:style w:type="character" w:customStyle="1" w:styleId="a0">
    <w:name w:val="页眉 字符"/>
    <w:link w:val="Header"/>
    <w:locked/>
    <w:rPr>
      <w:sz w:val="18"/>
    </w:rPr>
  </w:style>
  <w:style w:type="character" w:customStyle="1" w:styleId="a1">
    <w:name w:val="普通(网站) 字符"/>
    <w:link w:val="NormalWeb"/>
    <w:locked/>
    <w:rPr>
      <w:rFonts w:ascii="宋体" w:eastAsia="宋体" w:hAnsi="宋体"/>
      <w:sz w:val="24"/>
    </w:rPr>
  </w:style>
  <w:style w:type="character" w:customStyle="1" w:styleId="1">
    <w:name w:val="页脚 字符1"/>
    <w:link w:val="Footer"/>
    <w:uiPriority w:val="99"/>
    <w:locked/>
    <w:rPr>
      <w:sz w:val="18"/>
    </w:rPr>
  </w:style>
  <w:style w:type="character" w:customStyle="1" w:styleId="unnamed11">
    <w:name w:val="unnamed11"/>
    <w:qFormat/>
    <w:rPr>
      <w:sz w:val="21"/>
    </w:rPr>
  </w:style>
  <w:style w:type="character" w:styleId="CommentReference">
    <w:name w:val="annotation reference"/>
    <w:semiHidden/>
    <w:rPr>
      <w:sz w:val="21"/>
    </w:rPr>
  </w:style>
  <w:style w:type="character" w:customStyle="1" w:styleId="2">
    <w:name w:val="正文文本首行缩进 2 字符"/>
    <w:rPr>
      <w:rFonts w:ascii="Calibri" w:hAnsi="Calibri" w:cs="Verdana" w:hint="default"/>
      <w:kern w:val="2"/>
      <w:sz w:val="24"/>
      <w:szCs w:val="24"/>
      <w:lang w:eastAsia="en-US"/>
    </w:rPr>
  </w:style>
  <w:style w:type="character" w:customStyle="1" w:styleId="10">
    <w:name w:val="正文文本 字符1"/>
    <w:semiHidden/>
    <w:rPr>
      <w:rFonts w:ascii="Times New Roman" w:eastAsia="宋体" w:hAnsi="Times New Roman"/>
      <w:sz w:val="24"/>
    </w:rPr>
  </w:style>
  <w:style w:type="character" w:customStyle="1" w:styleId="a2">
    <w:name w:val="批注框文本 字符"/>
    <w:link w:val="BalloonText"/>
    <w:semiHidden/>
    <w:locked/>
    <w:rPr>
      <w:rFonts w:ascii="Times New Roman" w:eastAsia="宋体" w:hAnsi="Times New Roman"/>
      <w:sz w:val="18"/>
    </w:rPr>
  </w:style>
  <w:style w:type="character" w:customStyle="1" w:styleId="20">
    <w:name w:val="标题 2 字符"/>
    <w:link w:val="Heading2"/>
    <w:rPr>
      <w:rFonts w:ascii="Arial" w:eastAsia="黑体" w:hAnsi="Arial"/>
      <w:b/>
      <w:bCs/>
      <w:kern w:val="2"/>
      <w:sz w:val="32"/>
      <w:szCs w:val="32"/>
    </w:rPr>
  </w:style>
  <w:style w:type="character" w:customStyle="1" w:styleId="11">
    <w:name w:val="批注文字 字符1"/>
    <w:semiHidden/>
    <w:rPr>
      <w:rFonts w:ascii="Times New Roman" w:eastAsia="宋体" w:hAnsi="Times New Roman"/>
      <w:sz w:val="24"/>
    </w:rPr>
  </w:style>
  <w:style w:type="character" w:customStyle="1" w:styleId="Char">
    <w:name w:val="表格 Char"/>
    <w:link w:val="a11"/>
    <w:qFormat/>
    <w:locked/>
    <w:rPr>
      <w:rFonts w:ascii="宋体"/>
      <w:sz w:val="21"/>
    </w:rPr>
  </w:style>
  <w:style w:type="character" w:customStyle="1" w:styleId="a3">
    <w:name w:val="正文文本缩进 字符"/>
    <w:link w:val="BodyTextIndent"/>
    <w:semiHidden/>
    <w:locked/>
    <w:rPr>
      <w:rFonts w:ascii="Times New Roman" w:eastAsia="宋体" w:hAnsi="Times New Roman"/>
      <w:sz w:val="24"/>
    </w:rPr>
  </w:style>
  <w:style w:type="character" w:styleId="PageNumber">
    <w:name w:val="page number"/>
    <w:locked/>
  </w:style>
  <w:style w:type="character" w:customStyle="1" w:styleId="a4">
    <w:name w:val="批注主题 字符"/>
    <w:link w:val="CommentSubject"/>
    <w:semiHidden/>
    <w:locked/>
    <w:rPr>
      <w:rFonts w:ascii="Times New Roman" w:eastAsia="宋体" w:hAnsi="Times New Roman"/>
      <w:b/>
      <w:kern w:val="2"/>
      <w:sz w:val="24"/>
    </w:rPr>
  </w:style>
  <w:style w:type="character" w:customStyle="1" w:styleId="12">
    <w:name w:val="日期 字符1"/>
    <w:link w:val="Date"/>
    <w:locked/>
    <w:rPr>
      <w:rFonts w:ascii="Times New Roman" w:eastAsia="宋体" w:hAnsi="Times New Roman"/>
      <w:sz w:val="24"/>
    </w:rPr>
  </w:style>
  <w:style w:type="character" w:customStyle="1" w:styleId="a5">
    <w:name w:val="正文文本 字符"/>
    <w:link w:val="BodyText"/>
    <w:locked/>
    <w:rPr>
      <w:sz w:val="18"/>
    </w:rPr>
  </w:style>
  <w:style w:type="character" w:customStyle="1" w:styleId="CharCharCharCharCharCharCharChar">
    <w:name w:val=" Char Char Char Char Char Char Char Char"/>
    <w:link w:val="CharCharCharChar"/>
    <w:rPr>
      <w:rFonts w:ascii="宋体" w:hAnsi="宋体" w:cs="宋体"/>
      <w:bCs/>
      <w:sz w:val="24"/>
      <w:szCs w:val="24"/>
    </w:rPr>
  </w:style>
  <w:style w:type="character" w:customStyle="1" w:styleId="a6">
    <w:name w:val="页脚 字符"/>
    <w:uiPriority w:val="99"/>
  </w:style>
  <w:style w:type="character" w:customStyle="1" w:styleId="a7">
    <w:name w:val="批注文字 字符"/>
    <w:link w:val="CommentText"/>
    <w:locked/>
    <w:rPr>
      <w:rFonts w:ascii="Times New Roman" w:eastAsia="宋体" w:hAnsi="Times New Roman"/>
      <w:sz w:val="24"/>
    </w:rPr>
  </w:style>
  <w:style w:type="paragraph" w:customStyle="1" w:styleId="5">
    <w:name w:val="样式5"/>
    <w:basedOn w:val="13"/>
    <w:next w:val="Normal"/>
    <w:qFormat/>
    <w:pPr>
      <w:snapToGrid w:val="0"/>
      <w:spacing w:line="360" w:lineRule="auto"/>
      <w:ind w:firstLine="510"/>
    </w:pPr>
    <w:rPr>
      <w:sz w:val="24"/>
    </w:rPr>
  </w:style>
  <w:style w:type="paragraph" w:styleId="CommentText">
    <w:name w:val="annotation text"/>
    <w:basedOn w:val="Normal"/>
    <w:link w:val="a7"/>
    <w:semiHidden/>
    <w:pPr>
      <w:jc w:val="left"/>
    </w:pPr>
    <w:rPr>
      <w:kern w:val="0"/>
      <w:sz w:val="24"/>
      <w:szCs w:val="20"/>
    </w:rPr>
  </w:style>
  <w:style w:type="paragraph" w:styleId="Date">
    <w:name w:val="Date"/>
    <w:basedOn w:val="Normal"/>
    <w:next w:val="Normal"/>
    <w:link w:val="12"/>
    <w:pPr>
      <w:ind w:left="100" w:leftChars="2500"/>
    </w:pPr>
    <w:rPr>
      <w:kern w:val="0"/>
      <w:sz w:val="24"/>
      <w:szCs w:val="20"/>
    </w:rPr>
  </w:style>
  <w:style w:type="paragraph" w:customStyle="1" w:styleId="Default">
    <w:name w:val="Default"/>
    <w:qFormat/>
    <w:pPr>
      <w:widowControl w:val="0"/>
      <w:autoSpaceDE w:val="0"/>
      <w:autoSpaceDN w:val="0"/>
    </w:pPr>
    <w:rPr>
      <w:rFonts w:ascii="宋体" w:cs="宋体"/>
      <w:color w:val="000000"/>
      <w:sz w:val="24"/>
      <w:szCs w:val="24"/>
      <w:lang w:val="en-US" w:eastAsia="zh-CN" w:bidi="ar-SA"/>
    </w:rPr>
  </w:style>
  <w:style w:type="paragraph" w:customStyle="1" w:styleId="a8">
    <w:name w:val="表格式"/>
    <w:basedOn w:val="List"/>
    <w:qFormat/>
    <w:pPr>
      <w:spacing w:beforeLines="50" w:afterLines="50" w:line="200" w:lineRule="exact"/>
      <w:ind w:left="0" w:firstLine="0" w:firstLineChars="0"/>
      <w:jc w:val="center"/>
    </w:pPr>
    <w:rPr>
      <w:szCs w:val="20"/>
    </w:rPr>
  </w:style>
  <w:style w:type="paragraph" w:customStyle="1" w:styleId="21">
    <w:name w:val="普通(网站)2"/>
    <w:basedOn w:val="Normal"/>
    <w:pPr>
      <w:widowControl/>
      <w:spacing w:before="100" w:beforeAutospacing="1" w:after="100" w:afterAutospacing="1"/>
      <w:jc w:val="left"/>
    </w:pPr>
    <w:rPr>
      <w:rFonts w:ascii="宋体" w:hAnsi="宋体"/>
      <w:sz w:val="24"/>
      <w:szCs w:val="20"/>
    </w:rPr>
  </w:style>
  <w:style w:type="paragraph" w:styleId="Title">
    <w:name w:val="Title"/>
    <w:basedOn w:val="Normal"/>
    <w:next w:val="Normal"/>
    <w:qFormat/>
    <w:locked/>
    <w:pPr>
      <w:ind w:firstLine="0" w:firstLineChars="0"/>
      <w:outlineLvl w:val="0"/>
    </w:pPr>
    <w:rPr>
      <w:rFonts w:ascii="Cambria" w:hAnsi="Cambria"/>
      <w:b/>
      <w:bCs/>
      <w:sz w:val="32"/>
      <w:szCs w:val="32"/>
    </w:rPr>
  </w:style>
  <w:style w:type="paragraph" w:styleId="PlainText">
    <w:name w:val="Plain Text"/>
    <w:basedOn w:val="Normal"/>
    <w:qFormat/>
    <w:locked/>
    <w:pPr>
      <w:widowControl/>
      <w:spacing w:before="100" w:beforeAutospacing="1" w:after="100" w:afterAutospacing="1"/>
      <w:jc w:val="left"/>
    </w:pPr>
    <w:rPr>
      <w:rFonts w:ascii="宋体" w:hAnsi="宋体" w:cs="宋体"/>
      <w:kern w:val="0"/>
      <w:sz w:val="24"/>
      <w:szCs w:val="24"/>
    </w:rPr>
  </w:style>
  <w:style w:type="paragraph" w:customStyle="1" w:styleId="a9">
    <w:name w:val="表格内容"/>
    <w:next w:val="Normal"/>
    <w:qFormat/>
    <w:pPr>
      <w:spacing w:line="300" w:lineRule="auto"/>
      <w:ind w:left="-4" w:right="-69" w:firstLine="55" w:leftChars="-2" w:rightChars="-33" w:firstLineChars="26"/>
      <w:jc w:val="center"/>
    </w:pPr>
    <w:rPr>
      <w:rFonts w:ascii="Calibri" w:eastAsia="仿宋_GB2312" w:hAnsi="Calibri"/>
      <w:sz w:val="21"/>
      <w:szCs w:val="21"/>
      <w:lang w:val="en-US" w:eastAsia="zh-CN" w:bidi="ar-SA"/>
    </w:rPr>
  </w:style>
  <w:style w:type="paragraph" w:customStyle="1" w:styleId="CharCharCharChar">
    <w:name w:val=" Char Char Char Char"/>
    <w:basedOn w:val="Normal"/>
    <w:link w:val="CharCharCharCharCharCharCharChar"/>
    <w:qFormat/>
    <w:pPr>
      <w:spacing w:line="360" w:lineRule="auto"/>
      <w:ind w:firstLine="200" w:firstLineChars="200"/>
    </w:pPr>
    <w:rPr>
      <w:rFonts w:ascii="宋体" w:hAnsi="宋体" w:cs="宋体"/>
      <w:bCs/>
      <w:sz w:val="24"/>
      <w:szCs w:val="24"/>
    </w:rPr>
  </w:style>
  <w:style w:type="paragraph" w:styleId="BlockText">
    <w:name w:val="Block Text"/>
    <w:basedOn w:val="Normal"/>
    <w:qFormat/>
    <w:locked/>
    <w:pPr>
      <w:spacing w:line="500" w:lineRule="exact"/>
      <w:ind w:left="91" w:right="102" w:firstLine="496" w:leftChars="38" w:firstLineChars="200"/>
    </w:pPr>
    <w:rPr>
      <w:rFonts w:ascii="宋体" w:hAnsi="宋体"/>
      <w:spacing w:val="4"/>
      <w:sz w:val="24"/>
    </w:rPr>
  </w:style>
  <w:style w:type="paragraph" w:customStyle="1" w:styleId="100">
    <w:name w:val="正文_10"/>
    <w:pPr>
      <w:widowControl w:val="0"/>
      <w:jc w:val="both"/>
    </w:pPr>
    <w:rPr>
      <w:kern w:val="2"/>
      <w:sz w:val="21"/>
      <w:szCs w:val="22"/>
      <w:lang w:val="en-US" w:eastAsia="zh-CN" w:bidi="ar-SA"/>
    </w:rPr>
  </w:style>
  <w:style w:type="paragraph" w:customStyle="1" w:styleId="a10">
    <w:name w:val="表"/>
    <w:basedOn w:val="Title"/>
    <w:qFormat/>
    <w:pPr>
      <w:spacing w:line="300" w:lineRule="exact"/>
    </w:pPr>
    <w:rPr>
      <w:rFonts w:ascii="Times New Roman" w:hAnsi="Times New Roman"/>
      <w:b w:val="0"/>
      <w:sz w:val="21"/>
    </w:rPr>
  </w:style>
  <w:style w:type="paragraph" w:customStyle="1" w:styleId="13">
    <w:name w:val="正文1"/>
    <w:basedOn w:val="Normal"/>
    <w:qFormat/>
  </w:style>
  <w:style w:type="paragraph" w:styleId="BodyTextFirstIndent2">
    <w:name w:val="Body Text First Indent 2"/>
    <w:basedOn w:val="BodyTextIndent"/>
    <w:next w:val="Normal"/>
    <w:uiPriority w:val="99"/>
    <w:qFormat/>
    <w:locked/>
    <w:pPr>
      <w:ind w:firstLine="420" w:firstLineChars="200"/>
    </w:pPr>
  </w:style>
  <w:style w:type="paragraph" w:styleId="CommentSubject">
    <w:name w:val="annotation subject"/>
    <w:basedOn w:val="CommentText"/>
    <w:next w:val="CommentText"/>
    <w:link w:val="a4"/>
    <w:semiHidden/>
    <w:rPr>
      <w:b/>
      <w:sz w:val="24"/>
      <w:szCs w:val="20"/>
    </w:rPr>
  </w:style>
  <w:style w:type="paragraph" w:styleId="TableofFigures">
    <w:name w:val="table of figures"/>
    <w:basedOn w:val="Normal"/>
    <w:next w:val="Normal"/>
    <w:qFormat/>
    <w:locked/>
    <w:pPr>
      <w:ind w:hanging="200" w:leftChars="200" w:hangingChars="200"/>
    </w:pPr>
    <w:rPr>
      <w:rFonts w:ascii="Calibri" w:hAnsi="Calibri"/>
    </w:rPr>
  </w:style>
  <w:style w:type="paragraph" w:styleId="List">
    <w:name w:val="List"/>
    <w:basedOn w:val="Normal"/>
    <w:semiHidden/>
    <w:qFormat/>
    <w:locked/>
    <w:pPr>
      <w:spacing w:line="240" w:lineRule="auto"/>
      <w:ind w:left="200" w:hanging="200" w:hangingChars="200"/>
    </w:pPr>
    <w:rPr>
      <w:sz w:val="21"/>
      <w:szCs w:val="24"/>
    </w:rPr>
  </w:style>
  <w:style w:type="paragraph" w:styleId="Footer">
    <w:name w:val="footer"/>
    <w:basedOn w:val="Normal"/>
    <w:link w:val="1"/>
    <w:uiPriority w:val="99"/>
    <w:pPr>
      <w:tabs>
        <w:tab w:val="center" w:pos="4153"/>
        <w:tab w:val="right" w:pos="8306"/>
      </w:tabs>
      <w:snapToGrid w:val="0"/>
      <w:jc w:val="left"/>
    </w:pPr>
    <w:rPr>
      <w:kern w:val="0"/>
      <w:sz w:val="18"/>
      <w:szCs w:val="20"/>
    </w:rPr>
  </w:style>
  <w:style w:type="paragraph" w:styleId="BalloonText">
    <w:name w:val="Balloon Text"/>
    <w:basedOn w:val="Normal"/>
    <w:link w:val="a2"/>
    <w:semiHidden/>
    <w:rPr>
      <w:kern w:val="0"/>
      <w:sz w:val="18"/>
      <w:szCs w:val="20"/>
    </w:rPr>
  </w:style>
  <w:style w:type="paragraph" w:styleId="BodyTextIndent">
    <w:name w:val="Body Text Indent"/>
    <w:basedOn w:val="Normal"/>
    <w:link w:val="a3"/>
    <w:pPr>
      <w:spacing w:after="120"/>
      <w:ind w:left="420" w:leftChars="200"/>
    </w:pPr>
    <w:rPr>
      <w:kern w:val="0"/>
      <w:sz w:val="24"/>
      <w:szCs w:val="20"/>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Normal"/>
    <w:qFormat/>
    <w:pPr>
      <w:spacing w:line="360" w:lineRule="auto"/>
      <w:ind w:firstLine="200" w:firstLineChars="200"/>
    </w:pPr>
    <w:rPr>
      <w:rFonts w:ascii="宋体"/>
      <w:sz w:val="24"/>
    </w:rPr>
  </w:style>
  <w:style w:type="paragraph" w:customStyle="1" w:styleId="CharCharCharChar06">
    <w:name w:val="样式 正文文本文本正文正文文字 Char Char Char Char + 居中 首行缩进: 0 厘米 段前: 6 磅"/>
    <w:qFormat/>
    <w:pPr>
      <w:widowControl w:val="0"/>
      <w:spacing w:before="120"/>
      <w:jc w:val="center"/>
    </w:pPr>
    <w:rPr>
      <w:rFonts w:ascii="仿宋_GB2312" w:eastAsia="仿宋_GB2312" w:hint="eastAsia"/>
      <w:b/>
      <w:kern w:val="2"/>
      <w:sz w:val="28"/>
      <w:szCs w:val="28"/>
      <w:lang w:val="en-US" w:eastAsia="zh-CN" w:bidi="ar-SA"/>
    </w:rPr>
  </w:style>
  <w:style w:type="paragraph" w:styleId="BodyText">
    <w:name w:val="Body Text"/>
    <w:basedOn w:val="Normal"/>
    <w:link w:val="a5"/>
    <w:pPr>
      <w:widowControl/>
      <w:snapToGrid w:val="0"/>
      <w:spacing w:before="60" w:after="160" w:line="259" w:lineRule="auto"/>
      <w:ind w:right="113"/>
    </w:pPr>
    <w:rPr>
      <w:kern w:val="0"/>
      <w:sz w:val="18"/>
      <w:szCs w:val="20"/>
    </w:rPr>
  </w:style>
  <w:style w:type="paragraph" w:customStyle="1" w:styleId="a11">
    <w:name w:val="表格"/>
    <w:basedOn w:val="Normal"/>
    <w:next w:val="Normal"/>
    <w:link w:val="Char"/>
    <w:pPr>
      <w:adjustRightInd w:val="0"/>
      <w:snapToGrid w:val="0"/>
      <w:spacing w:beforeLines="10" w:afterLines="10" w:line="259" w:lineRule="auto"/>
      <w:jc w:val="center"/>
    </w:pPr>
    <w:rPr>
      <w:rFonts w:ascii="宋体"/>
      <w:kern w:val="0"/>
      <w:szCs w:val="20"/>
    </w:rPr>
  </w:style>
  <w:style w:type="paragraph" w:styleId="Header">
    <w:name w:val="header"/>
    <w:basedOn w:val="Normal"/>
    <w:link w:val="a0"/>
    <w:pPr>
      <w:pBdr>
        <w:bottom w:val="single" w:sz="6" w:space="1" w:color="auto"/>
      </w:pBdr>
      <w:tabs>
        <w:tab w:val="center" w:pos="4153"/>
        <w:tab w:val="right" w:pos="8306"/>
      </w:tabs>
      <w:snapToGrid w:val="0"/>
      <w:jc w:val="center"/>
    </w:pPr>
    <w:rPr>
      <w:kern w:val="0"/>
      <w:sz w:val="18"/>
      <w:szCs w:val="20"/>
    </w:rPr>
  </w:style>
  <w:style w:type="paragraph" w:styleId="ListParagraph">
    <w:name w:val="List Paragraph"/>
    <w:basedOn w:val="Normal"/>
    <w:uiPriority w:val="1"/>
    <w:qFormat/>
    <w:pPr>
      <w:spacing w:before="1"/>
      <w:ind w:left="1505" w:hanging="601"/>
    </w:pPr>
    <w:rPr>
      <w:rFonts w:ascii="宋体" w:hAnsi="宋体" w:cs="宋体"/>
      <w:lang w:val="zh-CN" w:bidi="zh-CN"/>
    </w:rPr>
  </w:style>
  <w:style w:type="paragraph" w:styleId="BodyTextFirstIndent">
    <w:name w:val="Body Text First Indent"/>
    <w:basedOn w:val="BodyText"/>
    <w:qFormat/>
    <w:locked/>
    <w:pPr>
      <w:spacing w:after="120"/>
      <w:ind w:firstLine="420" w:firstLineChars="100"/>
    </w:pPr>
    <w:rPr>
      <w:sz w:val="21"/>
    </w:rPr>
  </w:style>
  <w:style w:type="paragraph" w:styleId="NormalWeb">
    <w:name w:val="Normal (Web)"/>
    <w:basedOn w:val="Normal"/>
    <w:link w:val="a1"/>
    <w:pPr>
      <w:widowControl/>
      <w:spacing w:before="100" w:beforeAutospacing="1" w:after="100" w:afterAutospacing="1"/>
      <w:jc w:val="left"/>
    </w:pPr>
    <w:rPr>
      <w:rFonts w:ascii="宋体" w:hAnsi="宋体"/>
      <w:kern w:val="0"/>
      <w:sz w:val="24"/>
      <w:szCs w:val="20"/>
    </w:rPr>
  </w:style>
  <w:style w:type="paragraph" w:customStyle="1" w:styleId="Default1">
    <w:name w:val="Default1"/>
    <w:qFormat/>
    <w:pPr>
      <w:widowControl w:val="0"/>
      <w:autoSpaceDE w:val="0"/>
      <w:autoSpaceDN w:val="0"/>
      <w:adjustRightInd w:val="0"/>
    </w:pPr>
    <w:rPr>
      <w:rFonts w:ascii="宋体" w:cs="宋体"/>
      <w:color w:val="000000"/>
      <w:sz w:val="24"/>
      <w:szCs w:val="24"/>
      <w:lang w:val="en-US" w:eastAsia="zh-CN" w:bidi="ar-SA"/>
    </w:rPr>
  </w:style>
  <w:style w:type="paragraph" w:customStyle="1" w:styleId="a12">
    <w:name w:val="表头"/>
    <w:basedOn w:val="BodyText"/>
    <w:next w:val="Normal"/>
    <w:qFormat/>
    <w:pPr>
      <w:spacing w:line="240" w:lineRule="auto"/>
      <w:ind w:firstLine="0" w:firstLineChars="0"/>
      <w:jc w:val="center"/>
    </w:pPr>
    <w:rPr>
      <w:b/>
      <w:sz w:val="21"/>
    </w:rPr>
  </w:style>
  <w:style w:type="paragraph" w:customStyle="1" w:styleId="a13">
    <w:name w:val="表格文字"/>
    <w:basedOn w:val="BodyText"/>
    <w:next w:val="Normal"/>
    <w:pPr>
      <w:adjustRightInd w:val="0"/>
      <w:spacing w:after="0"/>
      <w:jc w:val="center"/>
    </w:pPr>
    <w:rPr>
      <w:snapToGrid w:val="0"/>
      <w:kern w:val="0"/>
      <w:szCs w:val="21"/>
    </w:rPr>
  </w:style>
  <w:style w:type="table" w:styleId="TableGrid">
    <w:name w:val="Table Grid"/>
    <w:basedOn w:val="TableNormal"/>
    <w:uiPriority w:val="99"/>
    <w:qFormat/>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yperlink" Target="https://d.book118.com/247000104164006053" TargetMode="Externa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file:///c:\dsoa\wdzx97.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0</TotalTime>
  <Pages>9</Pages>
  <Words>5340</Words>
  <Characters>30440</Characters>
  <Application>Microsoft Office Word</Application>
  <DocSecurity>0</DocSecurity>
  <Lines>253</Lines>
  <Paragraphs>71</Paragraphs>
  <ScaleCrop>false</ScaleCrop>
  <Company>微软中国</Company>
  <LinksUpToDate>false</LinksUpToDate>
  <CharactersWithSpaces>35709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497</cp:revision>
  <cp:lastPrinted>2022-03-17T03:45:00Z</cp:lastPrinted>
  <dcterms:created xsi:type="dcterms:W3CDTF">2020-12-24T01:29:00Z</dcterms:created>
  <dcterms:modified xsi:type="dcterms:W3CDTF">2024-03-18T07:31:20Z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FF4E37B2F9D6468DA8D50D0E58CBCA9B</vt:lpwstr>
  </property>
  <property fmtid="{D5CDD505-2E9C-101B-9397-08002B2CF9AE}" pid="3" name="KSOProductBuildVer">
    <vt:lpwstr>2052-11.1.0.10009</vt:lpwstr>
  </property>
</Properties>
</file>