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3640EB" w14:paraId="37247514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3640EB" w14:paraId="4B6B4B15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3640EB" w14:paraId="3453BD06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3640EB" w:rsidRPr="003640EB" w14:paraId="2B9C20DF" w14:textId="7B331DE9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3640EB">
        <w:rPr>
          <w:rFonts w:ascii="宋体" w:eastAsia="宋体" w:hAnsi="宋体" w:hint="eastAsia"/>
          <w:b/>
          <w:sz w:val="60"/>
        </w:rPr>
        <w:t>同位素分离装置项目指标评估报告</w:t>
      </w:r>
    </w:p>
    <w:p w:rsidR="003640EB" w:rsidP="003640EB" w14:paraId="2F5BC833" w14:textId="1274F307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3640EB">
        <w:rPr>
          <w:rFonts w:ascii="仿宋" w:eastAsia="仿宋" w:hAnsi="仿宋" w:hint="eastAsia"/>
          <w:b/>
          <w:sz w:val="40"/>
        </w:rPr>
        <w:t>目录</w:t>
      </w:r>
    </w:p>
    <w:p w:rsidR="003640EB" w14:paraId="0AAA6C35" w14:textId="17781681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序言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_Toc153811318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3640EB" w14:paraId="4705F52F" w14:textId="31808F0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一、环保分析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_Toc153811319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3640EB" w14:paraId="4A9BF44D" w14:textId="11A7D6E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(一)、建设期环境影响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_Toc153811320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3640EB" w14:paraId="5BF7FAD9" w14:textId="517A99C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(二)、营运期环境评价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_Toc153811321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3640EB" w14:paraId="535F3E9B" w14:textId="5A8A25E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(三)、环境管理与控制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_Toc153811322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3640EB" w14:paraId="07F1B01B" w14:textId="52180B1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(四)、环境改善与建议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_Toc153811323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3640EB" w14:paraId="5DFDAF95" w14:textId="3C07DE6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二、同位素分离装置项目概论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_Toc153811324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3640EB" w14:paraId="6845D4AC" w14:textId="6BB5C9D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(一)、同位素分离装置项目名称及投资人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_Toc153811325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3640EB" w14:paraId="59FCB9C0" w14:textId="350FBDE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(二)、编制原则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_Toc153811326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3640EB" w14:paraId="4F6EF0D6" w14:textId="47F8A21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(三)、编制依据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_Toc153811327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3640EB" w14:paraId="6E1A25C5" w14:textId="09345DA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(四)、编制范围及内容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_Toc153811328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3640EB" w14:paraId="7C27E336" w14:textId="47EB086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(五)、同位素分离装置项目建设背景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_Toc153811329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3640EB" w14:paraId="21447725" w14:textId="171CEC7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(六)、结论分析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_Toc153811330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3640EB" w14:paraId="5A9B88E7" w14:textId="02AF7E8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三、市场预测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_Toc153811331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3640EB" w14:paraId="1BDFE42E" w14:textId="1F93A4D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(一)、行业发展概况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_Toc153811332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3640EB" w14:paraId="77417F84" w14:textId="51E032B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(二)、影响行业发展主要因素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_Toc153811333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3640EB" w14:paraId="26C5DDBF" w14:textId="2556D4D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四、同位素分离装置项目规划进度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_Toc153811334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3640EB" w14:paraId="0FD8A65B" w14:textId="2AB891A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(一)、同位素分离装置项目进度安排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_Toc153811335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3640EB" w14:paraId="0572ACDB" w14:textId="1ADA3AF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(二)、同位素分离装置项目实施保障措施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_Toc153811336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3640EB" w14:paraId="1B5DFF17" w14:textId="5FAADC7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(三)、质量与安全控制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_Toc153811337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3640EB" w14:paraId="000FCB4F" w14:textId="43C02FB3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(四)、同位素分离装置项目进度监控与调整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_Toc153811338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3640EB" w14:paraId="78F740C8" w14:textId="66C4490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(五)、沟通与决策流程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_Toc153811339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3640EB" w14:paraId="407D2381" w14:textId="0C13BE4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五、同位素分离装置项目承办单位基本情况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_Toc153811340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3640EB" w14:paraId="1BC7F43E" w14:textId="14AC94C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(一)、公司基本信息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_Toc153811341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3640EB" w14:paraId="60F1A2F9" w14:textId="548CBE6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(二)、公司简介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_Toc153811342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3640EB" w14:paraId="310609FE" w14:textId="1CF0DCB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(三)、公司主要财务数据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_Toc153811343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3640EB" w14:paraId="4FBA1F74" w14:textId="7B271BD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(四)、核心人员介绍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_Toc153811344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3640EB" w14:paraId="3255783D" w14:textId="3C771BB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六、供应链管理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_Toc153811345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3640EB" w14:paraId="13F2807F" w14:textId="1A984A9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(一)、供应链概述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_Toc153811346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3640EB" w14:paraId="593854CA" w14:textId="379BC90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(二)、供应商选择与关系管理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_Toc153811347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3640EB" w14:paraId="61199C40" w14:textId="40ACC59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(三)、库存管理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_Toc153811348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3640EB" w14:paraId="2E8C3F68" w14:textId="3A720A1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(四)、物流与运输策略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_Toc153811349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3640EB" w14:paraId="556951CC" w14:textId="355B4CF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(五)、供应链风险管理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_Toc153811350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3640EB" w14:paraId="4473D0DB" w14:textId="50C0D19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七、风险风险及应对措施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_Toc153811351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3640EB" w14:paraId="2A2041EB" w14:textId="51B09CA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(一)、同位素分离装置项目风险分析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_Toc153811352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3640EB" w14:paraId="328D9E7A" w14:textId="39CB3BC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(二)、同位素分离装置项目风险对策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_Toc153811353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3640EB" w14:paraId="7E057A72" w14:textId="609E8D0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八、经济效益分析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_Toc153811354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3640EB" w14:paraId="3337563C" w14:textId="3799A00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(一)、基本假设及基础参数选取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_Toc153811355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3640EB" w14:paraId="6CF40825" w14:textId="09CA8EB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(二)、经济评价财务测算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_Toc153811356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3640EB" w14:paraId="68E9772A" w14:textId="3548A78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(三)、同位素分离装置项目盈利能力分析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_Toc153811357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3640EB" w14:paraId="5F8D6CAF" w14:textId="0AEE6F4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(四)、财务生存能力分析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_Toc153811358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:rsidR="003640EB" w14:paraId="4F8F5B07" w14:textId="6C98709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(五)、偿债能力分析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_Toc153811359 \h </w:instrText>
      </w:r>
      <w:r>
        <w:rPr>
          <w:noProof/>
        </w:rPr>
        <w:fldChar w:fldCharType="separate"/>
      </w:r>
      <w:r>
        <w:rPr>
          <w:noProof/>
        </w:rPr>
        <w:t>34</w:t>
      </w:r>
      <w:r>
        <w:rPr>
          <w:noProof/>
        </w:rPr>
        <w:fldChar w:fldCharType="end"/>
      </w:r>
    </w:p>
    <w:p w:rsidR="003640EB" w14:paraId="49A3F322" w14:textId="2B0473D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(六)、经济评价结论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_Toc153811360 \h </w:instrText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https://d.book118.com/247103135051006032</w:t>
        </w:r>
      </w:hyperlink>
    </w:p>
    <w:p w:rsidR="003640EB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440" w:right="1800" w:bottom="1440" w:left="1800" w:header="851" w:footer="992" w:gutter="0"/>
      <w:pgNumType w:start="3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640EB" w:rsidP="00F23194" w14:paraId="34B33806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640EB" w14:paraId="38EAFBD7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640EB" w:rsidP="00F23194" w14:paraId="5A790955" w14:textId="5C76073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3640EB" w14:paraId="1B549C0E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640EB" w14:paraId="01A8BBCD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640EB" w:rsidP="00F23194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640EB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640EB" w:rsidP="00F23194" w14:textId="5C76073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3640EB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640EB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640EB" w:rsidP="00F23194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640EB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640EB" w:rsidP="00F23194" w14:textId="5C76073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3640EB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640EB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640EB" w14:paraId="44CFE7CC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640EB" w:rsidRPr="003640EB" w:rsidP="003640EB" w14:paraId="4AD12C3E" w14:textId="41395807">
    <w:pPr>
      <w:pStyle w:val="Header"/>
      <w:rPr>
        <w:rFonts w:ascii="仿宋" w:eastAsia="仿宋" w:hAnsi="仿宋"/>
      </w:rPr>
    </w:pPr>
    <w:r w:rsidRPr="003640EB">
      <w:rPr>
        <w:rFonts w:ascii="仿宋" w:eastAsia="仿宋" w:hAnsi="仿宋" w:hint="eastAsia"/>
      </w:rPr>
      <w:t>同位素分离装置项目指标评估报告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640EB" w14:paraId="7475E62F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640EB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640EB" w:rsidRPr="003640EB" w:rsidP="003640EB" w14:textId="41395807">
    <w:pPr>
      <w:pStyle w:val="Header"/>
      <w:rPr>
        <w:rFonts w:ascii="仿宋" w:eastAsia="仿宋" w:hAnsi="仿宋"/>
      </w:rPr>
    </w:pPr>
    <w:r w:rsidRPr="003640EB">
      <w:rPr>
        <w:rFonts w:ascii="仿宋" w:eastAsia="仿宋" w:hAnsi="仿宋" w:hint="eastAsia"/>
      </w:rPr>
      <w:t>同位素分离装置项目指标评估报告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640EB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640EB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640EB" w:rsidRPr="003640EB" w:rsidP="003640EB" w14:textId="41395807">
    <w:pPr>
      <w:pStyle w:val="Header"/>
      <w:rPr>
        <w:rFonts w:ascii="仿宋" w:eastAsia="仿宋" w:hAnsi="仿宋"/>
      </w:rPr>
    </w:pPr>
    <w:r w:rsidRPr="003640EB">
      <w:rPr>
        <w:rFonts w:ascii="仿宋" w:eastAsia="仿宋" w:hAnsi="仿宋" w:hint="eastAsia"/>
      </w:rPr>
      <w:t>同位素分离装置项目指标评估报告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640EB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0EB"/>
    <w:rsid w:val="003640EB"/>
    <w:rsid w:val="006432A7"/>
    <w:rsid w:val="00F23194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E0FFD4C"/>
  <w15:chartTrackingRefBased/>
  <w15:docId w15:val="{4536A23E-F995-4922-A0BE-2AFB8392D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3640E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3640EB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3640EB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3640EB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3640E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3640EB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3640E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3640EB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3640EB"/>
  </w:style>
  <w:style w:type="paragraph" w:styleId="TOC1">
    <w:name w:val="toc 1"/>
    <w:basedOn w:val="Normal"/>
    <w:next w:val="Normal"/>
    <w:autoRedefine/>
    <w:uiPriority w:val="39"/>
    <w:unhideWhenUsed/>
    <w:rsid w:val="003640EB"/>
  </w:style>
  <w:style w:type="paragraph" w:styleId="TOC2">
    <w:name w:val="toc 2"/>
    <w:basedOn w:val="Normal"/>
    <w:next w:val="Normal"/>
    <w:autoRedefine/>
    <w:uiPriority w:val="39"/>
    <w:unhideWhenUsed/>
    <w:rsid w:val="003640EB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247103135051006032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3958</Words>
  <Characters>22567</Characters>
  <Application>Microsoft Office Word</Application>
  <DocSecurity>0</DocSecurity>
  <Lines>188</Lines>
  <Paragraphs>52</Paragraphs>
  <ScaleCrop>false</ScaleCrop>
  <Company/>
  <LinksUpToDate>false</LinksUpToDate>
  <CharactersWithSpaces>26473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建国 李</dc:creator>
  <cp:lastModifiedBy>建国 李</cp:lastModifiedBy>
  <cp:revision>1</cp:revision>
  <dcterms:created xsi:type="dcterms:W3CDTF">2023-12-18T09:01:00Z</dcterms:created>
  <dcterms:modified xsi:type="dcterms:W3CDTF">2023-12-18T09:01:00Z</dcterms:modified>
</cp:coreProperties>
</file>