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spacing w:before="192"/>
        <w:ind w:left="4842" w:right="0" w:firstLine="0"/>
        <w:jc w:val="left"/>
        <w:rPr>
          <w:rFonts w:ascii="黑体" w:eastAsia="黑体" w:hint="eastAsia"/>
          <w:b/>
          <w:sz w:val="29"/>
        </w:rPr>
      </w:pPr>
      <w:r>
        <w:rPr>
          <w:rFonts w:ascii="黑体" w:eastAsia="黑体" w:hint="eastAsia"/>
          <w:b/>
          <w:w w:val="95"/>
          <w:sz w:val="29"/>
        </w:rPr>
        <w:t>电控高压共轨喷射系统工程</w:t>
      </w: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37"/>
        </w:rPr>
      </w:pPr>
    </w:p>
    <w:p>
      <w:pPr>
        <w:spacing w:before="0"/>
        <w:ind w:left="1002" w:right="4453" w:firstLine="0"/>
        <w:jc w:val="center"/>
        <w:rPr>
          <w:rFonts w:ascii="黑体" w:eastAsia="黑体" w:hint="eastAsia"/>
          <w:b/>
          <w:sz w:val="29"/>
        </w:rPr>
      </w:pPr>
      <w:r>
        <w:rPr>
          <w:rFonts w:ascii="黑体" w:eastAsia="黑体" w:hint="eastAsia"/>
          <w:b/>
          <w:w w:val="95"/>
          <w:sz w:val="29"/>
        </w:rPr>
        <w:t>可行性争论报告</w:t>
      </w: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spacing w:before="11"/>
        <w:rPr>
          <w:rFonts w:ascii="黑体"/>
          <w:b/>
          <w:sz w:val="29"/>
        </w:rPr>
      </w:pPr>
    </w:p>
    <w:p>
      <w:pPr>
        <w:pStyle w:val="Heading1"/>
        <w:spacing w:before="37"/>
        <w:ind w:left="0" w:right="1805"/>
        <w:jc w:val="right"/>
        <w:rPr>
          <w:rFonts w:ascii="黑体" w:eastAsia="黑体" w:hint="eastAsia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856614</wp:posOffset>
            </wp:positionV>
            <wp:extent cx="11658600" cy="762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586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eastAsia="黑体" w:hint="eastAsia"/>
        </w:rPr>
        <w:t>规划设计 /</w:t>
      </w:r>
      <w:r>
        <w:rPr>
          <w:rFonts w:ascii="黑体" w:eastAsia="黑体" w:hint="eastAsia"/>
          <w:spacing w:val="-3"/>
        </w:rPr>
        <w:t xml:space="preserve"> 投资分析</w:t>
      </w:r>
    </w:p>
    <w:p>
      <w:pPr>
        <w:spacing w:after="0"/>
        <w:jc w:val="right"/>
        <w:rPr>
          <w:rFonts w:ascii="黑体" w:eastAsia="黑体" w:hint="eastAsia"/>
        </w:rPr>
        <w:sectPr>
          <w:headerReference w:type="even" r:id="rId5"/>
          <w:headerReference w:type="default" r:id="rId6"/>
          <w:type w:val="continuous"/>
          <w:pgSz w:w="18360" w:h="23760"/>
          <w:pgMar w:top="2260" w:right="0" w:bottom="280" w:left="0" w:header="869" w:footer="708"/>
          <w:cols w:space="708"/>
        </w:sect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spacing w:before="6"/>
        <w:rPr>
          <w:rFonts w:ascii="黑体"/>
          <w:b/>
          <w:sz w:val="14"/>
        </w:rPr>
      </w:pPr>
    </w:p>
    <w:p>
      <w:pPr>
        <w:pStyle w:val="BodyText"/>
        <w:spacing w:before="19"/>
        <w:ind w:left="4417" w:right="4453"/>
        <w:jc w:val="center"/>
        <w:rPr>
          <w:rFonts w:ascii="幼圆" w:eastAsia="幼圆" w:hint="eastAsia"/>
        </w:rPr>
      </w:pPr>
      <w:r>
        <w:rPr>
          <w:rFonts w:ascii="幼圆" w:eastAsia="幼圆" w:hint="eastAsia"/>
        </w:rPr>
        <w:t>电控高压共轨喷射系统工程可行性争论报告说明</w:t>
      </w:r>
    </w:p>
    <w:p>
      <w:pPr>
        <w:pStyle w:val="BodyText"/>
        <w:rPr>
          <w:rFonts w:ascii="幼圆"/>
          <w:sz w:val="44"/>
        </w:rPr>
      </w:pPr>
    </w:p>
    <w:p>
      <w:pPr>
        <w:pStyle w:val="BodyText"/>
        <w:spacing w:before="5"/>
        <w:rPr>
          <w:rFonts w:ascii="幼圆"/>
          <w:sz w:val="39"/>
        </w:rPr>
      </w:pPr>
    </w:p>
    <w:p>
      <w:pPr>
        <w:pStyle w:val="BodyText"/>
        <w:spacing w:line="405" w:lineRule="auto"/>
        <w:ind w:left="1800" w:right="1341" w:firstLine="900"/>
      </w:pPr>
      <w:r>
        <w:rPr>
          <w:w w:val="95"/>
        </w:rPr>
        <w:t>该电控高压共轨喷射系统工程打算总投资</w:t>
      </w:r>
      <w:r>
        <w:rPr>
          <w:spacing w:val="302"/>
        </w:rPr>
        <w:t xml:space="preserve"> </w:t>
      </w:r>
      <w:r>
        <w:rPr>
          <w:w w:val="95"/>
        </w:rPr>
        <w:t>10440.16</w:t>
      </w:r>
      <w:r>
        <w:rPr>
          <w:spacing w:val="293"/>
        </w:rPr>
        <w:t xml:space="preserve"> </w:t>
      </w:r>
      <w:r>
        <w:rPr>
          <w:w w:val="95"/>
        </w:rPr>
        <w:t>万元，其中：固定</w:t>
      </w:r>
      <w:r>
        <w:rPr>
          <w:spacing w:val="-1"/>
        </w:rPr>
        <w:t>资</w:t>
      </w:r>
      <w:r>
        <w:rPr>
          <w:spacing w:val="-16"/>
        </w:rPr>
        <w:t xml:space="preserve">产投资 </w:t>
      </w:r>
      <w:r>
        <w:rPr>
          <w:spacing w:val="-1"/>
        </w:rPr>
        <w:t>8325.36</w:t>
      </w:r>
      <w:r>
        <w:rPr>
          <w:spacing w:val="-14"/>
        </w:rPr>
        <w:t xml:space="preserve"> 万元，占工程总投资的 </w:t>
      </w:r>
      <w:r>
        <w:t>79.74</w:t>
      </w:r>
      <w:r>
        <w:rPr>
          <w:spacing w:val="-9"/>
        </w:rPr>
        <w:t xml:space="preserve">%；流淌资金 </w:t>
      </w:r>
      <w:r>
        <w:t>2114.80</w:t>
      </w:r>
      <w:r>
        <w:rPr>
          <w:spacing w:val="-49"/>
        </w:rPr>
        <w:t xml:space="preserve"> 万元， 占</w:t>
      </w:r>
      <w:r>
        <w:rPr>
          <w:spacing w:val="-16"/>
        </w:rPr>
        <w:t xml:space="preserve">工程总投资的 </w:t>
      </w:r>
      <w:r>
        <w:t>20.26%。</w:t>
      </w:r>
    </w:p>
    <w:p>
      <w:pPr>
        <w:pStyle w:val="BodyText"/>
        <w:spacing w:line="405" w:lineRule="auto"/>
        <w:ind w:left="1800" w:right="1928" w:firstLine="900"/>
      </w:pPr>
      <w:r>
        <w:rPr>
          <w:spacing w:val="1"/>
          <w:w w:val="95"/>
        </w:rPr>
        <w:t xml:space="preserve">达产年营业收入 </w:t>
      </w:r>
      <w:r>
        <w:rPr>
          <w:w w:val="95"/>
        </w:rPr>
        <w:t>19544.00</w:t>
      </w:r>
      <w:r>
        <w:rPr>
          <w:spacing w:val="1"/>
          <w:w w:val="95"/>
        </w:rPr>
        <w:t xml:space="preserve"> 万元，总本钱费用 </w:t>
      </w:r>
      <w:r>
        <w:rPr>
          <w:w w:val="95"/>
        </w:rPr>
        <w:t>15338.84 万元，税金及</w:t>
      </w:r>
      <w:r>
        <w:rPr>
          <w:spacing w:val="-1"/>
        </w:rPr>
        <w:t>附</w:t>
      </w:r>
      <w:r>
        <w:rPr>
          <w:spacing w:val="-55"/>
        </w:rPr>
        <w:t xml:space="preserve">加 </w:t>
      </w:r>
      <w:r>
        <w:rPr>
          <w:spacing w:val="-1"/>
        </w:rPr>
        <w:t>185.85</w:t>
      </w:r>
      <w:r>
        <w:rPr>
          <w:spacing w:val="-28"/>
        </w:rPr>
        <w:t xml:space="preserve"> 万元，利润总额 </w:t>
      </w:r>
      <w:r>
        <w:rPr>
          <w:spacing w:val="-1"/>
        </w:rPr>
        <w:t>4205.16</w:t>
      </w:r>
      <w:r>
        <w:rPr>
          <w:spacing w:val="-27"/>
        </w:rPr>
        <w:t xml:space="preserve"> 万元，利税总额 </w:t>
      </w:r>
      <w:r>
        <w:t>4971.03</w:t>
      </w:r>
      <w:r>
        <w:rPr>
          <w:spacing w:val="-18"/>
        </w:rPr>
        <w:t xml:space="preserve"> 万元，税后净</w:t>
      </w:r>
      <w:r>
        <w:rPr>
          <w:spacing w:val="-37"/>
        </w:rPr>
        <w:t xml:space="preserve">利润 </w:t>
      </w:r>
      <w:r>
        <w:t>3153.87</w:t>
      </w:r>
      <w:r>
        <w:rPr>
          <w:spacing w:val="-21"/>
        </w:rPr>
        <w:t xml:space="preserve"> 万元，达产年纳税总额 </w:t>
      </w:r>
      <w:r>
        <w:t>1817.16</w:t>
      </w:r>
      <w:r>
        <w:rPr>
          <w:spacing w:val="-12"/>
        </w:rPr>
        <w:t xml:space="preserve"> 万元；达产年投资利润率</w:t>
      </w:r>
      <w:r>
        <w:rPr>
          <w:spacing w:val="-1"/>
        </w:rPr>
        <w:t>40.28%，</w:t>
      </w:r>
      <w:r>
        <w:rPr>
          <w:spacing w:val="-19"/>
        </w:rPr>
        <w:t xml:space="preserve">投资利税率 </w:t>
      </w:r>
      <w:r>
        <w:t>47.61</w:t>
      </w:r>
      <w:r>
        <w:rPr>
          <w:spacing w:val="-14"/>
        </w:rPr>
        <w:t xml:space="preserve">%，投资回报率 </w:t>
      </w:r>
      <w:r>
        <w:t>30.21%，全部投资回收期 4.81</w:t>
      </w:r>
      <w:r>
        <w:rPr>
          <w:spacing w:val="1"/>
        </w:rPr>
        <w:t xml:space="preserve"> </w:t>
      </w:r>
      <w:r>
        <w:rPr>
          <w:spacing w:val="-13"/>
        </w:rPr>
        <w:t xml:space="preserve">年，供给就业职位 </w:t>
      </w:r>
      <w:r>
        <w:t>291</w:t>
      </w:r>
      <w:r>
        <w:rPr>
          <w:spacing w:val="-39"/>
        </w:rPr>
        <w:t xml:space="preserve"> 个。</w:t>
      </w:r>
    </w:p>
    <w:p>
      <w:pPr>
        <w:pStyle w:val="BodyText"/>
        <w:spacing w:line="405" w:lineRule="auto"/>
        <w:ind w:left="1800" w:right="2157" w:firstLine="900"/>
        <w:jc w:val="both"/>
      </w:pPr>
      <w:r>
        <w:rPr>
          <w:spacing w:val="-1"/>
        </w:rPr>
        <w:t>严格遵守国家产业进展政策和地方产业进展规划的原则。工程肯定要遵循国家有关相关产业政策，深入进展市场调查，严密跟踪工程产品市场走势，确保工程具有良好的经济效益和进展前景。工程建设必需依法遵循国家的各项政策、法规和法令，必需完全符合国家产业进展政策、相关行</w:t>
      </w:r>
      <w:r>
        <w:t>业投资方向及进展规划的具体要求。</w:t>
      </w:r>
    </w:p>
    <w:p>
      <w:pPr>
        <w:pStyle w:val="BodyText"/>
        <w:spacing w:line="569" w:lineRule="exact"/>
        <w:ind w:left="2700"/>
      </w:pPr>
      <w:r>
        <w:t>......</w:t>
      </w:r>
    </w:p>
    <w:p>
      <w:pPr>
        <w:pStyle w:val="BodyText"/>
        <w:spacing w:before="385" w:line="405" w:lineRule="auto"/>
        <w:ind w:left="1800" w:right="1709" w:firstLine="900"/>
      </w:pPr>
      <w:r>
        <w:t>主要内容：概论、背景、必要性分析、产业争论、建设规划方案、项</w:t>
      </w:r>
      <w:r>
        <w:rPr>
          <w:spacing w:val="1"/>
        </w:rPr>
        <w:t xml:space="preserve"> </w:t>
      </w:r>
      <w:r>
        <w:rPr>
          <w:spacing w:val="-1"/>
        </w:rPr>
        <w:t>目选址、土建工程说明、工程工艺及设备分析、环境保护说明、职业保护、</w:t>
      </w:r>
    </w:p>
    <w:p>
      <w:pPr>
        <w:spacing w:after="0" w:line="405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https://d.book118.com/248004010100006023</w:t>
        </w:r>
      </w:hyperlink>
    </w:p>
    <w:p>
      <w:pPr>
        <w:spacing w:after="0" w:line="405" w:lineRule="auto"/>
      </w:pPr>
    </w:p>
    <w:sectPr>
      <w:headerReference w:type="even" r:id="rId8"/>
      <w:headerReference w:type="default" r:id="rId9"/>
      <w:pgSz w:w="18360" w:h="23760"/>
      <w:pgMar w:top="2260" w:right="0" w:bottom="280" w:left="0" w:header="869" w:footer="0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10.75pt;height:16.95pt;margin-top:42.45pt;margin-left:89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</w:p>
            </w:txbxContent>
          </v:textbox>
        </v:shape>
      </w:pict>
    </w:r>
    <w:r>
      <w:pict>
        <v:shape id="_x0000_s2050" type="#_x0000_t202" style="width:285.9pt;height:16.95pt;margin-top:42.45pt;margin-left:220.43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w w:val="95"/>
                    <w:sz w:val="30"/>
                  </w:rPr>
                  <w:t>电控高压共轨喷射系统工程可行性争论报告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10.75pt;height:16.95pt;margin-top:42.45pt;margin-left:89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</w:p>
            </w:txbxContent>
          </v:textbox>
        </v:shape>
      </w:pict>
    </w:r>
    <w:r>
      <w:pict>
        <v:shape id="_x0000_s2052" type="#_x0000_t202" style="width:285.9pt;height:16.95pt;margin-top:42.45pt;margin-left:220.43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w w:val="95"/>
                    <w:sz w:val="30"/>
                  </w:rPr>
                  <w:t>电控高压共轨喷射系统工程可行性争论报告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110.75pt;height:16.95pt;margin-top:42.45pt;margin-left:89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</w:p>
            </w:txbxContent>
          </v:textbox>
        </v:shape>
      </w:pict>
    </w:r>
    <w:r>
      <w:pict>
        <v:shape id="_x0000_s2054" type="#_x0000_t202" style="width:285.9pt;height:16.95pt;margin-top:42.45pt;margin-left:220.43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w w:val="95"/>
                    <w:sz w:val="30"/>
                  </w:rPr>
                  <w:t>电控高压共轨喷射系统工程可行性争论报告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110.75pt;height:16.95pt;margin-top:42.45pt;margin-left:89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</w:p>
            </w:txbxContent>
          </v:textbox>
        </v:shape>
      </w:pict>
    </w:r>
    <w:r>
      <w:pict>
        <v:shape id="_x0000_s2056" type="#_x0000_t202" style="width:285.9pt;height:16.95pt;margin-top:42.45pt;margin-left:220.43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w w:val="95"/>
                    <w:sz w:val="30"/>
                  </w:rPr>
                  <w:t>电控高压共轨喷射系统工程可行性争论报告</w:t>
                </w:r>
              </w:p>
            </w:txbxContent>
          </v:textbox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evenAndOddHeaders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45"/>
      <w:szCs w:val="45"/>
    </w:rPr>
  </w:style>
  <w:style w:type="paragraph" w:customStyle="1" w:styleId="Heading1">
    <w:name w:val="Heading 1"/>
    <w:basedOn w:val="Normal"/>
    <w:uiPriority w:val="1"/>
    <w:qFormat/>
    <w:pPr>
      <w:ind w:left="2700"/>
      <w:outlineLvl w:val="1"/>
    </w:pPr>
    <w:rPr>
      <w:rFonts w:ascii="仿宋" w:eastAsia="仿宋" w:hAnsi="仿宋" w:cs="仿宋"/>
      <w:b/>
      <w:bCs/>
      <w:sz w:val="45"/>
      <w:szCs w:val="45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rPr>
      <w:rFonts w:ascii="仿宋" w:eastAsia="仿宋" w:hAnsi="仿宋" w:cs="仿宋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eader" Target="header1.xml" /><Relationship Id="rId6" Type="http://schemas.openxmlformats.org/officeDocument/2006/relationships/header" Target="header2.xml" /><Relationship Id="rId7" Type="http://schemas.openxmlformats.org/officeDocument/2006/relationships/hyperlink" Target="https://d.book118.com/248004010100006023" TargetMode="External" /><Relationship Id="rId8" Type="http://schemas.openxmlformats.org/officeDocument/2006/relationships/header" Target="header3.xml" /><Relationship Id="rId9" Type="http://schemas.openxmlformats.org/officeDocument/2006/relationships/header" Target="header4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2023-10-08T03:16:45Z</dcterms:created>
  <dcterms:modified xsi:type="dcterms:W3CDTF">2023-10-08T03:16:45Z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2023-03-13T00:00:00Z</vt:filetime>
  </property>
  <property fmtid="{D5CDD505-2E9C-101B-9397-08002B2CF9AE}" pid="3" name="LastSaved">
    <vt:filetime>2023-10-08T00:00:00Z</vt:filetime>
  </property>
</Properties>
</file>