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line="360" w:lineRule="auto"/>
        <w:jc w:val="center"/>
        <w:rPr>
          <w:b/>
          <w:sz w:val="32"/>
          <w:szCs w:val="32"/>
        </w:rPr>
      </w:pPr>
      <w:r>
        <w:rPr>
          <w:rFonts w:hint="eastAsia"/>
          <w:b/>
          <w:sz w:val="32"/>
          <w:szCs w:val="32"/>
        </w:rPr>
        <w:drawing>
          <wp:anchor distT="0" distB="0" distL="114300" distR="114300" simplePos="0" relativeHeight="251658240" behindDoc="0" locked="0" layoutInCell="1" allowOverlap="1">
            <wp:simplePos x="0" y="0"/>
            <wp:positionH relativeFrom="page">
              <wp:posOffset>10604500</wp:posOffset>
            </wp:positionH>
            <wp:positionV relativeFrom="topMargin">
              <wp:posOffset>11696700</wp:posOffset>
            </wp:positionV>
            <wp:extent cx="431800" cy="381000"/>
            <wp:effectExtent l="0" t="0" r="0" b="0"/>
            <wp:wrapNone/>
            <wp:docPr id="100048" name="图片 100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8" name="图片 100048"/>
                    <pic:cNvPicPr>
                      <a:picLocks noChangeAspect="1"/>
                    </pic:cNvPicPr>
                  </pic:nvPicPr>
                  <pic:blipFill>
                    <a:blip xmlns:r="http://schemas.openxmlformats.org/officeDocument/2006/relationships" r:embed="rId5"/>
                    <a:stretch>
                      <a:fillRect/>
                    </a:stretch>
                  </pic:blipFill>
                  <pic:spPr>
                    <a:xfrm>
                      <a:off x="0" y="0"/>
                      <a:ext cx="431800" cy="381000"/>
                    </a:xfrm>
                    <a:prstGeom prst="rect">
                      <a:avLst/>
                    </a:prstGeom>
                  </pic:spPr>
                </pic:pic>
              </a:graphicData>
            </a:graphic>
          </wp:anchor>
        </w:drawing>
      </w:r>
      <w:r>
        <w:rPr>
          <w:b/>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00034" o:spid="_x0000_s1025" type="#_x0000_t75" style="width:38pt;height:25pt;margin-top:963pt;margin-left:948pt;mso-height-relative:page;mso-position-horizontal-relative:page;mso-position-vertical-relative:page;mso-width-relative:page;position:absolute;z-index:251659264" coordsize="21600,21600" o:preferrelative="t" filled="f" stroked="f">
            <v:stroke joinstyle="miter"/>
            <v:imagedata r:id="rId6" o:title=""/>
            <o:lock v:ext="edit" aspectratio="t"/>
          </v:shape>
        </w:pict>
      </w:r>
      <w:r>
        <w:rPr>
          <w:rFonts w:hint="eastAsia"/>
          <w:b/>
          <w:sz w:val="32"/>
          <w:szCs w:val="32"/>
        </w:rPr>
        <w:t>五</w:t>
      </w:r>
      <w:r>
        <w:rPr>
          <w:b/>
          <w:sz w:val="32"/>
          <w:szCs w:val="32"/>
        </w:rPr>
        <w:t>年（201</w:t>
      </w:r>
      <w:r>
        <w:rPr>
          <w:rFonts w:hint="eastAsia"/>
          <w:b/>
          <w:sz w:val="32"/>
          <w:szCs w:val="32"/>
        </w:rPr>
        <w:t>9</w:t>
      </w:r>
      <w:r>
        <w:rPr>
          <w:b/>
          <w:sz w:val="32"/>
          <w:szCs w:val="32"/>
        </w:rPr>
        <w:t>-202</w:t>
      </w:r>
      <w:r>
        <w:rPr>
          <w:rFonts w:hint="eastAsia"/>
          <w:b/>
          <w:sz w:val="32"/>
          <w:szCs w:val="32"/>
        </w:rPr>
        <w:t>3</w:t>
      </w:r>
      <w:r>
        <w:rPr>
          <w:b/>
          <w:sz w:val="32"/>
          <w:szCs w:val="32"/>
        </w:rPr>
        <w:t>）年高考真题分项汇编</w:t>
      </w:r>
    </w:p>
    <w:p>
      <w:pPr>
        <w:spacing w:line="360" w:lineRule="auto"/>
        <w:jc w:val="center"/>
        <w:rPr>
          <w:rFonts w:eastAsia="华文行楷"/>
          <w:b/>
          <w:sz w:val="44"/>
          <w:szCs w:val="44"/>
        </w:rPr>
      </w:pPr>
      <w:r>
        <w:rPr>
          <w:rFonts w:eastAsia="华文行楷"/>
          <w:b/>
          <w:sz w:val="44"/>
          <w:szCs w:val="44"/>
        </w:rPr>
        <w:t>专题01  生活与消费</w:t>
      </w:r>
    </w:p>
    <w:p>
      <w:pPr>
        <w:shd w:val="clear" w:color="auto" w:fill="FFFFFF"/>
        <w:spacing w:line="360" w:lineRule="auto"/>
        <w:jc w:val="center"/>
        <w:textAlignment w:val="center"/>
        <w:rPr>
          <w:b/>
          <w:color w:val="0000FF"/>
          <w:sz w:val="30"/>
          <w:szCs w:val="30"/>
        </w:rPr>
      </w:pPr>
      <w:r>
        <w:rPr>
          <w:b/>
          <w:color w:val="0000FF"/>
          <w:sz w:val="30"/>
          <w:szCs w:val="30"/>
        </w:rPr>
        <w:pict>
          <v:shape id="_x0000_i1026" type="#_x0000_t75" style="width:195.75pt;height:54pt" coordsize="21600,21600" o:preferrelative="t" filled="f" stroked="f">
            <v:stroke joinstyle="miter"/>
            <v:imagedata r:id="rId7" o:title="d08d24f4050fa1342d9034b0775b57d"/>
            <o:lock v:ext="edit" aspectratio="t"/>
            <w10:anchorlock/>
          </v:shape>
        </w:pict>
      </w:r>
    </w:p>
    <w:p>
      <w:pPr>
        <w:shd w:val="clear" w:color="auto" w:fill="FFFFFF"/>
        <w:spacing w:line="360" w:lineRule="auto"/>
        <w:jc w:val="left"/>
        <w:textAlignment w:val="center"/>
        <w:rPr>
          <w:rFonts w:ascii="宋体" w:hAnsi="宋体" w:cs="宋体"/>
          <w:szCs w:val="21"/>
        </w:rPr>
      </w:pPr>
      <w:r>
        <w:rPr>
          <w:rFonts w:ascii="宋体" w:hAnsi="宋体" w:cs="宋体" w:hint="eastAsia"/>
          <w:szCs w:val="21"/>
        </w:rPr>
        <w:t>1．（2023·全国甲卷）马克思劳动价值论认为，劳动是劳动者的体力和脑力的支出；劳动者通过就业取得报酬，从而获得生活来源，使社会劳动力能够不断地再生产。下列属于劳动力再生产所需费用的是（</w:t>
      </w:r>
      <w:r>
        <w:rPr>
          <w:rFonts w:ascii="宋体" w:hAnsi="宋体" w:cs="宋体" w:hint="eastAsia"/>
          <w:kern w:val="0"/>
          <w:szCs w:val="21"/>
        </w:rPr>
        <w:t>   </w:t>
      </w:r>
      <w:r>
        <w:rPr>
          <w:rFonts w:ascii="宋体" w:hAnsi="宋体" w:cs="宋体" w:hint="eastAsia"/>
          <w:szCs w:val="21"/>
        </w:rPr>
        <w:t>）</w:t>
      </w:r>
    </w:p>
    <w:p>
      <w:pPr>
        <w:shd w:val="clear" w:color="auto" w:fill="FFFFFF"/>
        <w:spacing w:line="360" w:lineRule="auto"/>
        <w:jc w:val="left"/>
        <w:textAlignment w:val="center"/>
        <w:rPr>
          <w:rFonts w:ascii="宋体" w:hAnsi="宋体" w:cs="宋体"/>
          <w:szCs w:val="21"/>
        </w:rPr>
      </w:pPr>
      <w:r>
        <w:rPr>
          <w:rFonts w:ascii="宋体" w:hAnsi="宋体" w:cs="宋体" w:hint="eastAsia"/>
          <w:szCs w:val="21"/>
        </w:rPr>
        <w:t>①房租</w:t>
      </w:r>
    </w:p>
    <w:p>
      <w:pPr>
        <w:shd w:val="clear" w:color="auto" w:fill="FFFFFF"/>
        <w:spacing w:line="360" w:lineRule="auto"/>
        <w:jc w:val="left"/>
        <w:textAlignment w:val="center"/>
        <w:rPr>
          <w:rFonts w:ascii="宋体" w:hAnsi="宋体" w:cs="宋体"/>
          <w:szCs w:val="21"/>
        </w:rPr>
      </w:pPr>
      <w:r>
        <w:rPr>
          <w:rFonts w:ascii="宋体" w:hAnsi="宋体" w:cs="宋体" w:hint="eastAsia"/>
          <w:szCs w:val="21"/>
        </w:rPr>
        <w:t>②教育培训费</w:t>
      </w:r>
    </w:p>
    <w:p>
      <w:pPr>
        <w:shd w:val="clear" w:color="auto" w:fill="FFFFFF"/>
        <w:spacing w:line="360" w:lineRule="auto"/>
        <w:jc w:val="left"/>
        <w:textAlignment w:val="center"/>
        <w:rPr>
          <w:rFonts w:ascii="宋体" w:hAnsi="宋体" w:cs="宋体"/>
          <w:szCs w:val="21"/>
        </w:rPr>
      </w:pPr>
      <w:r>
        <w:rPr>
          <w:rFonts w:ascii="宋体" w:hAnsi="宋体" w:cs="宋体" w:hint="eastAsia"/>
          <w:szCs w:val="21"/>
        </w:rPr>
        <w:t>③旅游支出</w:t>
      </w:r>
    </w:p>
    <w:p>
      <w:pPr>
        <w:shd w:val="clear" w:color="auto" w:fill="FFFFFF"/>
        <w:spacing w:line="360" w:lineRule="auto"/>
        <w:jc w:val="left"/>
        <w:textAlignment w:val="center"/>
        <w:rPr>
          <w:rFonts w:ascii="宋体" w:hAnsi="宋体" w:cs="宋体"/>
          <w:szCs w:val="21"/>
        </w:rPr>
      </w:pPr>
      <w:r>
        <w:rPr>
          <w:rFonts w:ascii="宋体" w:hAnsi="宋体" w:cs="宋体" w:hint="eastAsia"/>
          <w:szCs w:val="21"/>
        </w:rPr>
        <w:t>④娱乐平台会员费</w:t>
      </w:r>
    </w:p>
    <w:p>
      <w:pPr>
        <w:shd w:val="clear" w:color="auto" w:fill="FFFFFF"/>
        <w:tabs>
          <w:tab w:val="left" w:pos="2078"/>
          <w:tab w:val="left" w:pos="4156"/>
          <w:tab w:val="left" w:pos="6234"/>
        </w:tabs>
        <w:spacing w:line="360" w:lineRule="auto"/>
        <w:jc w:val="left"/>
        <w:textAlignment w:val="center"/>
        <w:rPr>
          <w:rFonts w:ascii="宋体" w:hAnsi="宋体" w:cs="宋体"/>
          <w:szCs w:val="21"/>
        </w:rPr>
      </w:pPr>
      <w:r>
        <w:rPr>
          <w:rFonts w:ascii="宋体" w:hAnsi="宋体" w:cs="宋体" w:hint="eastAsia"/>
          <w:szCs w:val="21"/>
        </w:rPr>
        <w:t>A．①②</w:t>
      </w:r>
      <w:r>
        <w:rPr>
          <w:rFonts w:ascii="宋体" w:hAnsi="宋体" w:cs="宋体" w:hint="eastAsia"/>
          <w:szCs w:val="21"/>
        </w:rPr>
        <w:tab/>
      </w:r>
      <w:r>
        <w:rPr>
          <w:rFonts w:ascii="宋体" w:hAnsi="宋体" w:cs="宋体" w:hint="eastAsia"/>
          <w:szCs w:val="21"/>
        </w:rPr>
        <w:t>B．①③</w:t>
      </w:r>
      <w:r>
        <w:rPr>
          <w:rFonts w:ascii="宋体" w:hAnsi="宋体" w:cs="宋体" w:hint="eastAsia"/>
          <w:szCs w:val="21"/>
        </w:rPr>
        <w:tab/>
      </w:r>
      <w:r>
        <w:rPr>
          <w:rFonts w:ascii="宋体" w:hAnsi="宋体" w:cs="宋体" w:hint="eastAsia"/>
          <w:szCs w:val="21"/>
        </w:rPr>
        <w:t>C．②④</w:t>
      </w:r>
      <w:r>
        <w:rPr>
          <w:rFonts w:ascii="宋体" w:hAnsi="宋体" w:cs="宋体" w:hint="eastAsia"/>
          <w:szCs w:val="21"/>
        </w:rPr>
        <w:tab/>
      </w:r>
      <w:r>
        <w:rPr>
          <w:rFonts w:ascii="宋体" w:hAnsi="宋体" w:cs="宋体" w:hint="eastAsia"/>
          <w:szCs w:val="21"/>
        </w:rPr>
        <w:t>D．③④</w:t>
      </w:r>
    </w:p>
    <w:p>
      <w:pPr>
        <w:shd w:val="clear" w:color="auto" w:fill="FFFFFF"/>
        <w:spacing w:line="360" w:lineRule="auto"/>
        <w:jc w:val="left"/>
        <w:textAlignment w:val="center"/>
        <w:rPr>
          <w:rFonts w:ascii="宋体" w:hAnsi="宋体" w:cs="宋体"/>
          <w:szCs w:val="21"/>
        </w:rPr>
      </w:pPr>
      <w:r>
        <w:rPr>
          <w:rFonts w:ascii="宋体" w:hAnsi="宋体" w:cs="宋体" w:hint="eastAsia"/>
          <w:szCs w:val="21"/>
        </w:rPr>
        <w:t>2．（2023·全国乙卷）为刺激消费增加生产，政府出台了一系列政策，对购买甲种产品发放消费补贴，对生产乙种产品的企业减税降费，由此引起这两种产品的供需变化，如下图所示。</w:t>
      </w:r>
    </w:p>
    <w:p>
      <w:pPr>
        <w:shd w:val="clear" w:color="auto" w:fill="FFFFFF"/>
        <w:spacing w:line="360" w:lineRule="auto"/>
        <w:jc w:val="left"/>
        <w:textAlignment w:val="center"/>
        <w:rPr>
          <w:rFonts w:ascii="宋体" w:hAnsi="宋体" w:cs="宋体"/>
          <w:szCs w:val="21"/>
        </w:rPr>
      </w:pPr>
      <w:r>
        <w:rPr>
          <w:rFonts w:ascii="宋体" w:hAnsi="宋体" w:cs="宋体"/>
          <w:kern w:val="0"/>
          <w:szCs w:val="21"/>
        </w:rPr>
        <w:pict>
          <v:shape id="_x0000_i1027" type="#_x0000_t75" alt="@@@22d24aa2-a177-4728-9422-f7231c2c7e9a" style="width:162.75pt;height:141pt" coordsize="21600,21600" o:preferrelative="t" filled="f" stroked="f">
            <v:stroke joinstyle="miter"/>
            <v:imagedata r:id="rId8" o:title="@@@22d24aa2-a177-4728-9422-f7231c2c7e9a"/>
            <o:lock v:ext="edit" aspectratio="t"/>
            <w10:anchorlock/>
          </v:shape>
        </w:pict>
      </w:r>
      <w:r>
        <w:rPr>
          <w:rFonts w:ascii="宋体" w:hAnsi="宋体" w:cs="宋体"/>
          <w:kern w:val="0"/>
          <w:szCs w:val="21"/>
        </w:rPr>
        <w:pict>
          <v:shape id="_x0000_i1028" type="#_x0000_t75" alt="@@@9d419672-004d-4ed0-9414-482b844b1927" style="width:175.5pt;height:138.75pt" coordsize="21600,21600" o:preferrelative="t" filled="f" stroked="f">
            <v:stroke joinstyle="miter"/>
            <v:imagedata r:id="rId9" o:title="@@@9d419672-004d-4ed0-9414-482b844b1927"/>
            <o:lock v:ext="edit" aspectratio="t"/>
            <w10:anchorlock/>
          </v:shape>
        </w:pict>
      </w:r>
      <w:r>
        <w:rPr>
          <w:rFonts w:ascii="宋体" w:hAnsi="宋体" w:cs="宋体" w:hint="eastAsia"/>
          <w:kern w:val="0"/>
          <w:szCs w:val="21"/>
        </w:rPr>
        <w:t>  </w:t>
      </w:r>
    </w:p>
    <w:p>
      <w:pPr>
        <w:shd w:val="clear" w:color="auto" w:fill="FFFFFF"/>
        <w:spacing w:line="360" w:lineRule="auto"/>
        <w:jc w:val="left"/>
        <w:textAlignment w:val="center"/>
        <w:rPr>
          <w:rFonts w:ascii="宋体" w:hAnsi="宋体" w:cs="宋体"/>
          <w:szCs w:val="21"/>
        </w:rPr>
      </w:pPr>
      <w:r>
        <w:rPr>
          <w:rFonts w:ascii="宋体" w:hAnsi="宋体" w:cs="宋体" w:hint="eastAsia"/>
          <w:szCs w:val="21"/>
        </w:rPr>
        <w:t>注：①是指曲线S</w:t>
      </w:r>
      <w:r>
        <w:rPr>
          <w:rFonts w:ascii="宋体" w:hAnsi="宋体" w:cs="宋体" w:hint="eastAsia"/>
          <w:szCs w:val="21"/>
          <w:vertAlign w:val="subscript"/>
        </w:rPr>
        <w:t>1</w:t>
      </w:r>
      <w:r>
        <w:rPr>
          <w:rFonts w:ascii="宋体" w:hAnsi="宋体" w:cs="宋体" w:hint="eastAsia"/>
          <w:szCs w:val="21"/>
        </w:rPr>
        <w:t>到S</w:t>
      </w:r>
      <w:r>
        <w:rPr>
          <w:rFonts w:ascii="宋体" w:hAnsi="宋体" w:cs="宋体" w:hint="eastAsia"/>
          <w:szCs w:val="21"/>
          <w:vertAlign w:val="subscript"/>
        </w:rPr>
        <w:t>₂</w:t>
      </w:r>
      <w:r>
        <w:rPr>
          <w:rFonts w:ascii="宋体" w:hAnsi="宋体" w:cs="宋体" w:hint="eastAsia"/>
          <w:szCs w:val="21"/>
        </w:rPr>
        <w:t>的移动；②是指点E</w:t>
      </w:r>
      <w:r>
        <w:rPr>
          <w:rFonts w:ascii="宋体" w:hAnsi="宋体" w:cs="宋体" w:hint="eastAsia"/>
          <w:szCs w:val="21"/>
          <w:vertAlign w:val="subscript"/>
        </w:rPr>
        <w:t>1</w:t>
      </w:r>
      <w:r>
        <w:rPr>
          <w:rFonts w:ascii="宋体" w:hAnsi="宋体" w:cs="宋体" w:hint="eastAsia"/>
          <w:szCs w:val="21"/>
        </w:rPr>
        <w:t>到E₂的变动；③是指曲线D</w:t>
      </w:r>
      <w:r>
        <w:rPr>
          <w:rFonts w:ascii="宋体" w:hAnsi="宋体" w:cs="宋体" w:hint="eastAsia"/>
          <w:szCs w:val="21"/>
          <w:vertAlign w:val="subscript"/>
        </w:rPr>
        <w:t>1</w:t>
      </w:r>
      <w:r>
        <w:rPr>
          <w:rFonts w:ascii="宋体" w:hAnsi="宋体" w:cs="宋体" w:hint="eastAsia"/>
          <w:szCs w:val="21"/>
        </w:rPr>
        <w:t>到D₂的移动；④是指点M</w:t>
      </w:r>
      <w:r>
        <w:rPr>
          <w:rFonts w:ascii="宋体" w:hAnsi="宋体" w:cs="宋体" w:hint="eastAsia"/>
          <w:szCs w:val="21"/>
          <w:vertAlign w:val="subscript"/>
        </w:rPr>
        <w:t>1</w:t>
      </w:r>
      <w:r>
        <w:rPr>
          <w:rFonts w:ascii="宋体" w:hAnsi="宋体" w:cs="宋体" w:hint="eastAsia"/>
          <w:szCs w:val="21"/>
        </w:rPr>
        <w:t>到M₂的变动。</w:t>
      </w:r>
    </w:p>
    <w:p>
      <w:pPr>
        <w:shd w:val="clear" w:color="auto" w:fill="FFFFFF"/>
        <w:spacing w:line="360" w:lineRule="auto"/>
        <w:jc w:val="left"/>
        <w:textAlignment w:val="center"/>
        <w:rPr>
          <w:rFonts w:ascii="宋体" w:hAnsi="宋体" w:cs="宋体"/>
          <w:szCs w:val="21"/>
        </w:rPr>
        <w:sectPr>
          <w:headerReference w:type="default" r:id="rId10"/>
          <w:footerReference w:type="even" r:id="rId11"/>
          <w:footerReference w:type="default" r:id="rId12"/>
          <w:footerReference w:type="first" r:id="rId13"/>
          <w:pgSz w:w="11906" w:h="16838"/>
          <w:pgMar w:top="1417" w:right="1077" w:bottom="1417" w:left="1077" w:header="850" w:footer="992" w:gutter="0"/>
          <w:cols w:num="1" w:space="708"/>
          <w:docGrid w:type="lines" w:linePitch="318" w:charSpace="409"/>
        </w:sectPr>
      </w:pPr>
      <w:r>
        <w:rPr>
          <w:rFonts w:ascii="宋体" w:hAnsi="宋体" w:cs="宋体" w:hint="eastAsia"/>
          <w:szCs w:val="21"/>
        </w:rPr>
        <w:t>图中，正确反映两种产品政策效应的是（</w:t>
      </w:r>
      <w:r>
        <w:rPr>
          <w:rFonts w:ascii="宋体" w:hAnsi="宋体" w:cs="宋体" w:hint="eastAsia"/>
          <w:kern w:val="0"/>
          <w:szCs w:val="21"/>
        </w:rPr>
        <w:t>   </w:t>
      </w:r>
      <w:r>
        <w:rPr>
          <w:rFonts w:ascii="宋体" w:hAnsi="宋体" w:cs="宋体" w:hint="eastAsia"/>
          <w:szCs w:val="21"/>
        </w:rPr>
        <w:t>）</w:t>
      </w:r>
    </w:p>
    <w:p>
      <w:pPr>
        <w:shd w:val="clear" w:color="auto" w:fill="FFFFFF"/>
        <w:spacing w:line="360" w:lineRule="auto"/>
        <w:jc w:val="left"/>
        <w:textAlignment w:val="center"/>
        <w:rPr>
          <w:rFonts w:ascii="宋体" w:hAnsi="宋体" w:cs="宋体"/>
          <w:szCs w:val="21"/>
        </w:rPr>
      </w:pPr>
      <w:r>
        <w:rPr>
          <w:rFonts w:ascii="宋体" w:hAnsi="宋体" w:cs="宋体" w:hint="eastAsia"/>
          <w:szCs w:val="21"/>
        </w:rPr>
        <w:t>A．甲产品：①—②；乙产品：③—④</w:t>
      </w:r>
    </w:p>
    <w:p>
      <w:pPr>
        <w:shd w:val="clear" w:color="auto" w:fill="FFFFFF"/>
        <w:spacing w:line="360" w:lineRule="auto"/>
        <w:jc w:val="left"/>
        <w:textAlignment w:val="center"/>
        <w:rPr>
          <w:rFonts w:ascii="宋体" w:hAnsi="宋体" w:cs="宋体"/>
          <w:szCs w:val="21"/>
        </w:rPr>
      </w:pPr>
      <w:r>
        <w:rPr>
          <w:rFonts w:ascii="宋体" w:hAnsi="宋体" w:cs="宋体" w:hint="eastAsia"/>
          <w:szCs w:val="21"/>
        </w:rPr>
        <w:t>B．甲产品：③—④；乙产品：①—②</w:t>
      </w:r>
    </w:p>
    <w:p>
      <w:pPr>
        <w:shd w:val="clear" w:color="auto" w:fill="FFFFFF"/>
        <w:spacing w:line="360" w:lineRule="auto"/>
        <w:jc w:val="left"/>
        <w:textAlignment w:val="center"/>
        <w:rPr>
          <w:rFonts w:ascii="宋体" w:hAnsi="宋体" w:cs="宋体"/>
          <w:szCs w:val="21"/>
        </w:rPr>
      </w:pPr>
      <w:r>
        <w:rPr>
          <w:rFonts w:ascii="宋体" w:hAnsi="宋体" w:cs="宋体" w:hint="eastAsia"/>
          <w:szCs w:val="21"/>
        </w:rPr>
        <w:t>C．甲产品：④—③；乙产品：②—①</w:t>
      </w:r>
    </w:p>
    <w:p>
      <w:pPr>
        <w:shd w:val="clear" w:color="auto" w:fill="FFFFFF"/>
        <w:spacing w:line="360" w:lineRule="auto"/>
        <w:jc w:val="left"/>
        <w:textAlignment w:val="center"/>
        <w:rPr>
          <w:rFonts w:ascii="宋体" w:hAnsi="宋体" w:cs="宋体"/>
          <w:szCs w:val="21"/>
        </w:rPr>
      </w:pPr>
      <w:r>
        <w:rPr>
          <w:rFonts w:ascii="宋体" w:hAnsi="宋体" w:cs="宋体" w:hint="eastAsia"/>
          <w:szCs w:val="21"/>
        </w:rPr>
        <w:t>D．甲产品：②—①；乙产品：④—③</w:t>
      </w:r>
    </w:p>
    <w:p>
      <w:pPr>
        <w:shd w:val="clear" w:color="auto" w:fill="FFFFFF"/>
        <w:spacing w:line="360" w:lineRule="auto"/>
        <w:jc w:val="left"/>
        <w:textAlignment w:val="center"/>
        <w:rPr>
          <w:rFonts w:ascii="宋体" w:hAnsi="宋体" w:cs="宋体"/>
          <w:szCs w:val="21"/>
        </w:rPr>
      </w:pPr>
      <w:r>
        <w:rPr>
          <w:rFonts w:ascii="宋体" w:hAnsi="宋体" w:cs="宋体" w:hint="eastAsia"/>
          <w:szCs w:val="21"/>
        </w:rPr>
        <w:t>3．（2023·全国乙卷）某农机企业为了推广智能农业机械，推出一种新的营销服务模式。该模式允许农户选择短期租赁、系统代运营服务，农户支付较低服务费用后获得业务支持，如播种、杂草控制、施肥、灌溉、土壤分析等。目前，这种服务模式得到大面积推广。该模式被市场广泛认同的原因在于（</w:t>
      </w:r>
      <w:r>
        <w:rPr>
          <w:rFonts w:ascii="宋体" w:hAnsi="宋体" w:cs="宋体" w:hint="eastAsia"/>
          <w:kern w:val="0"/>
          <w:szCs w:val="21"/>
        </w:rPr>
        <w:t>   </w:t>
      </w:r>
      <w:r>
        <w:rPr>
          <w:rFonts w:ascii="宋体" w:hAnsi="宋体" w:cs="宋体" w:hint="eastAsia"/>
          <w:szCs w:val="21"/>
        </w:rPr>
        <w:t>）</w:t>
      </w:r>
    </w:p>
    <w:p>
      <w:pPr>
        <w:shd w:val="clear" w:color="auto" w:fill="FFFFFF"/>
        <w:spacing w:line="360" w:lineRule="auto"/>
        <w:jc w:val="left"/>
        <w:textAlignment w:val="center"/>
        <w:rPr>
          <w:rFonts w:ascii="宋体" w:hAnsi="宋体" w:cs="宋体"/>
          <w:szCs w:val="21"/>
        </w:rPr>
      </w:pPr>
      <w:r>
        <w:rPr>
          <w:rFonts w:ascii="宋体" w:hAnsi="宋体" w:cs="宋体" w:hint="eastAsia"/>
          <w:szCs w:val="21"/>
        </w:rPr>
        <w:t>①减少农机研发成本，扩大农机生产规模</w:t>
      </w:r>
    </w:p>
    <w:p>
      <w:pPr>
        <w:shd w:val="clear" w:color="auto" w:fill="FFFFFF"/>
        <w:spacing w:line="360" w:lineRule="auto"/>
        <w:jc w:val="left"/>
        <w:textAlignment w:val="center"/>
        <w:rPr>
          <w:rFonts w:ascii="宋体" w:hAnsi="宋体" w:cs="宋体"/>
          <w:szCs w:val="21"/>
        </w:rPr>
      </w:pPr>
      <w:r>
        <w:rPr>
          <w:rFonts w:ascii="宋体" w:hAnsi="宋体" w:cs="宋体" w:hint="eastAsia"/>
          <w:szCs w:val="21"/>
        </w:rPr>
        <w:t>②推动智能化生产，提高农产品销售价格</w:t>
      </w:r>
    </w:p>
    <w:p>
      <w:pPr>
        <w:shd w:val="clear" w:color="auto" w:fill="FFFFFF"/>
        <w:spacing w:line="360" w:lineRule="auto"/>
        <w:jc w:val="left"/>
        <w:textAlignment w:val="center"/>
        <w:rPr>
          <w:rFonts w:ascii="宋体" w:hAnsi="宋体" w:cs="宋体"/>
          <w:szCs w:val="21"/>
        </w:rPr>
      </w:pPr>
      <w:r>
        <w:rPr>
          <w:rFonts w:ascii="宋体" w:hAnsi="宋体" w:cs="宋体" w:hint="eastAsia"/>
          <w:szCs w:val="21"/>
        </w:rPr>
        <w:t>③加速农机运营周转，增加农机使用效益</w:t>
      </w:r>
    </w:p>
    <w:p>
      <w:pPr>
        <w:shd w:val="clear" w:color="auto" w:fill="FFFFFF"/>
        <w:spacing w:line="360" w:lineRule="auto"/>
        <w:jc w:val="left"/>
        <w:textAlignment w:val="center"/>
        <w:rPr>
          <w:rFonts w:ascii="宋体" w:hAnsi="宋体" w:cs="宋体"/>
          <w:szCs w:val="21"/>
        </w:rPr>
      </w:pPr>
      <w:r>
        <w:rPr>
          <w:rFonts w:ascii="宋体" w:hAnsi="宋体" w:cs="宋体" w:hint="eastAsia"/>
          <w:szCs w:val="21"/>
        </w:rPr>
        <w:t>④降低农户生产劳动强度，提高经营效率</w:t>
      </w:r>
    </w:p>
    <w:p>
      <w:pPr>
        <w:shd w:val="clear" w:color="auto" w:fill="FFFFFF"/>
        <w:tabs>
          <w:tab w:val="left" w:pos="2078"/>
          <w:tab w:val="left" w:pos="4156"/>
          <w:tab w:val="left" w:pos="6234"/>
        </w:tabs>
        <w:spacing w:line="360" w:lineRule="auto"/>
        <w:jc w:val="left"/>
        <w:textAlignment w:val="center"/>
        <w:rPr>
          <w:rFonts w:ascii="宋体" w:hAnsi="宋体" w:cs="宋体"/>
          <w:szCs w:val="21"/>
        </w:rPr>
      </w:pPr>
      <w:r>
        <w:rPr>
          <w:rFonts w:ascii="宋体" w:hAnsi="宋体" w:cs="宋体" w:hint="eastAsia"/>
          <w:szCs w:val="21"/>
        </w:rPr>
        <w:t>A．①②</w:t>
      </w:r>
      <w:r>
        <w:rPr>
          <w:rFonts w:ascii="宋体" w:hAnsi="宋体" w:cs="宋体" w:hint="eastAsia"/>
          <w:szCs w:val="21"/>
        </w:rPr>
        <w:tab/>
      </w:r>
      <w:r>
        <w:rPr>
          <w:rFonts w:ascii="宋体" w:hAnsi="宋体" w:cs="宋体" w:hint="eastAsia"/>
          <w:szCs w:val="21"/>
        </w:rPr>
        <w:t>B．①③</w:t>
      </w:r>
      <w:r>
        <w:rPr>
          <w:rFonts w:ascii="宋体" w:hAnsi="宋体" w:cs="宋体" w:hint="eastAsia"/>
          <w:szCs w:val="21"/>
        </w:rPr>
        <w:tab/>
      </w:r>
      <w:r>
        <w:rPr>
          <w:rFonts w:ascii="宋体" w:hAnsi="宋体" w:cs="宋体" w:hint="eastAsia"/>
          <w:szCs w:val="21"/>
        </w:rPr>
        <w:t>C．②④</w:t>
      </w:r>
      <w:r>
        <w:rPr>
          <w:rFonts w:ascii="宋体" w:hAnsi="宋体" w:cs="宋体" w:hint="eastAsia"/>
          <w:szCs w:val="21"/>
        </w:rPr>
        <w:tab/>
      </w:r>
      <w:r>
        <w:rPr>
          <w:rFonts w:ascii="宋体" w:hAnsi="宋体" w:cs="宋体" w:hint="eastAsia"/>
          <w:szCs w:val="21"/>
        </w:rPr>
        <w:t>D．③④</w:t>
      </w:r>
    </w:p>
    <w:p>
      <w:pPr>
        <w:shd w:val="clear" w:color="auto" w:fill="FFFFFF"/>
        <w:spacing w:line="360" w:lineRule="auto"/>
        <w:jc w:val="left"/>
        <w:textAlignment w:val="center"/>
      </w:pPr>
      <w:r>
        <w:rPr>
          <w:rFonts w:hint="eastAsia"/>
        </w:rPr>
        <w:t>3</w:t>
      </w:r>
      <w:r>
        <w:t>．（2023·全国·</w:t>
      </w:r>
      <w:r>
        <w:rPr>
          <w:rFonts w:hint="eastAsia"/>
        </w:rPr>
        <w:t>甲卷</w:t>
      </w:r>
      <w:r>
        <w:t>）阅读材料，完成下列要求。</w:t>
      </w:r>
    </w:p>
    <w:p>
      <w:pPr>
        <w:shd w:val="clear" w:color="auto" w:fill="FFFFFF"/>
        <w:spacing w:line="360" w:lineRule="auto"/>
        <w:ind w:firstLine="420"/>
        <w:jc w:val="left"/>
        <w:textAlignment w:val="center"/>
      </w:pPr>
      <w:r>
        <w:rPr>
          <w:rFonts w:ascii="楷体" w:eastAsia="楷体" w:hAnsi="楷体" w:cs="楷体"/>
        </w:rPr>
        <w:t>一片绿地、一顶帐篷、一桌美食，和家人、好友一起享受美景美食、谈天说地……打开手机，仿佛半个朋友圈都在露营。</w:t>
      </w:r>
    </w:p>
    <w:p>
      <w:pPr>
        <w:shd w:val="clear" w:color="auto" w:fill="FFFFFF"/>
        <w:spacing w:line="360" w:lineRule="auto"/>
        <w:ind w:firstLine="420"/>
        <w:jc w:val="left"/>
        <w:textAlignment w:val="center"/>
      </w:pPr>
      <w:r>
        <w:rPr>
          <w:rFonts w:ascii="楷体" w:eastAsia="楷体" w:hAnsi="楷体" w:cs="楷体"/>
        </w:rPr>
        <w:t>据统计，截至2023年3月，我国共有8.75万家露营企业，2022年新增3.51万家，新增量同比增长54.5%，帐篷、睡袋、折叠桌椅等商品产销量大幅度增长，企业不断推出“露营+钓鱼+瑜伽”“露营+烧烤+篝火晚会”“露营+亲子活动”等诸多新产品和新服务。2022年中国露营经济核心市场规模达到1134.7亿元，同比增长51.8%;带动市场规模为5816.1亿元，同比增长52.6%。</w:t>
      </w:r>
    </w:p>
    <w:p>
      <w:pPr>
        <w:shd w:val="clear" w:color="auto" w:fill="FFFFFF"/>
        <w:spacing w:line="360" w:lineRule="auto"/>
        <w:jc w:val="left"/>
        <w:textAlignment w:val="center"/>
      </w:pPr>
      <w:r>
        <w:t>结合材料并运用经济知识，分析露营热的原因及其对促进经济发展的作用。</w:t>
      </w:r>
    </w:p>
    <w:p>
      <w:pPr>
        <w:spacing w:line="360" w:lineRule="auto"/>
        <w:ind w:firstLine="600" w:firstLineChars="200"/>
        <w:jc w:val="center"/>
        <w:textAlignment w:val="center"/>
        <w:rPr>
          <w:b/>
          <w:color w:val="0000FF"/>
          <w:sz w:val="30"/>
          <w:szCs w:val="30"/>
        </w:rPr>
      </w:pPr>
      <w:r>
        <w:rPr>
          <w:b/>
          <w:color w:val="0000FF"/>
          <w:sz w:val="30"/>
          <w:szCs w:val="30"/>
        </w:rPr>
        <w:pict>
          <v:shape id="_x0000_i1029" type="#_x0000_t75" style="width:191.25pt;height:48.75pt" coordsize="21600,21600" o:preferrelative="t" filled="f" stroked="f">
            <v:stroke joinstyle="miter"/>
            <v:imagedata r:id="rId14" o:title="83477d6bf56f68c1600c4d34d6c24c8"/>
            <o:lock v:ext="edit" aspectratio="t"/>
            <w10:anchorlock/>
          </v:shape>
        </w:pict>
      </w:r>
    </w:p>
    <w:p>
      <w:pPr>
        <w:spacing w:line="360" w:lineRule="auto"/>
        <w:ind w:firstLine="420" w:firstLineChars="200"/>
        <w:jc w:val="left"/>
        <w:textAlignment w:val="center"/>
        <w:sectPr>
          <w:headerReference w:type="default" r:id="rId15"/>
          <w:footerReference w:type="even" r:id="rId16"/>
          <w:footerReference w:type="default" r:id="rId17"/>
          <w:footerReference w:type="first" r:id="rId18"/>
          <w:type w:val="nextPage"/>
          <w:pgSz w:w="11906" w:h="16838"/>
          <w:pgMar w:top="1417" w:right="1077" w:bottom="1417" w:left="1077" w:header="850" w:footer="992" w:gutter="0"/>
          <w:pgNumType w:start="2"/>
          <w:cols w:num="1" w:space="708"/>
          <w:titlePg w:val="0"/>
          <w:docGrid w:type="lines" w:linePitch="318" w:charSpace="409"/>
        </w:sectPr>
      </w:pPr>
      <w:r>
        <w:t>1．</w:t>
      </w:r>
      <w:r>
        <w:rPr>
          <w:rFonts w:hint="eastAsia"/>
        </w:rPr>
        <w:t>（2022全国甲卷）</w:t>
      </w:r>
    </w:p>
    <w:p>
      <w:pPr>
        <w:spacing w:line="360" w:lineRule="auto"/>
        <w:ind w:firstLine="420" w:firstLineChars="200"/>
        <w:jc w:val="left"/>
        <w:textAlignment w:val="center"/>
      </w:pPr>
      <w:r>
        <w:t>2021年4月，中共中央办公厅、国务院办公厅印发《关于建立健全生态产品价值实现机制的意见》强调，要以保障自然生态系统休养生息为基础，增值自然资本，厚植生态产品价值;充分发挥市场在资源配置中的决定性作用，推动生态产品价值有效转化。这表明（</w:t>
      </w:r>
      <w:r>
        <w:rPr>
          <w:rFonts w:ascii="'Times New Roman'" w:eastAsia="'Times New Roman'" w:hAnsi="'Times New Roman'" w:cs="'Times New Roman'"/>
        </w:rPr>
        <w:t>     </w:t>
      </w:r>
      <w:r>
        <w:t>）</w:t>
      </w:r>
    </w:p>
    <w:p>
      <w:pPr>
        <w:spacing w:line="360" w:lineRule="auto"/>
        <w:ind w:firstLine="420" w:firstLineChars="200"/>
        <w:jc w:val="left"/>
        <w:textAlignment w:val="center"/>
      </w:pPr>
      <w:r>
        <w:t>①生态产品有使用价值，其利用要合理有效</w:t>
      </w:r>
    </w:p>
    <w:p>
      <w:pPr>
        <w:spacing w:line="360" w:lineRule="auto"/>
        <w:ind w:firstLine="420" w:firstLineChars="200"/>
        <w:jc w:val="left"/>
        <w:textAlignment w:val="center"/>
      </w:pPr>
      <w:r>
        <w:t>②生态产品有商品属性，其价值必然会实现</w:t>
      </w:r>
    </w:p>
    <w:p>
      <w:pPr>
        <w:spacing w:line="360" w:lineRule="auto"/>
        <w:ind w:firstLine="420" w:firstLineChars="200"/>
        <w:jc w:val="left"/>
        <w:textAlignment w:val="center"/>
      </w:pPr>
      <w:r>
        <w:t>③生态产品有价值，价值实现要通过市场途径</w:t>
      </w:r>
    </w:p>
    <w:p>
      <w:pPr>
        <w:spacing w:line="360" w:lineRule="auto"/>
        <w:ind w:firstLine="420" w:firstLineChars="200"/>
        <w:jc w:val="left"/>
        <w:textAlignment w:val="center"/>
      </w:pPr>
      <w:r>
        <w:t>④生态产品有稀缺性，休养生息是其价值源泉</w:t>
      </w:r>
    </w:p>
    <w:p>
      <w:pPr>
        <w:tabs>
          <w:tab w:val="left" w:pos="2076"/>
          <w:tab w:val="left" w:pos="4153"/>
          <w:tab w:val="left" w:pos="6229"/>
        </w:tabs>
        <w:spacing w:line="360" w:lineRule="auto"/>
        <w:ind w:firstLine="420" w:firstLineChars="200"/>
        <w:jc w:val="left"/>
        <w:textAlignment w:val="center"/>
      </w:pPr>
      <w:r>
        <w:t>A．①③</w:t>
      </w:r>
      <w:r>
        <w:tab/>
      </w:r>
      <w:r>
        <w:t>B．①④</w:t>
      </w:r>
      <w:r>
        <w:tab/>
      </w:r>
      <w:r>
        <w:t>C．②③</w:t>
      </w:r>
      <w:r>
        <w:tab/>
      </w:r>
      <w:r>
        <w:t>D．②④</w:t>
      </w:r>
    </w:p>
    <w:p>
      <w:pPr>
        <w:spacing w:line="360" w:lineRule="auto"/>
        <w:ind w:firstLine="420" w:firstLineChars="200"/>
        <w:jc w:val="left"/>
        <w:textAlignment w:val="center"/>
      </w:pPr>
      <w:r>
        <w:rPr>
          <w:rFonts w:hint="eastAsia"/>
        </w:rPr>
        <w:t>2</w:t>
      </w:r>
      <w:r>
        <w:t>．</w:t>
      </w:r>
      <w:r>
        <w:rPr>
          <w:rFonts w:hint="eastAsia"/>
        </w:rPr>
        <w:t>（2022全国甲卷）</w:t>
      </w:r>
      <w:r>
        <w:t>据研究预测，2022年欧洲某国国经济增长将大幅放缓，经济增速将从上年的7.5%降至3.9%；2022年二季度该国通货膨胀率将升至8%，比前月的预测高出1个百分点。5月5日，该国中央银行将利率从0.75%提高到1%，这是该国自去年12月以来连续第四次加息。该国加息政策的目标及作用过程是（</w:t>
      </w:r>
      <w:r>
        <w:rPr>
          <w:rFonts w:ascii="'Times New Roman'" w:eastAsia="'Times New Roman'" w:hAnsi="'Times New Roman'" w:cs="'Times New Roman'"/>
        </w:rPr>
        <w:t>     </w:t>
      </w:r>
      <w:r>
        <w:t>）</w:t>
      </w:r>
    </w:p>
    <w:p>
      <w:pPr>
        <w:spacing w:line="360" w:lineRule="auto"/>
        <w:ind w:firstLine="420" w:firstLineChars="200"/>
        <w:jc w:val="left"/>
        <w:textAlignment w:val="center"/>
      </w:pPr>
      <w:r>
        <w:t>A．提高利率——流通中的货币量增加——促进消费——刺激经济增长</w:t>
      </w:r>
    </w:p>
    <w:p>
      <w:pPr>
        <w:spacing w:line="360" w:lineRule="auto"/>
        <w:ind w:firstLine="420" w:firstLineChars="200"/>
        <w:jc w:val="left"/>
        <w:textAlignment w:val="center"/>
      </w:pPr>
      <w:r>
        <w:t>B．提高利率——流通中的货币量减少——物价下降——抑制通货膨胀</w:t>
      </w:r>
    </w:p>
    <w:p>
      <w:pPr>
        <w:spacing w:line="360" w:lineRule="auto"/>
        <w:ind w:firstLine="420" w:firstLineChars="200"/>
        <w:jc w:val="left"/>
        <w:textAlignment w:val="center"/>
      </w:pPr>
      <w:r>
        <w:t>C．提高利率——储蓄增加——投资规模扩大——商品供给增加——抑制通货膨胀</w:t>
      </w:r>
    </w:p>
    <w:p>
      <w:pPr>
        <w:spacing w:line="360" w:lineRule="auto"/>
        <w:ind w:firstLine="420" w:firstLineChars="200"/>
        <w:jc w:val="left"/>
        <w:textAlignment w:val="center"/>
      </w:pPr>
      <w:r>
        <w:t>D．提高利率——境外资金流入——本币贬值——促进商品出口——刺激经济增长</w:t>
      </w:r>
    </w:p>
    <w:p>
      <w:pPr>
        <w:spacing w:line="360" w:lineRule="auto"/>
        <w:ind w:firstLine="420" w:firstLineChars="200"/>
        <w:jc w:val="left"/>
        <w:textAlignment w:val="center"/>
      </w:pPr>
      <w:r>
        <w:rPr>
          <w:rFonts w:hint="eastAsia"/>
        </w:rPr>
        <w:t>3</w:t>
      </w:r>
      <w:r>
        <w:t>．</w:t>
      </w:r>
      <w:r>
        <w:rPr>
          <w:rFonts w:hint="eastAsia"/>
        </w:rPr>
        <w:t>（2022浙江卷）</w:t>
      </w:r>
      <w:r>
        <w:t>2022年4月，国际原油价格相较于2021年每桶上涨了几十美元。此时，生产者将会（</w:t>
      </w:r>
      <w:r>
        <w:rPr>
          <w:rFonts w:ascii="'Times New Roman'" w:eastAsia="'Times New Roman'" w:hAnsi="'Times New Roman'" w:cs="'Times New Roman'"/>
        </w:rPr>
        <w:t>       </w:t>
      </w:r>
      <w:r>
        <w:t>）</w:t>
      </w:r>
    </w:p>
    <w:p>
      <w:pPr>
        <w:tabs>
          <w:tab w:val="left" w:pos="2076"/>
          <w:tab w:val="left" w:pos="4153"/>
          <w:tab w:val="left" w:pos="6229"/>
        </w:tabs>
        <w:spacing w:line="360" w:lineRule="auto"/>
        <w:ind w:firstLine="420" w:firstLineChars="200"/>
        <w:jc w:val="left"/>
        <w:textAlignment w:val="center"/>
      </w:pPr>
      <w:r>
        <w:t>A．扩大生产规模</w:t>
      </w:r>
      <w:r>
        <w:tab/>
      </w:r>
      <w:r>
        <w:t>B．压缩生产规模</w:t>
      </w:r>
      <w:r>
        <w:tab/>
      </w:r>
      <w:r>
        <w:t>C．维持原有生产规模</w:t>
      </w:r>
      <w:r>
        <w:tab/>
      </w:r>
      <w:r>
        <w:t>D．视获利情况而定生产规模</w:t>
      </w:r>
    </w:p>
    <w:p>
      <w:pPr>
        <w:spacing w:line="360" w:lineRule="auto"/>
        <w:ind w:firstLine="420" w:firstLineChars="200"/>
        <w:jc w:val="left"/>
        <w:textAlignment w:val="center"/>
      </w:pPr>
      <w:r>
        <w:rPr>
          <w:rFonts w:hint="eastAsia"/>
        </w:rPr>
        <w:t>4</w:t>
      </w:r>
      <w:r>
        <w:t>．</w:t>
      </w:r>
      <w:r>
        <w:rPr>
          <w:rFonts w:hint="eastAsia"/>
        </w:rPr>
        <w:t>（2022浙江卷）</w:t>
      </w:r>
      <w:r>
        <w:t>近两年我国居民人均可支配收入平均实际增长5.1%，增速比疫情前的2019年放缓0.7%，居民的消费能力、消费意愿有所减弱。为了防止消费增速持续放缓，国家应（</w:t>
      </w:r>
      <w:r>
        <w:rPr>
          <w:rFonts w:ascii="'Times New Roman'" w:eastAsia="'Times New Roman'" w:hAnsi="'Times New Roman'" w:cs="'Times New Roman'"/>
        </w:rPr>
        <w:t>       </w:t>
      </w:r>
      <w:r>
        <w:t>）</w:t>
      </w:r>
    </w:p>
    <w:p>
      <w:pPr>
        <w:spacing w:line="360" w:lineRule="auto"/>
        <w:ind w:firstLine="420" w:firstLineChars="200"/>
        <w:jc w:val="left"/>
        <w:textAlignment w:val="center"/>
        <w:rPr>
          <w:rFonts w:ascii="'Times New Roman'" w:eastAsia="'Times New Roman'" w:hAnsi="'Times New Roman'" w:cs="'Times New Roman'"/>
        </w:rPr>
      </w:pPr>
      <w:r>
        <w:t>①进一步鼓励企业扩大投资</w:t>
      </w:r>
      <w:r>
        <w:rPr>
          <w:rFonts w:ascii="'Times New Roman'" w:eastAsia="'Times New Roman'" w:hAnsi="'Times New Roman'" w:cs="'Times New Roman'"/>
        </w:rPr>
        <w:t>             </w:t>
      </w:r>
    </w:p>
    <w:p>
      <w:pPr>
        <w:spacing w:line="360" w:lineRule="auto"/>
        <w:ind w:firstLine="420" w:firstLineChars="200"/>
        <w:jc w:val="left"/>
        <w:textAlignment w:val="center"/>
        <w:sectPr>
          <w:headerReference w:type="default" r:id="rId19"/>
          <w:footerReference w:type="even" r:id="rId20"/>
          <w:footerReference w:type="default" r:id="rId21"/>
          <w:footerReference w:type="first" r:id="rId22"/>
          <w:type w:val="nextPage"/>
          <w:pgSz w:w="11906" w:h="16838"/>
          <w:pgMar w:top="1417" w:right="1077" w:bottom="1417" w:left="1077" w:header="850" w:footer="992" w:gutter="0"/>
          <w:pgNumType w:start="3"/>
          <w:cols w:num="1" w:space="708"/>
          <w:titlePg w:val="0"/>
          <w:docGrid w:type="lines" w:linePitch="318" w:charSpace="409"/>
        </w:sectPr>
      </w:pPr>
      <w:r>
        <w:t>②鼓励居民将线上消费作为主要消费方式</w:t>
      </w:r>
    </w:p>
    <w:p>
      <w:pPr>
        <w:spacing w:line="360" w:lineRule="auto"/>
        <w:ind w:firstLine="420" w:firstLineChars="200"/>
        <w:jc w:val="left"/>
        <w:textAlignment w:val="center"/>
        <w:rPr>
          <w:rFonts w:ascii="'Times New Roman'" w:eastAsia="'Times New Roman'" w:hAnsi="'Times New Roman'" w:cs="'Times New Roman'"/>
        </w:rPr>
      </w:pPr>
      <w:r>
        <w:t>③出台更多刺激消费的政策</w:t>
      </w:r>
      <w:r>
        <w:rPr>
          <w:rFonts w:ascii="'Times New Roman'" w:eastAsia="'Times New Roman'" w:hAnsi="'Times New Roman'" w:cs="'Times New Roman'"/>
        </w:rPr>
        <w:t>             </w:t>
      </w:r>
    </w:p>
    <w:p>
      <w:pPr>
        <w:spacing w:line="360" w:lineRule="auto"/>
        <w:ind w:firstLine="420" w:firstLineChars="200"/>
        <w:jc w:val="left"/>
        <w:textAlignment w:val="center"/>
      </w:pPr>
      <w:r>
        <w:t>④多渠道增加居民收入</w:t>
      </w:r>
    </w:p>
    <w:p>
      <w:pPr>
        <w:tabs>
          <w:tab w:val="left" w:pos="2076"/>
          <w:tab w:val="left" w:pos="4153"/>
          <w:tab w:val="left" w:pos="6229"/>
        </w:tabs>
        <w:spacing w:line="360" w:lineRule="auto"/>
        <w:ind w:firstLine="420" w:firstLineChars="200"/>
        <w:jc w:val="left"/>
        <w:textAlignment w:val="center"/>
      </w:pPr>
      <w:r>
        <w:t>A．①②</w:t>
      </w:r>
      <w:r>
        <w:tab/>
      </w:r>
      <w:r>
        <w:t>B．①③</w:t>
      </w:r>
      <w:r>
        <w:tab/>
      </w:r>
      <w:r>
        <w:t>C．②④</w:t>
      </w:r>
      <w:r>
        <w:tab/>
      </w:r>
      <w:r>
        <w:t>D．③④</w:t>
      </w:r>
    </w:p>
    <w:p>
      <w:pPr>
        <w:spacing w:line="360" w:lineRule="auto"/>
        <w:ind w:firstLine="420" w:firstLineChars="200"/>
        <w:jc w:val="left"/>
        <w:textAlignment w:val="center"/>
      </w:pPr>
      <w:r>
        <w:rPr>
          <w:rFonts w:hint="eastAsia"/>
        </w:rPr>
        <w:t>5</w:t>
      </w:r>
      <w:r>
        <w:t>．</w:t>
      </w:r>
      <w:r>
        <w:rPr>
          <w:rFonts w:hint="eastAsia"/>
        </w:rPr>
        <w:t>（</w:t>
      </w:r>
      <w:r>
        <w:t>202</w:t>
      </w:r>
      <w:r>
        <w:rPr>
          <w:rFonts w:hint="eastAsia"/>
        </w:rPr>
        <w:t>2全国乙卷）</w:t>
      </w:r>
      <w:r>
        <w:t>2022年中央一号文件明确要求：适当提高稻谷、小麦最低收购价，健全农民种粮收益保障机制；在黄淮海、西北、西南地区推广玉米大豆带状复合种植，在东北地区开展粮豆轮作，在长江流域开发冬闲田扩种油菜。这是为了（</w:t>
      </w:r>
      <w:r>
        <w:rPr>
          <w:rFonts w:ascii="'Times New Roman'" w:eastAsia="'Times New Roman'" w:hAnsi="'Times New Roman'" w:cs="'Times New Roman'"/>
        </w:rPr>
        <w:t>     </w:t>
      </w:r>
      <w:r>
        <w:t>）</w:t>
      </w:r>
    </w:p>
    <w:p>
      <w:pPr>
        <w:spacing w:line="360" w:lineRule="auto"/>
        <w:ind w:firstLine="420" w:firstLineChars="200"/>
        <w:jc w:val="left"/>
        <w:textAlignment w:val="center"/>
      </w:pPr>
      <w:r>
        <w:t>①保护农民种粮积极性，稳定粮食产量</w:t>
      </w:r>
    </w:p>
    <w:p>
      <w:pPr>
        <w:spacing w:line="360" w:lineRule="auto"/>
        <w:ind w:firstLine="420" w:firstLineChars="200"/>
        <w:jc w:val="left"/>
        <w:textAlignment w:val="center"/>
      </w:pPr>
      <w:r>
        <w:t>②发挥市场决定作用，有效配置农业资源</w:t>
      </w:r>
    </w:p>
    <w:p>
      <w:pPr>
        <w:spacing w:line="360" w:lineRule="auto"/>
        <w:ind w:firstLine="420" w:firstLineChars="200"/>
        <w:jc w:val="left"/>
        <w:textAlignment w:val="center"/>
      </w:pPr>
      <w:r>
        <w:t>③优化农作物种植结构，更好满足市场需求</w:t>
      </w:r>
    </w:p>
    <w:p>
      <w:pPr>
        <w:spacing w:line="360" w:lineRule="auto"/>
        <w:ind w:firstLine="420" w:firstLineChars="200"/>
        <w:jc w:val="left"/>
        <w:textAlignment w:val="center"/>
      </w:pPr>
      <w:r>
        <w:t>④扩大农作物种植面积，实现农产品自给自足</w:t>
      </w:r>
    </w:p>
    <w:p>
      <w:pPr>
        <w:tabs>
          <w:tab w:val="left" w:pos="2076"/>
          <w:tab w:val="left" w:pos="4153"/>
          <w:tab w:val="left" w:pos="6229"/>
        </w:tabs>
        <w:spacing w:line="360" w:lineRule="auto"/>
        <w:ind w:firstLine="420" w:firstLineChars="200"/>
        <w:jc w:val="left"/>
        <w:textAlignment w:val="center"/>
      </w:pPr>
      <w:r>
        <w:t>A．①③</w:t>
      </w:r>
      <w:r>
        <w:tab/>
      </w:r>
      <w:r>
        <w:t>B．①④</w:t>
      </w:r>
      <w:r>
        <w:tab/>
      </w:r>
      <w:r>
        <w:t>C．②③</w:t>
      </w:r>
      <w:r>
        <w:tab/>
      </w:r>
      <w:r>
        <w:t>D．②④</w:t>
      </w:r>
    </w:p>
    <w:p>
      <w:pPr>
        <w:spacing w:line="360" w:lineRule="auto"/>
        <w:ind w:firstLine="420" w:firstLineChars="200"/>
        <w:jc w:val="left"/>
        <w:textAlignment w:val="center"/>
      </w:pPr>
      <w:r>
        <w:rPr>
          <w:rFonts w:hint="eastAsia"/>
        </w:rPr>
        <w:t>6</w:t>
      </w:r>
      <w:r>
        <w:t>．</w:t>
      </w:r>
      <w:r>
        <w:rPr>
          <w:rFonts w:hint="eastAsia"/>
        </w:rPr>
        <w:t>（2022湖南卷）</w:t>
      </w:r>
      <w:r>
        <w:t>避暑民宿的消费量通常会呈现季节性的变化，冬季低而夏季高，这一变化使得其均衡价格和均衡数量之间出现了明显的季节性关系。以P表示价格，Q表示数量，S表示供给，D表示需求，下标w表示冬季，下标s表示夏季。不考虑其他因素，下列图示能正确反映避暑民宿消费季节性变化的是（</w:t>
      </w:r>
      <w:r>
        <w:rPr>
          <w:rFonts w:ascii="'Times New Roman'" w:eastAsia="'Times New Roman'" w:hAnsi="'Times New Roman'" w:cs="'Times New Roman'"/>
        </w:rPr>
        <w:t>     </w:t>
      </w:r>
      <w:r>
        <w:t>）</w:t>
      </w:r>
    </w:p>
    <w:p>
      <w:pPr>
        <w:tabs>
          <w:tab w:val="left" w:pos="4153"/>
        </w:tabs>
        <w:spacing w:line="360" w:lineRule="auto"/>
        <w:ind w:firstLine="420" w:firstLineChars="200"/>
        <w:jc w:val="left"/>
        <w:textAlignment w:val="center"/>
      </w:pPr>
      <w:r>
        <w:t>A．</w:t>
      </w:r>
      <w:r>
        <w:pict>
          <v:shape id="_x0000_i1030" type="#_x0000_t75" style="width:82.5pt;height:67.5pt" coordsize="21600,21600" o:preferrelative="t" filled="f" stroked="f">
            <v:stroke joinstyle="miter"/>
            <v:imagedata r:id="rId23" o:title=""/>
            <o:lock v:ext="edit" aspectratio="t"/>
            <w10:anchorlock/>
          </v:shape>
        </w:pict>
      </w:r>
      <w:r>
        <w:tab/>
      </w:r>
      <w:r>
        <w:t>B．</w:t>
      </w:r>
      <w:r>
        <w:pict>
          <v:shape id="_x0000_i1031" type="#_x0000_t75" style="width:81pt;height:66pt" coordsize="21600,21600" o:preferrelative="t" filled="f" stroked="f">
            <v:stroke joinstyle="miter"/>
            <v:imagedata r:id="rId24" o:title=""/>
            <o:lock v:ext="edit" aspectratio="t"/>
            <w10:anchorlock/>
          </v:shape>
        </w:pict>
      </w:r>
    </w:p>
    <w:p>
      <w:pPr>
        <w:tabs>
          <w:tab w:val="left" w:pos="4153"/>
        </w:tabs>
        <w:spacing w:line="360" w:lineRule="auto"/>
        <w:ind w:firstLine="420" w:firstLineChars="200"/>
        <w:jc w:val="left"/>
        <w:textAlignment w:val="center"/>
      </w:pPr>
      <w:r>
        <w:t>C．</w:t>
      </w:r>
      <w:r>
        <w:pict>
          <v:shape id="_x0000_i1032" type="#_x0000_t75" style="width:84.75pt;height:69pt" coordsize="21600,21600" o:preferrelative="t" filled="f" stroked="f">
            <v:stroke joinstyle="miter"/>
            <v:imagedata r:id="rId25" o:title=""/>
            <o:lock v:ext="edit" aspectratio="t"/>
            <w10:anchorlock/>
          </v:shape>
        </w:pict>
      </w:r>
      <w:r>
        <w:tab/>
      </w:r>
      <w:r>
        <w:t>D．</w:t>
      </w:r>
      <w:r>
        <w:pict>
          <v:shape id="_x0000_i1033" type="#_x0000_t75" style="width:82.5pt;height:67.5pt" coordsize="21600,21600" o:preferrelative="t" filled="f" stroked="f">
            <v:stroke joinstyle="miter"/>
            <v:imagedata r:id="rId26" o:title=""/>
            <o:lock v:ext="edit" aspectratio="t"/>
            <w10:anchorlock/>
          </v:shape>
        </w:pict>
      </w:r>
    </w:p>
    <w:p>
      <w:pPr>
        <w:spacing w:line="360" w:lineRule="auto"/>
        <w:ind w:firstLine="420" w:firstLineChars="200"/>
        <w:jc w:val="left"/>
        <w:textAlignment w:val="center"/>
      </w:pPr>
    </w:p>
    <w:p>
      <w:pPr>
        <w:spacing w:line="360" w:lineRule="auto"/>
        <w:ind w:firstLine="420" w:firstLineChars="200"/>
        <w:jc w:val="left"/>
        <w:textAlignment w:val="center"/>
        <w:rPr>
          <w:rFonts w:ascii="楷体" w:eastAsia="楷体" w:hAnsi="楷体" w:cs="楷体"/>
        </w:rPr>
        <w:sectPr>
          <w:headerReference w:type="default" r:id="rId27"/>
          <w:footerReference w:type="even" r:id="rId28"/>
          <w:footerReference w:type="default" r:id="rId29"/>
          <w:footerReference w:type="first" r:id="rId30"/>
          <w:type w:val="nextPage"/>
          <w:pgSz w:w="11906" w:h="16838"/>
          <w:pgMar w:top="1417" w:right="1077" w:bottom="1417" w:left="1077" w:header="850" w:footer="992" w:gutter="0"/>
          <w:pgNumType w:start="4"/>
          <w:cols w:num="1" w:space="708"/>
          <w:titlePg w:val="0"/>
          <w:docGrid w:type="lines" w:linePitch="318" w:charSpace="409"/>
        </w:sectPr>
      </w:pPr>
      <w:r>
        <w:rPr>
          <w:rFonts w:hint="eastAsia"/>
        </w:rPr>
        <w:t>7</w:t>
      </w:r>
      <w:r>
        <w:t>．</w:t>
      </w:r>
      <w:r>
        <w:rPr>
          <w:rFonts w:hint="eastAsia"/>
        </w:rPr>
        <w:t>（2022浙江卷）</w:t>
      </w:r>
    </w:p>
    <w:p>
      <w:pPr>
        <w:spacing w:line="360" w:lineRule="auto"/>
        <w:ind w:firstLine="420" w:firstLineChars="200"/>
        <w:jc w:val="left"/>
        <w:textAlignment w:val="center"/>
        <w:rPr>
          <w:rFonts w:ascii="楷体" w:eastAsia="楷体" w:hAnsi="楷体" w:cs="楷体"/>
        </w:rPr>
      </w:pPr>
      <w:r>
        <w:rPr>
          <w:rFonts w:ascii="楷体" w:eastAsia="楷体" w:hAnsi="楷体" w:cs="楷体"/>
        </w:rPr>
        <w:t>近年来，全国统一大市场建设工作取得重要进展，但实践中仍然存在市场分割、地方保护和市场监管规则不统一等问题。2022年4月，《中共中央国务院关于加快建设全国统一大市场的意见》发布，提出了立破并举的措施。从立的角度，明确要抓好“五统一”，即强化市场基础制度规则统一、推进市场设施高标准联通、打造统一的要素和资源市场、推进商品和服务市场高水平统一、推进市场监管公平统一。从破的角度，明确要进一步规范不当市场竞争和市场干预行为，打破各种显性、隐性壁垒。</w:t>
      </w:r>
    </w:p>
    <w:p>
      <w:pPr>
        <w:spacing w:line="360" w:lineRule="auto"/>
        <w:ind w:firstLine="420" w:firstLineChars="200"/>
        <w:jc w:val="left"/>
        <w:textAlignment w:val="center"/>
      </w:pPr>
      <w:r>
        <w:t>结合材料，回答下列问题：</w:t>
      </w:r>
    </w:p>
    <w:p>
      <w:pPr>
        <w:spacing w:line="360" w:lineRule="auto"/>
        <w:ind w:firstLine="420" w:firstLineChars="200"/>
        <w:jc w:val="left"/>
        <w:textAlignment w:val="center"/>
      </w:pPr>
      <w:r>
        <w:t>(1)运用《经济生活》中“生产与消费”“市场秩序”的有关知识，说明《意见》提出的立破举措的合理性。</w:t>
      </w:r>
    </w:p>
    <w:p>
      <w:pPr>
        <w:spacing w:line="360" w:lineRule="auto"/>
        <w:ind w:firstLine="420" w:firstLineChars="200"/>
        <w:jc w:val="left"/>
        <w:textAlignment w:val="center"/>
      </w:pPr>
      <w:r>
        <w:t>(2)运用《生活与哲学》中对立统一的有关知识，说明建立统一大市场要坚持立破并举的理由。</w:t>
      </w:r>
    </w:p>
    <w:p>
      <w:pPr>
        <w:spacing w:line="360" w:lineRule="auto"/>
        <w:ind w:firstLine="420" w:firstLineChars="200"/>
        <w:jc w:val="left"/>
        <w:textAlignment w:val="center"/>
      </w:pPr>
      <w:r>
        <w:rPr>
          <w:rFonts w:hint="eastAsia"/>
        </w:rPr>
        <w:t>8</w:t>
      </w:r>
      <w:r>
        <w:t>．</w:t>
      </w:r>
      <w:r>
        <w:rPr>
          <w:rFonts w:hint="eastAsia"/>
        </w:rPr>
        <w:t>（2022湖南卷）</w:t>
      </w:r>
      <w:r>
        <w:t>阅读材料，完成下列要求</w:t>
      </w:r>
    </w:p>
    <w:p>
      <w:pPr>
        <w:spacing w:line="360" w:lineRule="auto"/>
        <w:ind w:firstLine="420" w:firstLineChars="200"/>
        <w:jc w:val="left"/>
        <w:textAlignment w:val="center"/>
        <w:rPr>
          <w:rFonts w:ascii="楷体" w:eastAsia="楷体" w:hAnsi="楷体" w:cs="楷体"/>
        </w:rPr>
      </w:pPr>
      <w:r>
        <w:rPr>
          <w:rFonts w:ascii="楷体" w:eastAsia="楷体" w:hAnsi="楷体" w:cs="楷体"/>
        </w:rPr>
        <w:t>消费是最终需求，是畅通国内大循环的关键环节和重要引擎，对经济具有持久拉动力，事关保障和改善民生。</w:t>
      </w:r>
    </w:p>
    <w:p>
      <w:pPr>
        <w:spacing w:line="360" w:lineRule="auto"/>
        <w:ind w:firstLine="420" w:firstLineChars="200"/>
        <w:jc w:val="left"/>
        <w:textAlignment w:val="center"/>
      </w:pPr>
      <w:r>
        <w:t>材料一</w:t>
      </w:r>
    </w:p>
    <w:p>
      <w:pPr>
        <w:spacing w:line="360" w:lineRule="auto"/>
        <w:ind w:firstLine="420" w:firstLineChars="200"/>
        <w:jc w:val="left"/>
        <w:textAlignment w:val="center"/>
      </w:pPr>
      <w:r>
        <w:pict>
          <v:shape id="_x0000_i1034" type="#_x0000_t75" style="width:318.75pt;height:174.75pt" coordsize="21600,21600" o:preferrelative="t" filled="f" stroked="f">
            <v:stroke joinstyle="miter"/>
            <v:imagedata r:id="rId31" o:title=""/>
            <o:lock v:ext="edit" aspectratio="t"/>
            <w10:anchorlock/>
          </v:shape>
        </w:pict>
      </w:r>
    </w:p>
    <w:p>
      <w:pPr>
        <w:spacing w:line="360" w:lineRule="auto"/>
        <w:ind w:firstLine="420" w:firstLineChars="200"/>
        <w:jc w:val="left"/>
        <w:textAlignment w:val="center"/>
        <w:rPr>
          <w:rFonts w:ascii="楷体" w:eastAsia="楷体" w:hAnsi="楷体" w:cs="楷体"/>
        </w:rPr>
      </w:pPr>
      <w:r>
        <w:rPr>
          <w:rFonts w:ascii="楷体" w:eastAsia="楷体" w:hAnsi="楷体" w:cs="楷体"/>
        </w:rPr>
        <w:t>2001—2020年的中国居民消费率</w:t>
      </w:r>
    </w:p>
    <w:p>
      <w:pPr>
        <w:spacing w:line="360" w:lineRule="auto"/>
        <w:ind w:firstLine="420" w:firstLineChars="200"/>
        <w:jc w:val="left"/>
        <w:textAlignment w:val="center"/>
        <w:rPr>
          <w:rFonts w:ascii="楷体" w:eastAsia="楷体" w:hAnsi="楷体" w:cs="楷体"/>
        </w:rPr>
      </w:pPr>
      <w:r>
        <w:rPr>
          <w:rFonts w:ascii="楷体" w:eastAsia="楷体" w:hAnsi="楷体" w:cs="楷体"/>
        </w:rPr>
        <w:t>（说明：根据《中国统计年鉴2021》相关数据计算得到）</w:t>
      </w:r>
    </w:p>
    <w:tbl>
      <w:tblPr>
        <w:tblStyle w:val="TableNormal"/>
        <w:tblW w:w="750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915"/>
        <w:gridCol w:w="2895"/>
        <w:gridCol w:w="3690"/>
      </w:tblGrid>
      <w:tr>
        <w:tblPrEx>
          <w:tblW w:w="750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pPr>
            <w:r>
              <w:t>国家</w:t>
            </w:r>
          </w:p>
        </w:tc>
        <w:tc>
          <w:tcPr>
            <w:tcW w:w="28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ind w:firstLine="420" w:firstLineChars="200"/>
              <w:jc w:val="left"/>
            </w:pPr>
            <w:r>
              <w:t>人均GDP在3000—10000美元所在的年份</w:t>
            </w:r>
          </w:p>
        </w:tc>
        <w:tc>
          <w:tcPr>
            <w:tcW w:w="3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ind w:firstLine="420" w:firstLineChars="200"/>
              <w:jc w:val="left"/>
            </w:pPr>
            <w:r>
              <w:t>居民消费率（%）</w:t>
            </w:r>
          </w:p>
        </w:tc>
      </w:tr>
      <w:tr>
        <w:tblPrEx>
          <w:tblW w:w="7500" w:type="dxa"/>
          <w:tblInd w:w="0" w:type="dxa"/>
          <w:tblCellMar>
            <w:top w:w="120" w:type="dxa"/>
            <w:left w:w="120" w:type="dxa"/>
            <w:bottom w:w="120" w:type="dxa"/>
            <w:right w:w="120" w:type="dxa"/>
          </w:tblCellMar>
        </w:tblPrEx>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pPr>
            <w:r>
              <w:t>中国</w:t>
            </w:r>
          </w:p>
        </w:tc>
        <w:tc>
          <w:tcPr>
            <w:tcW w:w="28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ind w:firstLine="420" w:firstLineChars="200"/>
              <w:jc w:val="left"/>
            </w:pPr>
            <w:r>
              <w:t>2008—</w:t>
            </w:r>
          </w:p>
        </w:tc>
        <w:tc>
          <w:tcPr>
            <w:tcW w:w="3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ind w:firstLine="420" w:firstLineChars="200"/>
              <w:jc w:val="left"/>
            </w:pPr>
            <w:r>
              <w:t>35.44—39.65</w:t>
            </w:r>
          </w:p>
        </w:tc>
      </w:tr>
    </w:tbl>
    <w:p>
      <w:pPr>
        <w:sectPr>
          <w:headerReference w:type="default" r:id="rId32"/>
          <w:footerReference w:type="even" r:id="rId33"/>
          <w:footerReference w:type="default" r:id="rId34"/>
          <w:footerReference w:type="first" r:id="rId35"/>
          <w:type w:val="nextPage"/>
          <w:pgSz w:w="11906" w:h="16838"/>
          <w:pgMar w:top="1417" w:right="1077" w:bottom="1417" w:left="1077" w:header="850" w:footer="992" w:gutter="0"/>
          <w:pgNumType w:start="5"/>
          <w:cols w:num="1" w:space="708"/>
          <w:titlePg w:val="0"/>
          <w:docGrid w:type="lines" w:linePitch="318" w:charSpace="409"/>
        </w:sectPr>
      </w:pPr>
    </w:p>
    <w:tbl>
      <w:tblPr>
        <w:tblStyle w:val="TableNormal"/>
        <w:tblW w:w="750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915"/>
        <w:gridCol w:w="2895"/>
        <w:gridCol w:w="3690"/>
      </w:tblGrid>
      <w:tr>
        <w:tblPrEx>
          <w:tblW w:w="750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pPr>
            <w:r>
              <w:t>韩国</w:t>
            </w:r>
          </w:p>
        </w:tc>
        <w:tc>
          <w:tcPr>
            <w:tcW w:w="28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ind w:firstLine="420" w:firstLineChars="200"/>
              <w:jc w:val="left"/>
            </w:pPr>
            <w:r>
              <w:t>1997—</w:t>
            </w:r>
          </w:p>
        </w:tc>
        <w:tc>
          <w:tcPr>
            <w:tcW w:w="3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ind w:firstLine="420" w:firstLineChars="200"/>
              <w:jc w:val="left"/>
            </w:pPr>
            <w:r>
              <w:t>48.27—50.44</w:t>
            </w:r>
          </w:p>
        </w:tc>
      </w:tr>
      <w:tr>
        <w:tblPrEx>
          <w:tblW w:w="7500" w:type="dxa"/>
          <w:tblInd w:w="0" w:type="dxa"/>
          <w:tblCellMar>
            <w:top w:w="120" w:type="dxa"/>
            <w:left w:w="120" w:type="dxa"/>
            <w:bottom w:w="120" w:type="dxa"/>
            <w:right w:w="120" w:type="dxa"/>
          </w:tblCellMar>
        </w:tblPrEx>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pPr>
            <w:r>
              <w:t>日本</w:t>
            </w:r>
          </w:p>
        </w:tc>
        <w:tc>
          <w:tcPr>
            <w:tcW w:w="28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ind w:firstLine="420" w:firstLineChars="200"/>
              <w:jc w:val="left"/>
            </w:pPr>
            <w:r>
              <w:t>1973—</w:t>
            </w:r>
          </w:p>
        </w:tc>
        <w:tc>
          <w:tcPr>
            <w:tcW w:w="3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ind w:firstLine="420" w:firstLineChars="200"/>
              <w:jc w:val="left"/>
            </w:pPr>
            <w:r>
              <w:t>61.18—67.02</w:t>
            </w:r>
          </w:p>
        </w:tc>
      </w:tr>
      <w:tr>
        <w:tblPrEx>
          <w:tblW w:w="7500" w:type="dxa"/>
          <w:tblInd w:w="0" w:type="dxa"/>
          <w:tblCellMar>
            <w:top w:w="120" w:type="dxa"/>
            <w:left w:w="120" w:type="dxa"/>
            <w:bottom w:w="120" w:type="dxa"/>
            <w:right w:w="120" w:type="dxa"/>
          </w:tblCellMar>
        </w:tblPrEx>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pPr>
            <w:r>
              <w:t>美国</w:t>
            </w:r>
          </w:p>
        </w:tc>
        <w:tc>
          <w:tcPr>
            <w:tcW w:w="28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ind w:firstLine="420" w:firstLineChars="200"/>
              <w:jc w:val="left"/>
            </w:pPr>
            <w:r>
              <w:t>1961—1977</w:t>
            </w:r>
          </w:p>
        </w:tc>
        <w:tc>
          <w:tcPr>
            <w:tcW w:w="3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ind w:firstLine="420" w:firstLineChars="200"/>
              <w:jc w:val="left"/>
            </w:pPr>
            <w:r>
              <w:t>59.61—61.26</w:t>
            </w:r>
          </w:p>
        </w:tc>
      </w:tr>
      <w:tr>
        <w:tblPrEx>
          <w:tblW w:w="7500" w:type="dxa"/>
          <w:tblInd w:w="0" w:type="dxa"/>
          <w:tblCellMar>
            <w:top w:w="120" w:type="dxa"/>
            <w:left w:w="120" w:type="dxa"/>
            <w:bottom w:w="120" w:type="dxa"/>
            <w:right w:w="120" w:type="dxa"/>
          </w:tblCellMar>
        </w:tblPrEx>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pPr>
            <w:r>
              <w:t>英国</w:t>
            </w:r>
          </w:p>
        </w:tc>
        <w:tc>
          <w:tcPr>
            <w:tcW w:w="28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ind w:firstLine="420" w:firstLineChars="200"/>
              <w:jc w:val="left"/>
            </w:pPr>
            <w:r>
              <w:t>1972—</w:t>
            </w:r>
          </w:p>
        </w:tc>
        <w:tc>
          <w:tcPr>
            <w:tcW w:w="3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ind w:firstLine="420" w:firstLineChars="200"/>
              <w:jc w:val="left"/>
            </w:pPr>
            <w:r>
              <w:t>64.90—68.78</w:t>
            </w:r>
          </w:p>
        </w:tc>
      </w:tr>
      <w:tr>
        <w:tblPrEx>
          <w:tblW w:w="7500" w:type="dxa"/>
          <w:tblInd w:w="0" w:type="dxa"/>
          <w:tblCellMar>
            <w:top w:w="120" w:type="dxa"/>
            <w:left w:w="120" w:type="dxa"/>
            <w:bottom w:w="120" w:type="dxa"/>
            <w:right w:w="120" w:type="dxa"/>
          </w:tblCellMar>
        </w:tblPrEx>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pPr>
            <w:r>
              <w:t>德国</w:t>
            </w:r>
          </w:p>
        </w:tc>
        <w:tc>
          <w:tcPr>
            <w:tcW w:w="28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ind w:firstLine="420" w:firstLineChars="200"/>
              <w:jc w:val="left"/>
            </w:pPr>
            <w:r>
              <w:t>1971—</w:t>
            </w:r>
          </w:p>
        </w:tc>
        <w:tc>
          <w:tcPr>
            <w:tcW w:w="3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ind w:firstLine="420" w:firstLineChars="200"/>
              <w:jc w:val="left"/>
            </w:pPr>
            <w:r>
              <w:t>53.95—54.59</w:t>
            </w:r>
          </w:p>
        </w:tc>
      </w:tr>
    </w:tbl>
    <w:p>
      <w:pPr>
        <w:spacing w:line="360" w:lineRule="auto"/>
        <w:ind w:firstLine="420" w:firstLineChars="200"/>
        <w:jc w:val="left"/>
        <w:textAlignment w:val="center"/>
        <w:rPr>
          <w:rFonts w:ascii="楷体" w:eastAsia="楷体" w:hAnsi="楷体" w:cs="楷体"/>
        </w:rPr>
      </w:pPr>
      <w:r>
        <w:rPr>
          <w:rFonts w:ascii="楷体" w:eastAsia="楷体" w:hAnsi="楷体" w:cs="楷体"/>
        </w:rPr>
        <w:t>若干国家人均GDP在3000—10000美元时的居民消费率（说明：根据World Bank Open Data相关数据计算得到，其中美国居民消费率1961—1969年的数据缺失）</w:t>
      </w:r>
    </w:p>
    <w:p>
      <w:pPr>
        <w:spacing w:line="360" w:lineRule="auto"/>
        <w:ind w:firstLine="420" w:firstLineChars="200"/>
        <w:jc w:val="left"/>
        <w:textAlignment w:val="center"/>
        <w:rPr>
          <w:rFonts w:ascii="楷体" w:eastAsia="楷体" w:hAnsi="楷体" w:cs="楷体"/>
        </w:rPr>
      </w:pPr>
      <w:r>
        <w:rPr>
          <w:rFonts w:ascii="楷体" w:eastAsia="楷体" w:hAnsi="楷体" w:cs="楷体"/>
        </w:rPr>
        <w:t>材料二 2022年，国务院进一步扩大税费减免政策的适用主体范围，将阶段性缓交保险费政策由五个特困行业扩大到所有经营困难的中小微企业、个体户，支持高校毕业生自主创业，落实大众创业、万众创新相关政策。</w:t>
      </w:r>
    </w:p>
    <w:p>
      <w:pPr>
        <w:spacing w:line="360" w:lineRule="auto"/>
        <w:ind w:firstLine="420" w:firstLineChars="200"/>
        <w:jc w:val="left"/>
        <w:textAlignment w:val="center"/>
        <w:rPr>
          <w:rFonts w:ascii="楷体" w:eastAsia="楷体" w:hAnsi="楷体" w:cs="楷体"/>
        </w:rPr>
      </w:pPr>
      <w:r>
        <w:rPr>
          <w:rFonts w:ascii="楷体" w:eastAsia="楷体" w:hAnsi="楷体" w:cs="楷体"/>
        </w:rPr>
        <w:t>X县政府争取中央财政专项补贴，支持社会力量启动某养老项目，为社会提供1235个普惠养老床位，为老年人提供连续性、协调性和整体性的医养护一体化服务，并带动区域内相关养老配套产业发展。</w:t>
      </w:r>
    </w:p>
    <w:p>
      <w:pPr>
        <w:spacing w:line="360" w:lineRule="auto"/>
        <w:ind w:firstLine="420" w:firstLineChars="200"/>
        <w:jc w:val="left"/>
        <w:textAlignment w:val="center"/>
        <w:rPr>
          <w:rFonts w:ascii="'Times New Roman'" w:eastAsia="'Times New Roman'" w:hAnsi="'Times New Roman'" w:cs="'Times New Roman'"/>
        </w:rPr>
      </w:pPr>
      <w:r>
        <w:rPr>
          <w:rFonts w:ascii="'Times New Roman'" w:eastAsia="'Times New Roman'" w:hAnsi="'Times New Roman'" w:cs="'Times New Roman'"/>
        </w:rPr>
        <w:t> </w:t>
      </w:r>
      <w:r>
        <w:rPr>
          <w:rFonts w:ascii="楷体" w:eastAsia="楷体" w:hAnsi="楷体" w:cs="楷体"/>
        </w:rPr>
        <w:t>C市政府启动三千万元消费券及消费红包惠民大派送，围绕国际品牌集聚、大宗商品商贸、文旅融合等十大内容开展促消费活动，政府投入加上撬动社会资本，投入资金将超一亿元。</w:t>
      </w:r>
    </w:p>
    <w:p>
      <w:pPr>
        <w:spacing w:line="360" w:lineRule="auto"/>
        <w:ind w:firstLine="420" w:firstLineChars="200"/>
        <w:jc w:val="left"/>
        <w:textAlignment w:val="center"/>
      </w:pPr>
      <w:r>
        <w:t>(1)请说明材料一反映的经济信息。</w:t>
      </w:r>
    </w:p>
    <w:p>
      <w:pPr>
        <w:spacing w:line="360" w:lineRule="auto"/>
        <w:ind w:firstLine="420" w:firstLineChars="200"/>
        <w:jc w:val="left"/>
        <w:textAlignment w:val="center"/>
      </w:pPr>
      <w:r>
        <w:t>(2)请结合材料二，运用经济生活知识，分析政府在促进消费方面是如何作为的。</w:t>
      </w:r>
    </w:p>
    <w:p>
      <w:pPr>
        <w:spacing w:line="360" w:lineRule="auto"/>
        <w:ind w:firstLine="600" w:firstLineChars="200"/>
        <w:jc w:val="center"/>
        <w:textAlignment w:val="center"/>
      </w:pPr>
      <w:r>
        <w:rPr>
          <w:b/>
          <w:color w:val="0000FF"/>
          <w:sz w:val="30"/>
          <w:szCs w:val="30"/>
        </w:rPr>
        <w:pict>
          <v:shape id="_x0000_i1035" type="#_x0000_t75" style="width:189.75pt;height:50.25pt" coordsize="21600,21600" o:preferrelative="t" filled="f" stroked="f">
            <v:stroke joinstyle="miter"/>
            <v:imagedata r:id="rId36" o:title="8400b27930d3d649b5309eee3ba207e"/>
            <o:lock v:ext="edit" aspectratio="t"/>
            <w10:anchorlock/>
          </v:shape>
        </w:pict>
      </w:r>
    </w:p>
    <w:p>
      <w:pPr>
        <w:spacing w:line="360" w:lineRule="auto"/>
        <w:ind w:firstLine="420" w:firstLineChars="200"/>
        <w:jc w:val="left"/>
        <w:textAlignment w:val="center"/>
        <w:rPr>
          <w:rFonts w:ascii="宋体" w:hAnsi="宋体"/>
        </w:rPr>
        <w:sectPr>
          <w:headerReference w:type="default" r:id="rId37"/>
          <w:footerReference w:type="even" r:id="rId38"/>
          <w:footerReference w:type="default" r:id="rId39"/>
          <w:footerReference w:type="first" r:id="rId40"/>
          <w:type w:val="nextPage"/>
          <w:pgSz w:w="11906" w:h="16838"/>
          <w:pgMar w:top="1417" w:right="1077" w:bottom="1417" w:left="1077" w:header="850" w:footer="992" w:gutter="0"/>
          <w:pgNumType w:start="6"/>
          <w:cols w:num="1" w:space="708"/>
          <w:titlePg w:val="0"/>
          <w:docGrid w:type="lines" w:linePitch="318" w:charSpace="409"/>
        </w:sectPr>
      </w:pPr>
      <w:r>
        <w:t>1．</w:t>
      </w:r>
      <w:r>
        <w:rPr>
          <w:rFonts w:hint="eastAsia"/>
        </w:rPr>
        <w:t>（2</w:t>
      </w:r>
      <w:r>
        <w:t>021</w:t>
      </w:r>
      <w:r>
        <w:rPr>
          <w:rFonts w:hint="eastAsia"/>
        </w:rPr>
        <w:t>全国甲卷）</w:t>
      </w:r>
      <w:r>
        <w:rPr>
          <w:rFonts w:ascii="宋体" w:hAnsi="宋体"/>
        </w:rPr>
        <w:t>为促进新能源汽车业发展，一些地方采取购置补贴和免征购置税等政策。在此背景下，这些地方燃油汽车的需求会受到一定影响在其他因素不变的条件下，正确反映这些地方汽车需求变化趋势的图示是（   ）</w:t>
      </w:r>
    </w:p>
    <w:p>
      <w:pPr>
        <w:spacing w:line="360" w:lineRule="auto"/>
        <w:ind w:firstLine="420" w:firstLineChars="200"/>
        <w:jc w:val="center"/>
        <w:textAlignment w:val="center"/>
      </w:pPr>
      <w:r>
        <w:pict>
          <v:shape id="_x0000_i1036" type="#_x0000_t75" alt="学科网(www.zxxk.com)--教育资源门户，提供试卷、教案、课件、论文、素材以及各类教学资源下载，还有大量而丰富的教学相关资讯！" style="width:369pt;height:189pt" coordsize="21600,21600" o:preferrelative="t" filled="f" stroked="f">
            <v:stroke joinstyle="miter"/>
            <v:imagedata r:id="rId41" o:title="学科网(www.zxxk"/>
            <o:lock v:ext="edit" aspectratio="t"/>
            <w10:anchorlock/>
          </v:shape>
        </w:pict>
      </w:r>
    </w:p>
    <w:p>
      <w:pPr>
        <w:tabs>
          <w:tab w:val="left" w:pos="2436"/>
          <w:tab w:val="left" w:pos="4873"/>
          <w:tab w:val="left" w:pos="7309"/>
        </w:tabs>
        <w:spacing w:line="360" w:lineRule="auto"/>
        <w:ind w:firstLine="420" w:firstLineChars="200"/>
        <w:jc w:val="left"/>
        <w:textAlignment w:val="center"/>
        <w:rPr>
          <w:rFonts w:ascii="宋体" w:hAnsi="宋体"/>
          <w:color w:val="000000"/>
        </w:rPr>
      </w:pPr>
      <w:r>
        <w:rPr>
          <w:rFonts w:hint="eastAsia"/>
        </w:rPr>
        <w:t>A．</w:t>
      </w:r>
      <w:r>
        <w:rPr>
          <w:rFonts w:ascii="宋体" w:hAnsi="宋体"/>
        </w:rPr>
        <w:t>①③</w:t>
      </w:r>
      <w:r>
        <w:rPr>
          <w:rFonts w:hint="eastAsia"/>
        </w:rPr>
        <w:tab/>
      </w:r>
      <w:r>
        <w:rPr>
          <w:rFonts w:hint="eastAsia"/>
        </w:rPr>
        <w:t>B．</w:t>
      </w:r>
      <w:r>
        <w:rPr>
          <w:rFonts w:ascii="宋体" w:hAnsi="宋体"/>
        </w:rPr>
        <w:t>①④</w:t>
      </w:r>
      <w:r>
        <w:rPr>
          <w:rFonts w:hint="eastAsia"/>
        </w:rPr>
        <w:tab/>
      </w:r>
      <w:r>
        <w:rPr>
          <w:rFonts w:hint="eastAsia"/>
        </w:rPr>
        <w:t>C．</w:t>
      </w:r>
      <w:r>
        <w:rPr>
          <w:rFonts w:ascii="宋体" w:hAnsi="宋体"/>
        </w:rPr>
        <w:t>②③</w:t>
      </w:r>
      <w:r>
        <w:rPr>
          <w:rFonts w:hint="eastAsia"/>
        </w:rPr>
        <w:tab/>
      </w:r>
      <w:r>
        <w:rPr>
          <w:rFonts w:hint="eastAsia"/>
        </w:rPr>
        <w:t>D．</w:t>
      </w:r>
      <w:r>
        <w:rPr>
          <w:rFonts w:ascii="宋体" w:hAnsi="宋体"/>
        </w:rPr>
        <w:t>②④</w:t>
      </w:r>
    </w:p>
    <w:p>
      <w:pPr>
        <w:spacing w:line="360" w:lineRule="auto"/>
        <w:ind w:firstLine="420" w:firstLineChars="200"/>
        <w:jc w:val="left"/>
        <w:textAlignment w:val="center"/>
        <w:rPr>
          <w:rFonts w:ascii="宋体" w:hAnsi="宋体" w:cs="宋体"/>
        </w:rPr>
      </w:pPr>
      <w:r>
        <w:t>2．</w:t>
      </w:r>
      <w:r>
        <w:rPr>
          <w:rFonts w:hint="eastAsia"/>
        </w:rPr>
        <w:t>（</w:t>
      </w:r>
      <w:r>
        <w:t>2021</w:t>
      </w:r>
      <w:r>
        <w:rPr>
          <w:rFonts w:hint="eastAsia"/>
        </w:rPr>
        <w:t>全国乙卷）</w:t>
      </w:r>
      <w:r>
        <w:rPr>
          <w:rFonts w:ascii="宋体" w:hAnsi="宋体" w:cs="宋体"/>
        </w:rPr>
        <w:t>甲国经济对外贸的依存度高，其进出口贸易以美元结算。在开放市场条件下，当甲国发生通货膨胀时，若不考虑其他因素，甲国货币对美元的汇率会下降。关于这一作用过程的描述，正确的是（</w:t>
      </w:r>
      <w:r>
        <w:rPr>
          <w:rFonts w:eastAsia="Times New Roman"/>
        </w:rPr>
        <w:t xml:space="preserve">    </w:t>
      </w:r>
      <w:r>
        <w:rPr>
          <w:rFonts w:ascii="宋体" w:hAnsi="宋体" w:cs="宋体"/>
        </w:rPr>
        <w:t>）</w:t>
      </w:r>
    </w:p>
    <w:tbl>
      <w:tblPr>
        <w:tblStyle w:val="TableNormal"/>
        <w:tblW w:w="9639" w:type="dxa"/>
        <w:tblInd w:w="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778"/>
        <w:gridCol w:w="771"/>
        <w:gridCol w:w="4008"/>
        <w:gridCol w:w="771"/>
        <w:gridCol w:w="2311"/>
      </w:tblGrid>
      <w:tr>
        <w:tblPrEx>
          <w:tblW w:w="9639" w:type="dxa"/>
          <w:tblInd w:w="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trHeight w:val="1155"/>
        </w:trPr>
        <w:tc>
          <w:tcPr>
            <w:tcW w:w="1778"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ind w:firstLine="200"/>
              <w:jc w:val="center"/>
              <w:textAlignment w:val="center"/>
              <w:rPr>
                <w:rFonts w:ascii="宋体" w:hAnsi="宋体" w:cs="宋体"/>
                <w:szCs w:val="24"/>
              </w:rPr>
            </w:pPr>
            <w:r>
              <w:rPr>
                <w:rFonts w:ascii="宋体" w:hAnsi="宋体" w:cs="宋体"/>
                <w:szCs w:val="24"/>
              </w:rPr>
              <w:t>甲国通货膨胀</w:t>
            </w:r>
          </w:p>
        </w:tc>
        <w:tc>
          <w:tcPr>
            <w:tcW w:w="0" w:type="auto"/>
            <w:tcBorders>
              <w:top w:val="nil"/>
              <w:left w:val="single" w:sz="6" w:space="0" w:color="000000"/>
              <w:bottom w:val="nil"/>
              <w:right w:val="single" w:sz="6" w:space="0" w:color="000000"/>
            </w:tcBorders>
            <w:tcMar>
              <w:top w:w="75" w:type="dxa"/>
              <w:bottom w:w="75" w:type="dxa"/>
            </w:tcMar>
            <w:vAlign w:val="center"/>
          </w:tcPr>
          <w:p>
            <w:pPr>
              <w:spacing w:line="360" w:lineRule="auto"/>
              <w:ind w:firstLine="200"/>
              <w:jc w:val="center"/>
              <w:textAlignment w:val="center"/>
              <w:rPr>
                <w:rFonts w:ascii="宋体" w:hAnsi="宋体" w:cs="宋体"/>
                <w:szCs w:val="24"/>
              </w:rPr>
            </w:pPr>
            <w:r>
              <w:rPr>
                <w:rFonts w:ascii="宋体" w:hAnsi="宋体" w:cs="宋体"/>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ind w:firstLine="200"/>
              <w:jc w:val="center"/>
              <w:textAlignment w:val="center"/>
              <w:rPr>
                <w:rFonts w:ascii="宋体" w:hAnsi="宋体" w:cs="宋体"/>
                <w:szCs w:val="24"/>
              </w:rPr>
            </w:pPr>
            <w:r>
              <w:rPr>
                <w:rFonts w:ascii="宋体" w:hAnsi="宋体" w:cs="宋体"/>
                <w:szCs w:val="24"/>
              </w:rPr>
              <w:t>①进口商品增加→美元需求增加</w:t>
            </w:r>
          </w:p>
          <w:p>
            <w:pPr>
              <w:spacing w:line="360" w:lineRule="auto"/>
              <w:ind w:firstLine="200"/>
              <w:jc w:val="center"/>
              <w:textAlignment w:val="center"/>
              <w:rPr>
                <w:rFonts w:ascii="宋体" w:hAnsi="宋体" w:cs="宋体"/>
                <w:szCs w:val="24"/>
              </w:rPr>
            </w:pPr>
            <w:r>
              <w:rPr>
                <w:rFonts w:ascii="宋体" w:hAnsi="宋体" w:cs="宋体"/>
                <w:szCs w:val="24"/>
              </w:rPr>
              <w:t>②进口商品减少→美元需求减少</w:t>
            </w:r>
          </w:p>
          <w:p>
            <w:pPr>
              <w:spacing w:line="360" w:lineRule="auto"/>
              <w:ind w:firstLine="200"/>
              <w:jc w:val="center"/>
              <w:textAlignment w:val="center"/>
              <w:rPr>
                <w:rFonts w:ascii="宋体" w:hAnsi="宋体" w:cs="宋体"/>
                <w:szCs w:val="24"/>
              </w:rPr>
            </w:pPr>
            <w:r>
              <w:rPr>
                <w:rFonts w:ascii="宋体" w:hAnsi="宋体" w:cs="宋体"/>
                <w:szCs w:val="24"/>
              </w:rPr>
              <w:t>③出口商品增加→美元供给增加</w:t>
            </w:r>
          </w:p>
          <w:p>
            <w:pPr>
              <w:spacing w:line="360" w:lineRule="auto"/>
              <w:ind w:firstLine="200"/>
              <w:jc w:val="center"/>
              <w:textAlignment w:val="center"/>
              <w:rPr>
                <w:rFonts w:ascii="宋体" w:hAnsi="宋体" w:cs="宋体"/>
                <w:szCs w:val="24"/>
              </w:rPr>
            </w:pPr>
            <w:r>
              <w:rPr>
                <w:rFonts w:ascii="宋体" w:hAnsi="宋体" w:cs="宋体"/>
                <w:szCs w:val="24"/>
              </w:rPr>
              <w:t>④出口商品减少→美元供给减少</w:t>
            </w:r>
          </w:p>
        </w:tc>
        <w:tc>
          <w:tcPr>
            <w:tcW w:w="0" w:type="auto"/>
            <w:tcBorders>
              <w:top w:val="nil"/>
              <w:left w:val="single" w:sz="6" w:space="0" w:color="000000"/>
              <w:bottom w:val="nil"/>
              <w:right w:val="single" w:sz="6" w:space="0" w:color="000000"/>
            </w:tcBorders>
            <w:tcMar>
              <w:top w:w="75" w:type="dxa"/>
              <w:bottom w:w="75" w:type="dxa"/>
            </w:tcMar>
            <w:vAlign w:val="center"/>
          </w:tcPr>
          <w:p>
            <w:pPr>
              <w:spacing w:line="360" w:lineRule="auto"/>
              <w:ind w:firstLine="200"/>
              <w:jc w:val="center"/>
              <w:textAlignment w:val="center"/>
              <w:rPr>
                <w:rFonts w:ascii="宋体" w:hAnsi="宋体" w:cs="宋体"/>
                <w:szCs w:val="24"/>
              </w:rPr>
            </w:pPr>
            <w:r>
              <w:rPr>
                <w:rFonts w:ascii="宋体" w:hAnsi="宋体" w:cs="宋体"/>
                <w:szCs w:val="24"/>
              </w:rPr>
              <w:t>→</w:t>
            </w:r>
          </w:p>
        </w:tc>
        <w:tc>
          <w:tcPr>
            <w:tcW w:w="2312"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ind w:firstLine="200"/>
              <w:jc w:val="center"/>
              <w:textAlignment w:val="center"/>
              <w:rPr>
                <w:rFonts w:ascii="宋体" w:hAnsi="宋体" w:cs="宋体"/>
                <w:szCs w:val="24"/>
              </w:rPr>
            </w:pPr>
            <w:r>
              <w:rPr>
                <w:rFonts w:ascii="宋体" w:hAnsi="宋体" w:cs="宋体"/>
                <w:szCs w:val="24"/>
              </w:rPr>
              <w:t>甲国货币汇率下降</w:t>
            </w:r>
          </w:p>
        </w:tc>
      </w:tr>
    </w:tbl>
    <w:p>
      <w:pPr>
        <w:spacing w:line="360" w:lineRule="auto"/>
        <w:ind w:firstLine="420" w:firstLineChars="200"/>
        <w:jc w:val="left"/>
        <w:textAlignment w:val="center"/>
      </w:pPr>
    </w:p>
    <w:p>
      <w:pPr>
        <w:tabs>
          <w:tab w:val="left" w:pos="2436"/>
          <w:tab w:val="left" w:pos="4873"/>
          <w:tab w:val="left" w:pos="7309"/>
        </w:tabs>
        <w:spacing w:line="360" w:lineRule="auto"/>
        <w:ind w:firstLine="420" w:firstLineChars="200"/>
        <w:jc w:val="left"/>
        <w:textAlignment w:val="center"/>
        <w:rPr>
          <w:rFonts w:ascii="宋体" w:hAnsi="宋体" w:cs="宋体"/>
          <w:color w:val="000000"/>
        </w:rPr>
      </w:pPr>
      <w:r>
        <w:rPr>
          <w:rFonts w:hint="eastAsia"/>
        </w:rPr>
        <w:t>A．</w:t>
      </w:r>
      <w:r>
        <w:rPr>
          <w:rFonts w:ascii="宋体" w:hAnsi="宋体" w:cs="宋体"/>
        </w:rPr>
        <w:t>①③</w:t>
      </w:r>
      <w:r>
        <w:rPr>
          <w:rFonts w:hint="eastAsia"/>
        </w:rPr>
        <w:tab/>
      </w:r>
      <w:r>
        <w:rPr>
          <w:rFonts w:hint="eastAsia"/>
        </w:rPr>
        <w:t>B．</w:t>
      </w:r>
      <w:r>
        <w:rPr>
          <w:rFonts w:ascii="宋体" w:hAnsi="宋体" w:cs="宋体"/>
        </w:rPr>
        <w:t>①④</w:t>
      </w:r>
      <w:r>
        <w:rPr>
          <w:rFonts w:hint="eastAsia"/>
        </w:rPr>
        <w:tab/>
      </w:r>
      <w:r>
        <w:rPr>
          <w:rFonts w:hint="eastAsia"/>
        </w:rPr>
        <w:t>C．</w:t>
      </w:r>
      <w:r>
        <w:rPr>
          <w:rFonts w:ascii="宋体" w:hAnsi="宋体" w:cs="宋体"/>
        </w:rPr>
        <w:t>②③</w:t>
      </w:r>
      <w:r>
        <w:rPr>
          <w:rFonts w:hint="eastAsia"/>
        </w:rPr>
        <w:tab/>
      </w:r>
      <w:r>
        <w:rPr>
          <w:rFonts w:hint="eastAsia"/>
        </w:rPr>
        <w:t>D．</w:t>
      </w:r>
      <w:r>
        <w:rPr>
          <w:rFonts w:ascii="宋体" w:hAnsi="宋体" w:cs="宋体"/>
        </w:rPr>
        <w:t>②④</w:t>
      </w:r>
    </w:p>
    <w:p>
      <w:pPr>
        <w:spacing w:line="360" w:lineRule="auto"/>
        <w:ind w:firstLine="420" w:firstLineChars="200"/>
        <w:jc w:val="left"/>
        <w:textAlignment w:val="center"/>
        <w:rPr>
          <w:rFonts w:ascii="宋体" w:hAnsi="宋体" w:cs="宋体"/>
          <w:color w:val="000000"/>
        </w:rPr>
      </w:pPr>
      <w:r>
        <w:t>3．</w:t>
      </w:r>
      <w:r>
        <w:rPr>
          <w:rFonts w:hint="eastAsia"/>
        </w:rPr>
        <w:t>（2</w:t>
      </w:r>
      <w:r>
        <w:t>021浙江卷</w:t>
      </w:r>
      <w:r>
        <w:rPr>
          <w:rFonts w:hint="eastAsia"/>
        </w:rPr>
        <w:t>）</w:t>
      </w:r>
      <w:r>
        <w:rPr>
          <w:rFonts w:ascii="宋体" w:hAnsi="宋体" w:cs="宋体"/>
        </w:rPr>
        <w:t>下表系</w:t>
      </w:r>
      <w:r>
        <w:rPr>
          <w:rFonts w:ascii="宋体" w:hAnsi="宋体" w:cs="宋体"/>
          <w:color w:val="000000"/>
        </w:rPr>
        <w:t>2019、2020年我国猪肉产量，生猪存栏数据</w:t>
      </w:r>
    </w:p>
    <w:tbl>
      <w:tblPr>
        <w:tblStyle w:val="TableNormal"/>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725"/>
        <w:gridCol w:w="1725"/>
        <w:gridCol w:w="1725"/>
        <w:gridCol w:w="1725"/>
        <w:gridCol w:w="1740"/>
      </w:tblGrid>
      <w:tr>
        <w:tblPrEx>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trHeight w:val="405"/>
          <w:jc w:val="center"/>
        </w:trPr>
        <w:tc>
          <w:tcPr>
            <w:tcW w:w="1725" w:type="dxa"/>
            <w:tcBorders>
              <w:top w:val="single" w:sz="6" w:space="0" w:color="000000"/>
              <w:left w:val="single" w:sz="6" w:space="0" w:color="000000"/>
              <w:bottom w:val="nil"/>
              <w:right w:val="nil"/>
            </w:tcBorders>
            <w:tcMar>
              <w:top w:w="75" w:type="dxa"/>
              <w:bottom w:w="75" w:type="dxa"/>
            </w:tcMar>
            <w:vAlign w:val="center"/>
          </w:tcPr>
          <w:p>
            <w:pPr>
              <w:spacing w:line="360" w:lineRule="auto"/>
              <w:ind w:firstLine="200"/>
              <w:jc w:val="left"/>
              <w:textAlignment w:val="center"/>
              <w:rPr>
                <w:rFonts w:ascii="Time New Romans" w:hAnsi="Time New Romans" w:cs="宋体"/>
                <w:color w:val="000000"/>
                <w:szCs w:val="24"/>
              </w:rPr>
            </w:pPr>
          </w:p>
        </w:tc>
        <w:tc>
          <w:tcPr>
            <w:tcW w:w="1725" w:type="dxa"/>
            <w:tcBorders>
              <w:top w:val="single" w:sz="6" w:space="0" w:color="000000"/>
              <w:left w:val="single" w:sz="6" w:space="0" w:color="000000"/>
              <w:bottom w:val="nil"/>
              <w:right w:val="nil"/>
            </w:tcBorders>
            <w:tcMar>
              <w:top w:w="75" w:type="dxa"/>
              <w:bottom w:w="75" w:type="dxa"/>
            </w:tcMar>
            <w:vAlign w:val="bottom"/>
          </w:tcPr>
          <w:p>
            <w:pPr>
              <w:spacing w:line="360" w:lineRule="auto"/>
              <w:ind w:firstLine="200"/>
              <w:jc w:val="center"/>
              <w:textAlignment w:val="center"/>
              <w:rPr>
                <w:rFonts w:ascii="宋体" w:hAnsi="宋体" w:cs="宋体"/>
                <w:color w:val="000000"/>
                <w:szCs w:val="24"/>
              </w:rPr>
            </w:pPr>
            <w:r>
              <w:rPr>
                <w:rFonts w:ascii="宋体" w:hAnsi="宋体" w:cs="宋体"/>
                <w:color w:val="000000"/>
                <w:szCs w:val="24"/>
              </w:rPr>
              <w:t>猪肉产量</w:t>
            </w:r>
          </w:p>
        </w:tc>
        <w:tc>
          <w:tcPr>
            <w:tcW w:w="1725" w:type="dxa"/>
            <w:tcBorders>
              <w:top w:val="single" w:sz="6" w:space="0" w:color="000000"/>
              <w:left w:val="single" w:sz="6" w:space="0" w:color="000000"/>
              <w:bottom w:val="nil"/>
              <w:right w:val="nil"/>
            </w:tcBorders>
            <w:tcMar>
              <w:top w:w="75" w:type="dxa"/>
              <w:bottom w:w="75" w:type="dxa"/>
            </w:tcMar>
            <w:vAlign w:val="bottom"/>
          </w:tcPr>
          <w:p>
            <w:pPr>
              <w:spacing w:line="360" w:lineRule="auto"/>
              <w:ind w:firstLine="200"/>
              <w:jc w:val="center"/>
              <w:textAlignment w:val="center"/>
              <w:rPr>
                <w:rFonts w:ascii="宋体" w:hAnsi="宋体" w:cs="宋体"/>
                <w:color w:val="000000"/>
                <w:szCs w:val="24"/>
              </w:rPr>
            </w:pPr>
            <w:r>
              <w:rPr>
                <w:rFonts w:ascii="宋体" w:hAnsi="宋体" w:cs="宋体"/>
                <w:color w:val="000000"/>
                <w:szCs w:val="24"/>
              </w:rPr>
              <w:t>同比增长</w:t>
            </w:r>
          </w:p>
        </w:tc>
        <w:tc>
          <w:tcPr>
            <w:tcW w:w="1725" w:type="dxa"/>
            <w:tcBorders>
              <w:top w:val="single" w:sz="6" w:space="0" w:color="000000"/>
              <w:left w:val="single" w:sz="6" w:space="0" w:color="000000"/>
              <w:bottom w:val="nil"/>
              <w:right w:val="nil"/>
            </w:tcBorders>
            <w:tcMar>
              <w:top w:w="75" w:type="dxa"/>
              <w:bottom w:w="75" w:type="dxa"/>
            </w:tcMar>
            <w:vAlign w:val="bottom"/>
          </w:tcPr>
          <w:p>
            <w:pPr>
              <w:spacing w:line="360" w:lineRule="auto"/>
              <w:ind w:firstLine="200"/>
              <w:jc w:val="center"/>
              <w:textAlignment w:val="center"/>
              <w:rPr>
                <w:rFonts w:ascii="宋体" w:hAnsi="宋体" w:cs="宋体"/>
                <w:color w:val="000000"/>
                <w:szCs w:val="24"/>
              </w:rPr>
            </w:pPr>
            <w:r>
              <w:rPr>
                <w:rFonts w:ascii="宋体" w:hAnsi="宋体" w:cs="宋体"/>
                <w:color w:val="000000"/>
                <w:szCs w:val="24"/>
              </w:rPr>
              <w:t>年末生猪存栏</w:t>
            </w:r>
          </w:p>
        </w:tc>
        <w:tc>
          <w:tcPr>
            <w:tcW w:w="1740" w:type="dxa"/>
            <w:tcBorders>
              <w:top w:val="single" w:sz="6" w:space="0" w:color="000000"/>
              <w:left w:val="single" w:sz="6" w:space="0" w:color="000000"/>
              <w:bottom w:val="nil"/>
              <w:right w:val="single" w:sz="6" w:space="0" w:color="000000"/>
            </w:tcBorders>
            <w:tcMar>
              <w:top w:w="75" w:type="dxa"/>
              <w:bottom w:w="75" w:type="dxa"/>
            </w:tcMar>
            <w:vAlign w:val="bottom"/>
          </w:tcPr>
          <w:p>
            <w:pPr>
              <w:spacing w:line="360" w:lineRule="auto"/>
              <w:ind w:firstLine="200"/>
              <w:jc w:val="center"/>
              <w:textAlignment w:val="center"/>
              <w:rPr>
                <w:rFonts w:ascii="宋体" w:hAnsi="宋体" w:cs="宋体"/>
                <w:color w:val="000000"/>
                <w:szCs w:val="24"/>
              </w:rPr>
            </w:pPr>
            <w:r>
              <w:rPr>
                <w:rFonts w:ascii="宋体" w:hAnsi="宋体" w:cs="宋体"/>
                <w:color w:val="000000"/>
                <w:szCs w:val="24"/>
              </w:rPr>
              <w:t>同比增长</w:t>
            </w:r>
          </w:p>
        </w:tc>
      </w:tr>
      <w:tr>
        <w:tblPrEx>
          <w:tblW w:w="8640" w:type="dxa"/>
          <w:jc w:val="center"/>
          <w:tblCellMar>
            <w:top w:w="120" w:type="dxa"/>
            <w:left w:w="120" w:type="dxa"/>
            <w:bottom w:w="120" w:type="dxa"/>
            <w:right w:w="120" w:type="dxa"/>
          </w:tblCellMar>
        </w:tblPrEx>
        <w:trPr>
          <w:trHeight w:val="330"/>
          <w:jc w:val="center"/>
        </w:trPr>
        <w:tc>
          <w:tcPr>
            <w:tcW w:w="1725" w:type="dxa"/>
            <w:tcBorders>
              <w:top w:val="single" w:sz="6" w:space="0" w:color="000000"/>
              <w:left w:val="single" w:sz="6" w:space="0" w:color="000000"/>
              <w:bottom w:val="nil"/>
              <w:right w:val="nil"/>
            </w:tcBorders>
            <w:tcMar>
              <w:top w:w="75" w:type="dxa"/>
              <w:bottom w:w="75" w:type="dxa"/>
            </w:tcMar>
            <w:vAlign w:val="bottom"/>
          </w:tcPr>
          <w:p>
            <w:pPr>
              <w:spacing w:line="360" w:lineRule="auto"/>
              <w:ind w:firstLine="200"/>
              <w:jc w:val="center"/>
              <w:textAlignment w:val="center"/>
              <w:rPr>
                <w:rFonts w:ascii="宋体" w:hAnsi="宋体" w:cs="宋体"/>
                <w:color w:val="000000"/>
                <w:szCs w:val="24"/>
              </w:rPr>
            </w:pPr>
            <w:r>
              <w:rPr>
                <w:rFonts w:ascii="宋体" w:hAnsi="宋体" w:cs="宋体"/>
                <w:color w:val="000000"/>
                <w:szCs w:val="24"/>
              </w:rPr>
              <w:t>2019年</w:t>
            </w:r>
          </w:p>
        </w:tc>
        <w:tc>
          <w:tcPr>
            <w:tcW w:w="1725" w:type="dxa"/>
            <w:tcBorders>
              <w:top w:val="single" w:sz="6" w:space="0" w:color="000000"/>
              <w:left w:val="single" w:sz="6" w:space="0" w:color="000000"/>
              <w:bottom w:val="nil"/>
              <w:right w:val="nil"/>
            </w:tcBorders>
            <w:tcMar>
              <w:top w:w="75" w:type="dxa"/>
              <w:bottom w:w="75" w:type="dxa"/>
            </w:tcMar>
            <w:vAlign w:val="bottom"/>
          </w:tcPr>
          <w:p>
            <w:pPr>
              <w:spacing w:line="360" w:lineRule="auto"/>
              <w:ind w:firstLine="200"/>
              <w:jc w:val="center"/>
              <w:textAlignment w:val="center"/>
              <w:rPr>
                <w:rFonts w:ascii="宋体" w:hAnsi="宋体" w:cs="宋体"/>
                <w:color w:val="000000"/>
                <w:szCs w:val="24"/>
              </w:rPr>
            </w:pPr>
            <w:r>
              <w:rPr>
                <w:rFonts w:ascii="宋体" w:hAnsi="宋体" w:cs="宋体"/>
                <w:color w:val="000000"/>
                <w:szCs w:val="24"/>
              </w:rPr>
              <w:t>4255万吨</w:t>
            </w:r>
          </w:p>
        </w:tc>
        <w:tc>
          <w:tcPr>
            <w:tcW w:w="1725" w:type="dxa"/>
            <w:tcBorders>
              <w:top w:val="single" w:sz="6" w:space="0" w:color="000000"/>
              <w:left w:val="single" w:sz="6" w:space="0" w:color="000000"/>
              <w:bottom w:val="nil"/>
              <w:right w:val="nil"/>
            </w:tcBorders>
            <w:tcMar>
              <w:top w:w="75" w:type="dxa"/>
              <w:bottom w:w="75" w:type="dxa"/>
            </w:tcMar>
            <w:vAlign w:val="bottom"/>
          </w:tcPr>
          <w:p>
            <w:pPr>
              <w:spacing w:line="360" w:lineRule="auto"/>
              <w:ind w:firstLine="200"/>
              <w:jc w:val="center"/>
              <w:textAlignment w:val="center"/>
              <w:rPr>
                <w:rFonts w:ascii="宋体" w:hAnsi="宋体" w:cs="宋体"/>
                <w:color w:val="000000"/>
                <w:szCs w:val="24"/>
              </w:rPr>
            </w:pPr>
            <w:r>
              <w:rPr>
                <w:rFonts w:ascii="宋体" w:hAnsi="宋体" w:cs="宋体"/>
                <w:color w:val="000000"/>
                <w:szCs w:val="24"/>
              </w:rPr>
              <w:t>-21．3%</w:t>
            </w:r>
          </w:p>
        </w:tc>
        <w:tc>
          <w:tcPr>
            <w:tcW w:w="1725" w:type="dxa"/>
            <w:tcBorders>
              <w:top w:val="single" w:sz="6" w:space="0" w:color="000000"/>
              <w:left w:val="single" w:sz="6" w:space="0" w:color="000000"/>
              <w:bottom w:val="nil"/>
              <w:right w:val="nil"/>
            </w:tcBorders>
            <w:tcMar>
              <w:top w:w="75" w:type="dxa"/>
              <w:bottom w:w="75" w:type="dxa"/>
            </w:tcMar>
            <w:vAlign w:val="bottom"/>
          </w:tcPr>
          <w:p>
            <w:pPr>
              <w:spacing w:line="360" w:lineRule="auto"/>
              <w:ind w:firstLine="200"/>
              <w:jc w:val="center"/>
              <w:textAlignment w:val="center"/>
              <w:rPr>
                <w:rFonts w:ascii="宋体" w:hAnsi="宋体" w:cs="宋体"/>
                <w:color w:val="000000"/>
                <w:szCs w:val="24"/>
              </w:rPr>
            </w:pPr>
            <w:r>
              <w:rPr>
                <w:rFonts w:ascii="宋体" w:hAnsi="宋体" w:cs="宋体"/>
                <w:color w:val="000000"/>
                <w:szCs w:val="24"/>
              </w:rPr>
              <w:t>31041万头</w:t>
            </w:r>
          </w:p>
        </w:tc>
        <w:tc>
          <w:tcPr>
            <w:tcW w:w="1740" w:type="dxa"/>
            <w:tcBorders>
              <w:top w:val="single" w:sz="6" w:space="0" w:color="000000"/>
              <w:left w:val="single" w:sz="6" w:space="0" w:color="000000"/>
              <w:bottom w:val="nil"/>
              <w:right w:val="single" w:sz="6" w:space="0" w:color="000000"/>
            </w:tcBorders>
            <w:tcMar>
              <w:top w:w="75" w:type="dxa"/>
              <w:bottom w:w="75" w:type="dxa"/>
            </w:tcMar>
            <w:vAlign w:val="bottom"/>
          </w:tcPr>
          <w:p>
            <w:pPr>
              <w:spacing w:line="360" w:lineRule="auto"/>
              <w:ind w:firstLine="200"/>
              <w:jc w:val="center"/>
              <w:textAlignment w:val="center"/>
              <w:rPr>
                <w:rFonts w:ascii="宋体" w:hAnsi="宋体" w:cs="宋体"/>
                <w:color w:val="000000"/>
                <w:szCs w:val="24"/>
              </w:rPr>
            </w:pPr>
            <w:r>
              <w:rPr>
                <w:rFonts w:ascii="宋体" w:hAnsi="宋体" w:cs="宋体"/>
                <w:color w:val="000000"/>
                <w:szCs w:val="24"/>
              </w:rPr>
              <w:t>-27．5%</w:t>
            </w:r>
          </w:p>
        </w:tc>
      </w:tr>
      <w:tr>
        <w:tblPrEx>
          <w:tblW w:w="8640" w:type="dxa"/>
          <w:jc w:val="center"/>
          <w:tblCellMar>
            <w:top w:w="120" w:type="dxa"/>
            <w:left w:w="120" w:type="dxa"/>
            <w:bottom w:w="120" w:type="dxa"/>
            <w:right w:w="120" w:type="dxa"/>
          </w:tblCellMar>
        </w:tblPrEx>
        <w:trPr>
          <w:trHeight w:val="345"/>
          <w:jc w:val="center"/>
        </w:trPr>
        <w:tc>
          <w:tcPr>
            <w:tcW w:w="1725" w:type="dxa"/>
            <w:tcBorders>
              <w:top w:val="single" w:sz="6" w:space="0" w:color="000000"/>
              <w:left w:val="single" w:sz="6" w:space="0" w:color="000000"/>
              <w:bottom w:val="single" w:sz="6" w:space="0" w:color="000000"/>
              <w:right w:val="nil"/>
            </w:tcBorders>
            <w:tcMar>
              <w:top w:w="75" w:type="dxa"/>
              <w:bottom w:w="75" w:type="dxa"/>
            </w:tcMar>
            <w:vAlign w:val="bottom"/>
          </w:tcPr>
          <w:p>
            <w:pPr>
              <w:spacing w:line="360" w:lineRule="auto"/>
              <w:ind w:firstLine="200"/>
              <w:jc w:val="center"/>
              <w:textAlignment w:val="center"/>
              <w:rPr>
                <w:rFonts w:ascii="宋体" w:hAnsi="宋体" w:cs="宋体"/>
                <w:color w:val="000000"/>
                <w:szCs w:val="24"/>
              </w:rPr>
            </w:pPr>
            <w:r>
              <w:rPr>
                <w:rFonts w:ascii="宋体" w:hAnsi="宋体" w:cs="宋体"/>
                <w:color w:val="000000"/>
                <w:szCs w:val="24"/>
              </w:rPr>
              <w:t>2020年</w:t>
            </w:r>
          </w:p>
        </w:tc>
        <w:tc>
          <w:tcPr>
            <w:tcW w:w="1725" w:type="dxa"/>
            <w:tcBorders>
              <w:top w:val="single" w:sz="6" w:space="0" w:color="000000"/>
              <w:left w:val="single" w:sz="6" w:space="0" w:color="000000"/>
              <w:bottom w:val="single" w:sz="6" w:space="0" w:color="000000"/>
              <w:right w:val="nil"/>
            </w:tcBorders>
            <w:tcMar>
              <w:top w:w="75" w:type="dxa"/>
              <w:bottom w:w="75" w:type="dxa"/>
            </w:tcMar>
            <w:vAlign w:val="bottom"/>
          </w:tcPr>
          <w:p>
            <w:pPr>
              <w:spacing w:line="360" w:lineRule="auto"/>
              <w:ind w:firstLine="200"/>
              <w:jc w:val="left"/>
              <w:textAlignment w:val="center"/>
              <w:rPr>
                <w:rFonts w:ascii="宋体" w:hAnsi="宋体" w:cs="宋体"/>
                <w:color w:val="000000"/>
                <w:szCs w:val="24"/>
              </w:rPr>
            </w:pPr>
            <w:r>
              <w:rPr>
                <w:rFonts w:ascii="宋体" w:hAnsi="宋体" w:cs="宋体"/>
                <w:color w:val="000000"/>
                <w:szCs w:val="24"/>
              </w:rPr>
              <w:t>4113万吨</w:t>
            </w:r>
          </w:p>
        </w:tc>
        <w:tc>
          <w:tcPr>
            <w:tcW w:w="1725" w:type="dxa"/>
            <w:tcBorders>
              <w:top w:val="single" w:sz="6" w:space="0" w:color="000000"/>
              <w:left w:val="single" w:sz="6" w:space="0" w:color="000000"/>
              <w:bottom w:val="single" w:sz="6" w:space="0" w:color="000000"/>
              <w:right w:val="nil"/>
            </w:tcBorders>
            <w:tcMar>
              <w:top w:w="75" w:type="dxa"/>
              <w:bottom w:w="75" w:type="dxa"/>
            </w:tcMar>
            <w:vAlign w:val="bottom"/>
          </w:tcPr>
          <w:p>
            <w:pPr>
              <w:spacing w:line="360" w:lineRule="auto"/>
              <w:ind w:firstLine="200"/>
              <w:jc w:val="center"/>
              <w:textAlignment w:val="center"/>
              <w:rPr>
                <w:rFonts w:ascii="宋体" w:hAnsi="宋体" w:cs="宋体"/>
                <w:color w:val="000000"/>
                <w:szCs w:val="24"/>
              </w:rPr>
            </w:pPr>
            <w:r>
              <w:rPr>
                <w:rFonts w:ascii="宋体" w:hAnsi="宋体" w:cs="宋体"/>
                <w:color w:val="000000"/>
                <w:szCs w:val="24"/>
              </w:rPr>
              <w:t>-3．3%</w:t>
            </w:r>
          </w:p>
        </w:tc>
        <w:tc>
          <w:tcPr>
            <w:tcW w:w="1725" w:type="dxa"/>
            <w:tcBorders>
              <w:top w:val="single" w:sz="6" w:space="0" w:color="000000"/>
              <w:left w:val="single" w:sz="6" w:space="0" w:color="000000"/>
              <w:bottom w:val="single" w:sz="6" w:space="0" w:color="000000"/>
              <w:right w:val="nil"/>
            </w:tcBorders>
            <w:tcMar>
              <w:top w:w="75" w:type="dxa"/>
              <w:bottom w:w="75" w:type="dxa"/>
            </w:tcMar>
            <w:vAlign w:val="bottom"/>
          </w:tcPr>
          <w:p>
            <w:pPr>
              <w:spacing w:line="360" w:lineRule="auto"/>
              <w:ind w:firstLine="200"/>
              <w:jc w:val="center"/>
              <w:textAlignment w:val="center"/>
              <w:rPr>
                <w:rFonts w:ascii="宋体" w:hAnsi="宋体" w:cs="宋体"/>
                <w:color w:val="000000"/>
                <w:szCs w:val="24"/>
              </w:rPr>
            </w:pPr>
            <w:r>
              <w:rPr>
                <w:rFonts w:ascii="宋体" w:hAnsi="宋体" w:cs="宋体"/>
                <w:color w:val="000000"/>
                <w:szCs w:val="24"/>
              </w:rPr>
              <w:t>40650万头</w:t>
            </w:r>
          </w:p>
        </w:tc>
        <w:tc>
          <w:tcPr>
            <w:tcW w:w="1740" w:type="dxa"/>
            <w:tcBorders>
              <w:top w:val="single" w:sz="6" w:space="0" w:color="000000"/>
              <w:left w:val="single" w:sz="6" w:space="0" w:color="000000"/>
              <w:bottom w:val="single" w:sz="6" w:space="0" w:color="000000"/>
              <w:right w:val="single" w:sz="6" w:space="0" w:color="000000"/>
            </w:tcBorders>
            <w:tcMar>
              <w:top w:w="75" w:type="dxa"/>
              <w:bottom w:w="75" w:type="dxa"/>
            </w:tcMar>
            <w:vAlign w:val="bottom"/>
          </w:tcPr>
          <w:p>
            <w:pPr>
              <w:spacing w:line="360" w:lineRule="auto"/>
              <w:ind w:firstLine="200"/>
              <w:jc w:val="center"/>
              <w:textAlignment w:val="center"/>
              <w:rPr>
                <w:rFonts w:ascii="宋体" w:hAnsi="宋体" w:cs="宋体"/>
                <w:color w:val="000000"/>
                <w:szCs w:val="24"/>
              </w:rPr>
            </w:pPr>
            <w:r>
              <w:rPr>
                <w:rFonts w:ascii="宋体" w:hAnsi="宋体" w:cs="宋体"/>
                <w:color w:val="000000"/>
                <w:szCs w:val="24"/>
              </w:rPr>
              <w:t>31．0%</w:t>
            </w:r>
          </w:p>
        </w:tc>
      </w:tr>
    </w:tbl>
    <w:p>
      <w:pPr>
        <w:spacing w:line="360" w:lineRule="auto"/>
        <w:ind w:firstLine="420" w:firstLineChars="200"/>
        <w:jc w:val="left"/>
        <w:textAlignment w:val="center"/>
        <w:rPr>
          <w:rFonts w:ascii="宋体" w:hAnsi="宋体" w:cs="宋体"/>
          <w:color w:val="000000"/>
        </w:rPr>
        <w:sectPr>
          <w:headerReference w:type="default" r:id="rId42"/>
          <w:footerReference w:type="even" r:id="rId43"/>
          <w:footerReference w:type="default" r:id="rId44"/>
          <w:footerReference w:type="first" r:id="rId45"/>
          <w:type w:val="nextPage"/>
          <w:pgSz w:w="11906" w:h="16838"/>
          <w:pgMar w:top="1417" w:right="1077" w:bottom="1417" w:left="1077" w:header="850" w:footer="992" w:gutter="0"/>
          <w:pgNumType w:start="7"/>
          <w:cols w:num="1" w:space="708"/>
          <w:titlePg w:val="0"/>
          <w:docGrid w:type="lines" w:linePitch="318" w:charSpace="409"/>
        </w:sectPr>
      </w:pPr>
      <w:r>
        <w:rPr>
          <w:rFonts w:ascii="宋体" w:hAnsi="宋体" w:cs="宋体"/>
          <w:color w:val="000000"/>
        </w:rPr>
        <w:t>注：“同比”是指与上一年同一时间相比。</w:t>
      </w:r>
    </w:p>
    <w:p>
      <w:pPr>
        <w:spacing w:line="360" w:lineRule="auto"/>
        <w:ind w:firstLine="420" w:firstLineChars="200"/>
        <w:jc w:val="left"/>
        <w:textAlignment w:val="center"/>
        <w:rPr>
          <w:rFonts w:ascii="宋体" w:hAnsi="宋体" w:cs="宋体"/>
          <w:color w:val="000000"/>
        </w:rPr>
      </w:pPr>
      <w:r>
        <w:rPr>
          <w:rFonts w:ascii="宋体" w:hAnsi="宋体" w:cs="宋体"/>
          <w:color w:val="000000"/>
        </w:rPr>
        <w:t>资料来源：《中华人民共和国2019年国民经济和社会发展统计公报》《中华人民共和国2020年国民经济和社会发展统计公报》</w:t>
      </w:r>
    </w:p>
    <w:p>
      <w:pPr>
        <w:spacing w:line="360" w:lineRule="auto"/>
        <w:ind w:firstLine="420" w:firstLineChars="200"/>
        <w:jc w:val="left"/>
        <w:textAlignment w:val="center"/>
        <w:rPr>
          <w:rFonts w:ascii="宋体" w:hAnsi="宋体" w:cs="宋体"/>
          <w:color w:val="000000"/>
        </w:rPr>
      </w:pPr>
      <w:r>
        <w:rPr>
          <w:rFonts w:ascii="宋体" w:hAnsi="宋体" w:cs="宋体"/>
          <w:color w:val="000000"/>
        </w:rPr>
        <w:t>不考虑其他因素，从上表可以推知(     )</w:t>
      </w:r>
    </w:p>
    <w:p>
      <w:pPr>
        <w:spacing w:line="360" w:lineRule="auto"/>
        <w:ind w:firstLine="420" w:firstLineChars="200"/>
        <w:jc w:val="left"/>
        <w:textAlignment w:val="center"/>
        <w:rPr>
          <w:rFonts w:ascii="宋体" w:hAnsi="宋体" w:cs="宋体"/>
          <w:color w:val="000000"/>
        </w:rPr>
      </w:pPr>
      <w:r>
        <w:rPr>
          <w:rFonts w:ascii="宋体" w:hAnsi="宋体" w:cs="宋体"/>
          <w:color w:val="000000"/>
        </w:rPr>
        <w:t>①2019年，猪肉价格有较大幅度提高</w:t>
      </w:r>
    </w:p>
    <w:p>
      <w:pPr>
        <w:spacing w:line="360" w:lineRule="auto"/>
        <w:ind w:firstLine="420" w:firstLineChars="200"/>
        <w:jc w:val="left"/>
        <w:textAlignment w:val="center"/>
        <w:rPr>
          <w:rFonts w:ascii="宋体" w:hAnsi="宋体" w:cs="宋体"/>
          <w:color w:val="000000"/>
        </w:rPr>
      </w:pPr>
      <w:r>
        <w:rPr>
          <w:rFonts w:ascii="宋体" w:hAnsi="宋体" w:cs="宋体"/>
          <w:color w:val="000000"/>
        </w:rPr>
        <w:t>②2019年，牛肉需求量有所降低</w:t>
      </w:r>
    </w:p>
    <w:p>
      <w:pPr>
        <w:spacing w:line="360" w:lineRule="auto"/>
        <w:ind w:firstLine="420" w:firstLineChars="200"/>
        <w:jc w:val="left"/>
        <w:textAlignment w:val="center"/>
        <w:rPr>
          <w:rFonts w:ascii="宋体" w:hAnsi="宋体" w:cs="宋体"/>
          <w:color w:val="000000"/>
        </w:rPr>
      </w:pPr>
      <w:r>
        <w:rPr>
          <w:rFonts w:ascii="宋体" w:hAnsi="宋体" w:cs="宋体"/>
          <w:color w:val="000000"/>
        </w:rPr>
        <w:t>③2020年，猪肉饲料生产厂家的利润略有下降</w:t>
      </w:r>
    </w:p>
    <w:p>
      <w:pPr>
        <w:spacing w:line="360" w:lineRule="auto"/>
        <w:ind w:firstLine="420" w:firstLineChars="200"/>
        <w:jc w:val="left"/>
        <w:textAlignment w:val="center"/>
        <w:rPr>
          <w:rFonts w:ascii="宋体" w:hAnsi="宋体" w:cs="宋体"/>
          <w:color w:val="000000"/>
        </w:rPr>
      </w:pPr>
      <w:r>
        <w:rPr>
          <w:rFonts w:ascii="宋体" w:hAnsi="宋体" w:cs="宋体"/>
          <w:color w:val="000000"/>
        </w:rPr>
        <w:t>④2021年，猪肉价格有望下降</w:t>
      </w:r>
    </w:p>
    <w:p>
      <w:pPr>
        <w:tabs>
          <w:tab w:val="left" w:pos="2436"/>
          <w:tab w:val="left" w:pos="4873"/>
          <w:tab w:val="left" w:pos="7309"/>
        </w:tabs>
        <w:spacing w:line="360" w:lineRule="auto"/>
        <w:ind w:firstLine="420" w:firstLineChars="200"/>
        <w:jc w:val="left"/>
        <w:textAlignment w:val="center"/>
        <w:rPr>
          <w:rFonts w:ascii="宋体" w:hAnsi="宋体" w:cs="宋体"/>
          <w:color w:val="000000"/>
        </w:rPr>
      </w:pPr>
      <w:r>
        <w:rPr>
          <w:color w:val="000000"/>
        </w:rPr>
        <w:t>A．</w:t>
      </w:r>
      <w:r>
        <w:rPr>
          <w:rFonts w:ascii="宋体" w:hAnsi="宋体" w:cs="宋体"/>
          <w:color w:val="000000"/>
        </w:rPr>
        <w:t>①②</w:t>
      </w:r>
      <w:r>
        <w:rPr>
          <w:color w:val="000000"/>
        </w:rPr>
        <w:tab/>
      </w:r>
      <w:r>
        <w:rPr>
          <w:color w:val="000000"/>
        </w:rPr>
        <w:t>B．</w:t>
      </w:r>
      <w:r>
        <w:rPr>
          <w:rFonts w:ascii="宋体" w:hAnsi="宋体" w:cs="宋体"/>
          <w:color w:val="000000"/>
        </w:rPr>
        <w:t>②③</w:t>
      </w:r>
      <w:r>
        <w:rPr>
          <w:color w:val="000000"/>
        </w:rPr>
        <w:tab/>
      </w:r>
      <w:r>
        <w:rPr>
          <w:color w:val="000000"/>
        </w:rPr>
        <w:t>C．</w:t>
      </w:r>
      <w:r>
        <w:rPr>
          <w:rFonts w:ascii="宋体" w:hAnsi="宋体" w:cs="宋体"/>
          <w:color w:val="000000"/>
        </w:rPr>
        <w:t>①④</w:t>
      </w:r>
      <w:r>
        <w:rPr>
          <w:color w:val="000000"/>
        </w:rPr>
        <w:tab/>
      </w:r>
      <w:r>
        <w:rPr>
          <w:color w:val="000000"/>
        </w:rPr>
        <w:t>D．</w:t>
      </w:r>
      <w:r>
        <w:rPr>
          <w:rFonts w:ascii="宋体" w:hAnsi="宋体" w:cs="宋体"/>
          <w:color w:val="000000"/>
        </w:rPr>
        <w:t>③④</w:t>
      </w:r>
    </w:p>
    <w:p>
      <w:pPr>
        <w:spacing w:line="360" w:lineRule="auto"/>
        <w:ind w:firstLine="420" w:firstLineChars="200"/>
        <w:jc w:val="left"/>
        <w:textAlignment w:val="center"/>
        <w:rPr>
          <w:rFonts w:ascii="宋体" w:hAnsi="宋体" w:cs="宋体"/>
          <w:color w:val="000000"/>
        </w:rPr>
      </w:pPr>
      <w:r>
        <w:t>4．</w:t>
      </w:r>
      <w:r>
        <w:rPr>
          <w:rFonts w:hint="eastAsia"/>
        </w:rPr>
        <w:t>（2</w:t>
      </w:r>
      <w:r>
        <w:t>021浙江卷</w:t>
      </w:r>
      <w:r>
        <w:rPr>
          <w:rFonts w:hint="eastAsia"/>
        </w:rPr>
        <w:t>）</w:t>
      </w:r>
      <w:r>
        <w:rPr>
          <w:rFonts w:ascii="宋体" w:hAnsi="宋体" w:cs="宋体"/>
        </w:rPr>
        <w:t>新</w:t>
      </w:r>
      <w:r>
        <w:rPr>
          <w:rFonts w:ascii="宋体" w:hAnsi="宋体" w:cs="宋体"/>
          <w:color w:val="000000"/>
        </w:rPr>
        <w:t>冠疫情暴发初期，医用口罩、防护服等防疫物资迅速成为紧缺资源，价格急剧飙升。后来越来越多的企业加入防疫物资生产大军，价格迅速回落。由此可见(     )</w:t>
      </w:r>
    </w:p>
    <w:p>
      <w:pPr>
        <w:spacing w:line="360" w:lineRule="auto"/>
        <w:ind w:firstLine="420" w:firstLineChars="200"/>
        <w:jc w:val="left"/>
        <w:textAlignment w:val="center"/>
        <w:rPr>
          <w:rFonts w:ascii="宋体" w:hAnsi="宋体" w:cs="宋体"/>
          <w:color w:val="000000"/>
        </w:rPr>
      </w:pPr>
      <w:r>
        <w:rPr>
          <w:rFonts w:ascii="宋体" w:hAnsi="宋体" w:cs="宋体"/>
          <w:color w:val="000000"/>
        </w:rPr>
        <w:t>①商品生产所耗费的社会必要劳动时间决定价格</w:t>
      </w:r>
    </w:p>
    <w:p>
      <w:pPr>
        <w:spacing w:line="360" w:lineRule="auto"/>
        <w:ind w:firstLine="420" w:firstLineChars="200"/>
        <w:jc w:val="left"/>
        <w:textAlignment w:val="center"/>
        <w:rPr>
          <w:rFonts w:ascii="宋体" w:hAnsi="宋体" w:cs="宋体"/>
          <w:color w:val="000000"/>
        </w:rPr>
      </w:pPr>
      <w:r>
        <w:rPr>
          <w:rFonts w:ascii="宋体" w:hAnsi="宋体" w:cs="宋体"/>
          <w:color w:val="000000"/>
        </w:rPr>
        <w:t>②供求关系变化引起商品价格变化</w:t>
      </w:r>
    </w:p>
    <w:p>
      <w:pPr>
        <w:spacing w:line="360" w:lineRule="auto"/>
        <w:ind w:firstLine="420" w:firstLineChars="200"/>
        <w:jc w:val="left"/>
        <w:textAlignment w:val="center"/>
        <w:rPr>
          <w:rFonts w:ascii="宋体" w:hAnsi="宋体" w:cs="宋体"/>
          <w:color w:val="000000"/>
        </w:rPr>
      </w:pPr>
      <w:r>
        <w:rPr>
          <w:rFonts w:ascii="宋体" w:hAnsi="宋体" w:cs="宋体"/>
          <w:color w:val="000000"/>
        </w:rPr>
        <w:t>③市场难以解决公共物品的供给问题</w:t>
      </w:r>
    </w:p>
    <w:p>
      <w:pPr>
        <w:spacing w:line="360" w:lineRule="auto"/>
        <w:ind w:firstLine="420" w:firstLineChars="200"/>
        <w:jc w:val="left"/>
        <w:textAlignment w:val="center"/>
        <w:rPr>
          <w:rFonts w:ascii="宋体" w:hAnsi="宋体" w:cs="宋体"/>
          <w:color w:val="000000"/>
        </w:rPr>
      </w:pPr>
      <w:r>
        <w:rPr>
          <w:rFonts w:ascii="宋体" w:hAnsi="宋体" w:cs="宋体"/>
          <w:color w:val="000000"/>
        </w:rPr>
        <w:t>④企业会根据价格变化决定生产什么、生产多少</w:t>
      </w:r>
    </w:p>
    <w:p>
      <w:pPr>
        <w:tabs>
          <w:tab w:val="left" w:pos="2436"/>
          <w:tab w:val="left" w:pos="4873"/>
          <w:tab w:val="left" w:pos="7309"/>
        </w:tabs>
        <w:spacing w:line="360" w:lineRule="auto"/>
        <w:ind w:firstLine="420" w:firstLineChars="200"/>
        <w:jc w:val="left"/>
        <w:textAlignment w:val="center"/>
        <w:rPr>
          <w:rFonts w:ascii="宋体" w:hAnsi="宋体" w:cs="宋体"/>
          <w:color w:val="000000"/>
        </w:rPr>
      </w:pPr>
      <w:r>
        <w:rPr>
          <w:rFonts w:ascii="宋体" w:hAnsi="宋体" w:cs="宋体"/>
          <w:color w:val="000000"/>
        </w:rPr>
        <w:t>A．①②</w:t>
      </w:r>
      <w:r>
        <w:rPr>
          <w:rFonts w:ascii="宋体" w:hAnsi="宋体" w:cs="宋体"/>
          <w:color w:val="000000"/>
        </w:rPr>
        <w:tab/>
      </w:r>
      <w:r>
        <w:rPr>
          <w:rFonts w:ascii="宋体" w:hAnsi="宋体" w:cs="宋体"/>
          <w:color w:val="000000"/>
        </w:rPr>
        <w:t>B．①③</w:t>
      </w:r>
      <w:r>
        <w:rPr>
          <w:rFonts w:ascii="宋体" w:hAnsi="宋体" w:cs="宋体"/>
          <w:color w:val="000000"/>
        </w:rPr>
        <w:tab/>
      </w:r>
      <w:r>
        <w:rPr>
          <w:rFonts w:ascii="宋体" w:hAnsi="宋体" w:cs="宋体"/>
          <w:color w:val="000000"/>
        </w:rPr>
        <w:t>C．②④</w:t>
      </w:r>
      <w:r>
        <w:rPr>
          <w:rFonts w:ascii="宋体" w:hAnsi="宋体" w:cs="宋体"/>
          <w:color w:val="000000"/>
        </w:rPr>
        <w:tab/>
      </w:r>
      <w:r>
        <w:rPr>
          <w:rFonts w:ascii="宋体" w:hAnsi="宋体" w:cs="宋体"/>
          <w:color w:val="000000"/>
        </w:rPr>
        <w:t>D．③④</w:t>
      </w:r>
    </w:p>
    <w:p>
      <w:pPr>
        <w:spacing w:line="360" w:lineRule="auto"/>
        <w:ind w:firstLine="420" w:firstLineChars="200"/>
        <w:jc w:val="left"/>
        <w:textAlignment w:val="center"/>
        <w:rPr>
          <w:rFonts w:ascii="宋体" w:hAnsi="宋体" w:cs="宋体"/>
          <w:color w:val="000000"/>
        </w:rPr>
      </w:pPr>
      <w:r>
        <w:t>5．</w:t>
      </w:r>
      <w:r>
        <w:rPr>
          <w:rFonts w:hint="eastAsia"/>
        </w:rPr>
        <w:t>（2</w:t>
      </w:r>
      <w:r>
        <w:t>021广东卷</w:t>
      </w:r>
      <w:r>
        <w:rPr>
          <w:rFonts w:hint="eastAsia"/>
        </w:rPr>
        <w:t>）</w:t>
      </w:r>
      <w:r>
        <w:rPr>
          <w:rFonts w:ascii="宋体" w:hAnsi="宋体" w:cs="宋体"/>
        </w:rPr>
        <w:t>自</w:t>
      </w:r>
      <w:r>
        <w:rPr>
          <w:rFonts w:eastAsia="Times New Roman"/>
        </w:rPr>
        <w:t>2</w:t>
      </w:r>
      <w:r>
        <w:rPr>
          <w:rFonts w:eastAsia="Times New Roman"/>
          <w:color w:val="000000"/>
        </w:rPr>
        <w:t>021</w:t>
      </w:r>
      <w:r>
        <w:rPr>
          <w:rFonts w:ascii="宋体" w:hAnsi="宋体" w:cs="宋体"/>
          <w:color w:val="000000"/>
        </w:rPr>
        <w:t>年</w:t>
      </w:r>
      <w:r>
        <w:rPr>
          <w:rFonts w:eastAsia="Times New Roman"/>
          <w:color w:val="000000"/>
        </w:rPr>
        <w:t>5</w:t>
      </w:r>
      <w:r>
        <w:rPr>
          <w:rFonts w:ascii="宋体" w:hAnsi="宋体" w:cs="宋体"/>
          <w:color w:val="000000"/>
        </w:rPr>
        <w:t>月</w:t>
      </w:r>
      <w:r>
        <w:rPr>
          <w:rFonts w:eastAsia="Times New Roman"/>
          <w:color w:val="000000"/>
        </w:rPr>
        <w:t>1</w:t>
      </w:r>
      <w:r>
        <w:rPr>
          <w:rFonts w:ascii="宋体" w:hAnsi="宋体" w:cs="宋体"/>
          <w:color w:val="000000"/>
        </w:rPr>
        <w:t>日起，我国对生铁、粗钢等产品实行零进口暂定税率：适当提高硅铁、铬铁等产品的出口关税。不考虑其他因素，关税调整将对国内钢铁价格产生的影响是（</w:t>
      </w:r>
      <w:r>
        <w:rPr>
          <w:rFonts w:eastAsia="Times New Roman"/>
          <w:color w:val="000000"/>
        </w:rPr>
        <w:t xml:space="preserve"> </w:t>
      </w:r>
      <w:r>
        <w:rPr>
          <w:rFonts w:ascii="宋体" w:hAnsi="宋体" w:cs="宋体"/>
          <w:color w:val="000000"/>
        </w:rPr>
        <w:t>）</w:t>
      </w:r>
    </w:p>
    <w:p>
      <w:pPr>
        <w:spacing w:line="360" w:lineRule="auto"/>
        <w:ind w:firstLine="420" w:firstLineChars="200"/>
        <w:jc w:val="center"/>
        <w:textAlignment w:val="center"/>
        <w:rPr>
          <w:color w:val="000000"/>
        </w:rPr>
      </w:pPr>
      <w:r>
        <w:rPr>
          <w:color w:val="000000"/>
        </w:rPr>
        <w:pict>
          <v:shape id="_x0000_i1037" type="#_x0000_t75" alt="学科网(www.zxxk.com)--教育资源门户，提供试卷、教案、课件、论文、素材以及各类教学资源下载，还有大量而丰富的教学相关资讯！" style="width:315pt;height:81.75pt" coordsize="21600,21600" o:preferrelative="t" filled="f" stroked="f">
            <v:stroke joinstyle="miter"/>
            <v:imagedata r:id="rId46" o:title=""/>
            <o:lock v:ext="edit" aspectratio="t"/>
            <w10:anchorlock/>
          </v:shape>
        </w:pict>
      </w:r>
    </w:p>
    <w:p>
      <w:pPr>
        <w:spacing w:line="360" w:lineRule="auto"/>
        <w:ind w:firstLine="420" w:firstLineChars="200"/>
        <w:jc w:val="left"/>
        <w:textAlignment w:val="center"/>
        <w:rPr>
          <w:rFonts w:ascii="宋体" w:hAnsi="宋体" w:cs="宋体"/>
          <w:color w:val="000000"/>
        </w:rPr>
      </w:pPr>
      <w:r>
        <w:rPr>
          <w:color w:val="000000"/>
        </w:rPr>
        <w:t>A．</w:t>
      </w:r>
      <w:r>
        <w:rPr>
          <w:rFonts w:ascii="宋体" w:hAnsi="宋体" w:cs="宋体"/>
          <w:color w:val="000000"/>
        </w:rPr>
        <w:t>①进口增加②出口减少③国内钢铁价格上涨</w:t>
      </w:r>
    </w:p>
    <w:p>
      <w:pPr>
        <w:spacing w:line="360" w:lineRule="auto"/>
        <w:ind w:firstLine="420" w:firstLineChars="200"/>
        <w:jc w:val="left"/>
        <w:textAlignment w:val="center"/>
        <w:rPr>
          <w:rFonts w:ascii="宋体" w:hAnsi="宋体" w:cs="宋体"/>
          <w:color w:val="000000"/>
        </w:rPr>
        <w:sectPr>
          <w:headerReference w:type="default" r:id="rId47"/>
          <w:footerReference w:type="even" r:id="rId48"/>
          <w:footerReference w:type="default" r:id="rId49"/>
          <w:footerReference w:type="first" r:id="rId50"/>
          <w:type w:val="nextPage"/>
          <w:pgSz w:w="11906" w:h="16838"/>
          <w:pgMar w:top="1417" w:right="1077" w:bottom="1417" w:left="1077" w:header="850" w:footer="992" w:gutter="0"/>
          <w:pgNumType w:start="8"/>
          <w:cols w:num="1" w:space="708"/>
          <w:titlePg w:val="0"/>
          <w:docGrid w:type="lines" w:linePitch="318" w:charSpace="409"/>
        </w:sectPr>
      </w:pPr>
      <w:r>
        <w:rPr>
          <w:color w:val="000000"/>
        </w:rPr>
        <w:t>B．</w:t>
      </w:r>
      <w:r>
        <w:rPr>
          <w:rFonts w:ascii="宋体" w:hAnsi="宋体" w:cs="宋体"/>
          <w:color w:val="000000"/>
        </w:rPr>
        <w:t>①进口减少②出口增加③国内钢铁价格上涨</w:t>
      </w:r>
    </w:p>
    <w:p>
      <w:pPr>
        <w:spacing w:line="360" w:lineRule="auto"/>
        <w:ind w:firstLine="420" w:firstLineChars="200"/>
        <w:jc w:val="left"/>
        <w:textAlignment w:val="center"/>
        <w:rPr>
          <w:rFonts w:ascii="宋体" w:hAnsi="宋体" w:cs="宋体"/>
          <w:color w:val="000000"/>
        </w:rPr>
      </w:pPr>
      <w:r>
        <w:rPr>
          <w:color w:val="000000"/>
        </w:rPr>
        <w:t>C．</w:t>
      </w:r>
      <w:r>
        <w:rPr>
          <w:rFonts w:ascii="宋体" w:hAnsi="宋体" w:cs="宋体"/>
          <w:color w:val="000000"/>
        </w:rPr>
        <w:t>①进口减少②出口增加③国内钢铁价格下降</w:t>
      </w:r>
    </w:p>
    <w:p>
      <w:pPr>
        <w:spacing w:line="360" w:lineRule="auto"/>
        <w:ind w:firstLine="420" w:firstLineChars="200"/>
        <w:jc w:val="left"/>
        <w:textAlignment w:val="center"/>
        <w:rPr>
          <w:rFonts w:ascii="宋体" w:hAnsi="宋体" w:cs="宋体"/>
          <w:color w:val="000000"/>
        </w:rPr>
      </w:pPr>
      <w:r>
        <w:rPr>
          <w:color w:val="000000"/>
        </w:rPr>
        <w:t>D．</w:t>
      </w:r>
      <w:r>
        <w:rPr>
          <w:rFonts w:ascii="宋体" w:hAnsi="宋体" w:cs="宋体"/>
          <w:color w:val="000000"/>
        </w:rPr>
        <w:t>①进口增加②出口减少③国内钢铁价格下降</w:t>
      </w:r>
    </w:p>
    <w:p>
      <w:pPr>
        <w:spacing w:line="360" w:lineRule="auto"/>
        <w:ind w:firstLine="420" w:firstLineChars="200"/>
        <w:jc w:val="left"/>
        <w:textAlignment w:val="center"/>
        <w:rPr>
          <w:rFonts w:ascii="宋体" w:hAnsi="宋体" w:cs="宋体"/>
          <w:color w:val="000000"/>
        </w:rPr>
      </w:pPr>
      <w:r>
        <w:t>6．</w:t>
      </w:r>
      <w:r>
        <w:rPr>
          <w:rFonts w:hint="eastAsia"/>
        </w:rPr>
        <w:t>（2</w:t>
      </w:r>
      <w:r>
        <w:t>021广东卷</w:t>
      </w:r>
      <w:r>
        <w:rPr>
          <w:rFonts w:hint="eastAsia"/>
        </w:rPr>
        <w:t>）</w:t>
      </w:r>
      <w:r>
        <w:rPr>
          <w:rFonts w:ascii="宋体" w:hAnsi="宋体" w:cs="宋体"/>
        </w:rPr>
        <w:t>供给</w:t>
      </w:r>
      <w:r>
        <w:rPr>
          <w:rFonts w:ascii="宋体" w:hAnsi="宋体" w:cs="宋体"/>
          <w:color w:val="000000"/>
        </w:rPr>
        <w:t>规律存在一些特例，其中一种情况是，无论商品的价格怎么变化，生产者提供既定数量的商品。下列与下图的特殊供给曲线相符合的是（</w:t>
      </w:r>
      <w:r>
        <w:rPr>
          <w:rFonts w:eastAsia="Times New Roman"/>
          <w:color w:val="000000"/>
        </w:rPr>
        <w:t xml:space="preserve">    </w:t>
      </w:r>
      <w:r>
        <w:rPr>
          <w:rFonts w:ascii="宋体" w:hAnsi="宋体" w:cs="宋体"/>
          <w:color w:val="000000"/>
        </w:rPr>
        <w:t>）</w:t>
      </w:r>
    </w:p>
    <w:p>
      <w:pPr>
        <w:spacing w:line="360" w:lineRule="auto"/>
        <w:ind w:firstLine="420" w:firstLineChars="200"/>
        <w:jc w:val="center"/>
        <w:textAlignment w:val="center"/>
        <w:rPr>
          <w:color w:val="000000"/>
        </w:rPr>
      </w:pPr>
      <w:r>
        <w:rPr>
          <w:color w:val="000000"/>
        </w:rPr>
        <w:pict>
          <v:shape id="_x0000_i1038" type="#_x0000_t75" alt="学科网(www.zxxk.com)--教育资源门户，提供试卷、教案、课件、论文、素材以及各类教学资源下载，还有大量而丰富的教学相关资讯！" style="width:169.5pt;height:133.5pt" coordsize="21600,21600" o:preferrelative="t" filled="f" stroked="f">
            <v:stroke joinstyle="miter"/>
            <v:imagedata r:id="rId51" o:title=""/>
            <o:lock v:ext="edit" aspectratio="t"/>
            <w10:anchorlock/>
          </v:shape>
        </w:pict>
      </w:r>
    </w:p>
    <w:p>
      <w:pPr>
        <w:spacing w:line="360" w:lineRule="auto"/>
        <w:ind w:firstLine="420" w:firstLineChars="200"/>
        <w:jc w:val="left"/>
        <w:textAlignment w:val="center"/>
        <w:rPr>
          <w:rFonts w:ascii="宋体" w:hAnsi="宋体" w:cs="宋体"/>
          <w:color w:val="000000"/>
        </w:rPr>
      </w:pPr>
      <w:r>
        <w:rPr>
          <w:color w:val="000000"/>
        </w:rPr>
        <w:t>A．</w:t>
      </w:r>
      <w:r>
        <w:rPr>
          <w:rFonts w:ascii="宋体" w:hAnsi="宋体" w:cs="宋体"/>
          <w:color w:val="000000"/>
        </w:rPr>
        <w:t>数年内，某汽车厂生产的新能源汽车数量</w:t>
      </w:r>
    </w:p>
    <w:p>
      <w:pPr>
        <w:spacing w:line="360" w:lineRule="auto"/>
        <w:ind w:firstLine="420" w:firstLineChars="200"/>
        <w:jc w:val="left"/>
        <w:textAlignment w:val="center"/>
        <w:rPr>
          <w:rFonts w:ascii="宋体" w:hAnsi="宋体" w:cs="宋体"/>
          <w:color w:val="000000"/>
        </w:rPr>
      </w:pPr>
      <w:r>
        <w:rPr>
          <w:color w:val="000000"/>
        </w:rPr>
        <w:t>B．</w:t>
      </w:r>
      <w:r>
        <w:rPr>
          <w:rFonts w:ascii="宋体" w:hAnsi="宋体" w:cs="宋体"/>
          <w:color w:val="000000"/>
        </w:rPr>
        <w:t>既定时间内，某市电视塔观景台可接待顾客数量</w:t>
      </w:r>
    </w:p>
    <w:p>
      <w:pPr>
        <w:spacing w:line="360" w:lineRule="auto"/>
        <w:ind w:firstLine="420" w:firstLineChars="200"/>
        <w:jc w:val="left"/>
        <w:textAlignment w:val="center"/>
        <w:rPr>
          <w:rFonts w:ascii="宋体" w:hAnsi="宋体" w:cs="宋体"/>
          <w:color w:val="000000"/>
        </w:rPr>
      </w:pPr>
      <w:r>
        <w:rPr>
          <w:color w:val="000000"/>
        </w:rPr>
        <w:t>C．</w:t>
      </w:r>
      <w:r>
        <w:rPr>
          <w:rFonts w:ascii="宋体" w:hAnsi="宋体" w:cs="宋体"/>
          <w:color w:val="000000"/>
        </w:rPr>
        <w:t>既定时间内，某奶茶店供应的饮料数量</w:t>
      </w:r>
    </w:p>
    <w:p>
      <w:pPr>
        <w:spacing w:line="360" w:lineRule="auto"/>
        <w:ind w:firstLine="420" w:firstLineChars="200"/>
        <w:jc w:val="left"/>
        <w:textAlignment w:val="center"/>
        <w:rPr>
          <w:rFonts w:ascii="宋体" w:hAnsi="宋体" w:cs="宋体"/>
          <w:color w:val="000000"/>
        </w:rPr>
      </w:pPr>
      <w:r>
        <w:rPr>
          <w:color w:val="000000"/>
        </w:rPr>
        <w:t>D．</w:t>
      </w:r>
      <w:r>
        <w:rPr>
          <w:rFonts w:ascii="宋体" w:hAnsi="宋体" w:cs="宋体"/>
          <w:color w:val="000000"/>
        </w:rPr>
        <w:t>数年内，某手机厂生产的智能手机数量</w:t>
      </w:r>
    </w:p>
    <w:p>
      <w:pPr>
        <w:spacing w:line="360" w:lineRule="auto"/>
        <w:ind w:firstLine="420" w:firstLineChars="200"/>
        <w:jc w:val="left"/>
        <w:textAlignment w:val="center"/>
        <w:rPr>
          <w:rFonts w:ascii="宋体" w:hAnsi="宋体" w:cs="宋体"/>
          <w:color w:val="000000"/>
        </w:rPr>
      </w:pPr>
      <w:r>
        <w:t>7．</w:t>
      </w:r>
      <w:r>
        <w:rPr>
          <w:rFonts w:hint="eastAsia"/>
        </w:rPr>
        <w:t>（</w:t>
      </w:r>
      <w:r>
        <w:t>2021</w:t>
      </w:r>
      <w:r>
        <w:rPr>
          <w:rFonts w:hint="eastAsia"/>
        </w:rPr>
        <w:t>广东卷）</w:t>
      </w:r>
      <w:r>
        <w:rPr>
          <w:rFonts w:eastAsia="Times New Roman"/>
        </w:rPr>
        <w:t>20</w:t>
      </w:r>
      <w:r>
        <w:rPr>
          <w:rFonts w:eastAsia="Times New Roman"/>
          <w:color w:val="000000"/>
        </w:rPr>
        <w:t>21</w:t>
      </w:r>
      <w:r>
        <w:rPr>
          <w:rFonts w:ascii="宋体" w:hAnsi="宋体" w:cs="宋体"/>
          <w:color w:val="000000"/>
        </w:rPr>
        <w:t>年</w:t>
      </w:r>
      <w:r>
        <w:rPr>
          <w:rFonts w:eastAsia="Times New Roman"/>
          <w:color w:val="000000"/>
        </w:rPr>
        <w:t>3</w:t>
      </w:r>
      <w:r>
        <w:rPr>
          <w:rFonts w:ascii="宋体" w:hAnsi="宋体" w:cs="宋体"/>
          <w:color w:val="000000"/>
        </w:rPr>
        <w:t>月，几大国产家电企业不仅没在春节后进行淡季降价促销，反而不约而同决定上调其系列产品的价格。下列对这一反常现象的解释合理的是（</w:t>
      </w:r>
      <w:r>
        <w:rPr>
          <w:rFonts w:eastAsia="Times New Roman"/>
          <w:color w:val="000000"/>
        </w:rPr>
        <w:t xml:space="preserve">    </w:t>
      </w:r>
      <w:r>
        <w:rPr>
          <w:rFonts w:ascii="宋体" w:hAnsi="宋体" w:cs="宋体"/>
          <w:color w:val="000000"/>
        </w:rPr>
        <w:t>）</w:t>
      </w:r>
    </w:p>
    <w:p>
      <w:pPr>
        <w:spacing w:line="360" w:lineRule="auto"/>
        <w:ind w:firstLine="420" w:firstLineChars="200"/>
        <w:jc w:val="left"/>
        <w:textAlignment w:val="center"/>
        <w:rPr>
          <w:rFonts w:ascii="宋体" w:hAnsi="宋体" w:cs="宋体"/>
          <w:color w:val="000000"/>
        </w:rPr>
      </w:pPr>
      <w:r>
        <w:rPr>
          <w:rFonts w:ascii="宋体" w:hAnsi="宋体" w:cs="宋体"/>
          <w:color w:val="000000"/>
        </w:rPr>
        <w:t>①新冠肺炎疫情尚未得到有效控制，市场需求低迷</w:t>
      </w:r>
    </w:p>
    <w:p>
      <w:pPr>
        <w:spacing w:line="360" w:lineRule="auto"/>
        <w:ind w:firstLine="420" w:firstLineChars="200"/>
        <w:jc w:val="left"/>
        <w:textAlignment w:val="center"/>
        <w:rPr>
          <w:rFonts w:ascii="宋体" w:hAnsi="宋体" w:cs="宋体"/>
          <w:color w:val="000000"/>
        </w:rPr>
      </w:pPr>
      <w:r>
        <w:rPr>
          <w:rFonts w:ascii="宋体" w:hAnsi="宋体" w:cs="宋体"/>
          <w:color w:val="000000"/>
        </w:rPr>
        <w:t>②原材料价格快速上涨，给生产企业带来成本压力</w:t>
      </w:r>
    </w:p>
    <w:p>
      <w:pPr>
        <w:spacing w:line="360" w:lineRule="auto"/>
        <w:ind w:firstLine="420" w:firstLineChars="200"/>
        <w:jc w:val="left"/>
        <w:textAlignment w:val="center"/>
        <w:rPr>
          <w:rFonts w:ascii="宋体" w:hAnsi="宋体" w:cs="宋体"/>
          <w:color w:val="000000"/>
        </w:rPr>
      </w:pPr>
      <w:r>
        <w:rPr>
          <w:rFonts w:ascii="宋体" w:hAnsi="宋体" w:cs="宋体"/>
          <w:color w:val="000000"/>
        </w:rPr>
        <w:t>③消费结构升级，倒逼产品不定期更新换代和性能升级</w:t>
      </w:r>
    </w:p>
    <w:p>
      <w:pPr>
        <w:spacing w:line="360" w:lineRule="auto"/>
        <w:ind w:firstLine="420" w:firstLineChars="200"/>
        <w:jc w:val="left"/>
        <w:textAlignment w:val="center"/>
        <w:rPr>
          <w:rFonts w:ascii="宋体" w:hAnsi="宋体" w:cs="宋体"/>
          <w:color w:val="000000"/>
        </w:rPr>
      </w:pPr>
      <w:r>
        <w:rPr>
          <w:rFonts w:ascii="宋体" w:hAnsi="宋体" w:cs="宋体"/>
          <w:color w:val="000000"/>
        </w:rPr>
        <w:t>④人民币升值使产品出口增加，导致国内市场供给不足</w:t>
      </w:r>
    </w:p>
    <w:p>
      <w:pPr>
        <w:tabs>
          <w:tab w:val="left" w:pos="2436"/>
          <w:tab w:val="left" w:pos="4873"/>
          <w:tab w:val="left" w:pos="7309"/>
        </w:tabs>
        <w:spacing w:line="360" w:lineRule="auto"/>
        <w:ind w:firstLine="420" w:firstLineChars="200"/>
        <w:jc w:val="left"/>
        <w:textAlignment w:val="center"/>
        <w:rPr>
          <w:rFonts w:ascii="宋体" w:hAnsi="宋体" w:cs="宋体"/>
          <w:color w:val="000000"/>
        </w:rPr>
      </w:pPr>
      <w:r>
        <w:rPr>
          <w:color w:val="000000"/>
        </w:rPr>
        <w:t>A．</w:t>
      </w:r>
      <w:r>
        <w:rPr>
          <w:rFonts w:ascii="宋体" w:hAnsi="宋体" w:cs="宋体"/>
          <w:color w:val="000000"/>
        </w:rPr>
        <w:t>①②</w:t>
      </w:r>
      <w:r>
        <w:rPr>
          <w:color w:val="000000"/>
        </w:rPr>
        <w:tab/>
      </w:r>
      <w:r>
        <w:rPr>
          <w:color w:val="000000"/>
        </w:rPr>
        <w:t>B．</w:t>
      </w:r>
      <w:r>
        <w:rPr>
          <w:rFonts w:ascii="宋体" w:hAnsi="宋体" w:cs="宋体"/>
          <w:color w:val="000000"/>
        </w:rPr>
        <w:t>①④</w:t>
      </w:r>
      <w:r>
        <w:rPr>
          <w:color w:val="000000"/>
        </w:rPr>
        <w:tab/>
      </w:r>
      <w:r>
        <w:rPr>
          <w:color w:val="000000"/>
        </w:rPr>
        <w:t>C．</w:t>
      </w:r>
      <w:r>
        <w:rPr>
          <w:rFonts w:ascii="宋体" w:hAnsi="宋体" w:cs="宋体"/>
          <w:color w:val="000000"/>
        </w:rPr>
        <w:t>②③</w:t>
      </w:r>
      <w:r>
        <w:rPr>
          <w:color w:val="000000"/>
        </w:rPr>
        <w:tab/>
      </w:r>
      <w:r>
        <w:rPr>
          <w:color w:val="000000"/>
        </w:rPr>
        <w:t>D．</w:t>
      </w:r>
      <w:r>
        <w:rPr>
          <w:rFonts w:ascii="宋体" w:hAnsi="宋体" w:cs="宋体"/>
          <w:color w:val="000000"/>
        </w:rPr>
        <w:t>③④</w:t>
      </w:r>
    </w:p>
    <w:p>
      <w:pPr>
        <w:spacing w:line="360" w:lineRule="auto"/>
        <w:ind w:firstLine="420" w:firstLineChars="200"/>
        <w:jc w:val="left"/>
        <w:textAlignment w:val="center"/>
        <w:rPr>
          <w:rFonts w:ascii="宋体" w:hAnsi="宋体"/>
          <w:color w:val="000000"/>
        </w:rPr>
        <w:sectPr>
          <w:headerReference w:type="default" r:id="rId52"/>
          <w:footerReference w:type="even" r:id="rId53"/>
          <w:footerReference w:type="default" r:id="rId54"/>
          <w:footerReference w:type="first" r:id="rId55"/>
          <w:type w:val="nextPage"/>
          <w:pgSz w:w="11906" w:h="16838"/>
          <w:pgMar w:top="1417" w:right="1077" w:bottom="1417" w:left="1077" w:header="850" w:footer="992" w:gutter="0"/>
          <w:pgNumType w:start="9"/>
          <w:cols w:num="1" w:space="708"/>
          <w:titlePg w:val="0"/>
          <w:docGrid w:type="lines" w:linePitch="318" w:charSpace="409"/>
        </w:sectPr>
      </w:pPr>
      <w:r>
        <w:t>8．</w:t>
      </w:r>
      <w:r>
        <w:rPr>
          <w:rFonts w:hint="eastAsia"/>
        </w:rPr>
        <w:t>（2</w:t>
      </w:r>
      <w:r>
        <w:t>021河北卷</w:t>
      </w:r>
      <w:r>
        <w:rPr>
          <w:rFonts w:hint="eastAsia"/>
        </w:rPr>
        <w:t>）</w:t>
      </w:r>
      <w:r>
        <w:rPr>
          <w:rFonts w:ascii="宋体" w:hAnsi="宋体"/>
        </w:rPr>
        <w:t>某企业产</w:t>
      </w:r>
      <w:r>
        <w:rPr>
          <w:rFonts w:ascii="宋体" w:hAnsi="宋体"/>
          <w:color w:val="000000"/>
        </w:rPr>
        <w:t>品的销售收入（</w:t>
      </w:r>
      <w:r>
        <w:rPr>
          <w:rFonts w:eastAsia="Times New Roman"/>
          <w:i/>
          <w:color w:val="000000"/>
        </w:rPr>
        <w:t>R</w:t>
      </w:r>
      <w:r>
        <w:rPr>
          <w:rFonts w:ascii="宋体" w:hAnsi="宋体"/>
          <w:color w:val="000000"/>
        </w:rPr>
        <w:t>）与销量（</w:t>
      </w:r>
      <w:r>
        <w:rPr>
          <w:rFonts w:eastAsia="Times New Roman"/>
          <w:i/>
          <w:color w:val="000000"/>
        </w:rPr>
        <w:t>Q</w:t>
      </w:r>
      <w:r>
        <w:rPr>
          <w:rFonts w:ascii="宋体" w:hAnsi="宋体"/>
          <w:color w:val="000000"/>
        </w:rPr>
        <w:t>）的关系如下图所示。不考虑其他因素，该企业产品的销量与价格呈反方向变动，如果企业要增加销售收入，应采取的策略是（</w:t>
      </w:r>
      <w:r>
        <w:rPr>
          <w:rFonts w:eastAsia="Times New Roman"/>
          <w:color w:val="000000"/>
        </w:rPr>
        <w:t xml:space="preserve"> </w:t>
      </w:r>
      <w:r>
        <w:rPr>
          <w:rFonts w:ascii="宋体" w:hAnsi="宋体"/>
          <w:color w:val="000000"/>
        </w:rPr>
        <w:t>）</w:t>
      </w:r>
    </w:p>
    <w:p>
      <w:pPr>
        <w:spacing w:line="360" w:lineRule="auto"/>
        <w:ind w:firstLine="420" w:firstLineChars="200"/>
        <w:jc w:val="center"/>
        <w:textAlignment w:val="center"/>
        <w:rPr>
          <w:color w:val="000000"/>
        </w:rPr>
      </w:pPr>
      <w:r>
        <w:rPr>
          <w:color w:val="000000"/>
        </w:rPr>
        <w:pict>
          <v:shape id="_x0000_i1039" type="#_x0000_t75" alt="学科网(www.zxxk.com)--教育资源门户，提供试卷、教案、课件、论文、素材以及各类教学资源下载，还有大量而丰富的教学相关资讯！" style="width:161.25pt;height:136.5pt" coordsize="21600,21600" o:preferrelative="t" filled="f" stroked="f">
            <v:stroke joinstyle="miter"/>
            <v:imagedata r:id="rId56" o:title=""/>
            <o:lock v:ext="edit" aspectratio="t"/>
            <w10:anchorlock/>
          </v:shape>
        </w:pict>
      </w:r>
    </w:p>
    <w:p>
      <w:pPr>
        <w:spacing w:line="360" w:lineRule="auto"/>
        <w:ind w:firstLine="420" w:firstLineChars="200"/>
        <w:jc w:val="left"/>
        <w:textAlignment w:val="center"/>
        <w:rPr>
          <w:rFonts w:ascii="宋体" w:hAnsi="宋体"/>
          <w:color w:val="000000"/>
        </w:rPr>
      </w:pPr>
      <w:r>
        <w:rPr>
          <w:rFonts w:ascii="宋体" w:hAnsi="宋体"/>
          <w:color w:val="000000"/>
        </w:rPr>
        <w:t>①当</w:t>
      </w:r>
      <w:r>
        <w:rPr>
          <w:rFonts w:eastAsia="Times New Roman"/>
          <w:color w:val="000000"/>
        </w:rPr>
        <w:t>0&lt;</w:t>
      </w:r>
      <w:r>
        <w:rPr>
          <w:rFonts w:eastAsia="Times New Roman"/>
          <w:i/>
          <w:color w:val="000000"/>
        </w:rPr>
        <w:t>Q</w:t>
      </w:r>
      <w:r>
        <w:rPr>
          <w:rFonts w:eastAsia="Times New Roman"/>
          <w:color w:val="000000"/>
        </w:rPr>
        <w:t>&lt;</w:t>
      </w:r>
      <w:r>
        <w:rPr>
          <w:rFonts w:eastAsia="Times New Roman"/>
          <w:i/>
          <w:color w:val="000000"/>
        </w:rPr>
        <w:t>Q</w:t>
      </w:r>
      <w:r>
        <w:rPr>
          <w:rFonts w:eastAsia="Times New Roman"/>
          <w:color w:val="000000"/>
          <w:vertAlign w:val="subscript"/>
        </w:rPr>
        <w:t>1</w:t>
      </w:r>
      <w:r>
        <w:rPr>
          <w:rFonts w:ascii="宋体" w:hAnsi="宋体"/>
          <w:color w:val="000000"/>
        </w:rPr>
        <w:t>时，适当提高价格</w:t>
      </w:r>
    </w:p>
    <w:p>
      <w:pPr>
        <w:spacing w:line="360" w:lineRule="auto"/>
        <w:ind w:firstLine="420" w:firstLineChars="200"/>
        <w:jc w:val="left"/>
        <w:textAlignment w:val="center"/>
        <w:rPr>
          <w:rFonts w:ascii="宋体" w:hAnsi="宋体"/>
          <w:color w:val="000000"/>
        </w:rPr>
      </w:pPr>
      <w:r>
        <w:rPr>
          <w:rFonts w:ascii="宋体" w:hAnsi="宋体"/>
          <w:color w:val="000000"/>
        </w:rPr>
        <w:t>②当</w:t>
      </w:r>
      <w:r>
        <w:rPr>
          <w:rFonts w:eastAsia="Times New Roman"/>
          <w:color w:val="000000"/>
        </w:rPr>
        <w:t>0&lt;</w:t>
      </w:r>
      <w:r>
        <w:rPr>
          <w:rFonts w:eastAsia="Times New Roman"/>
          <w:i/>
          <w:color w:val="000000"/>
        </w:rPr>
        <w:t>Q</w:t>
      </w:r>
      <w:r>
        <w:rPr>
          <w:rFonts w:eastAsia="Times New Roman"/>
          <w:color w:val="000000"/>
        </w:rPr>
        <w:t>&lt;</w:t>
      </w:r>
      <w:r>
        <w:rPr>
          <w:rFonts w:eastAsia="Times New Roman"/>
          <w:i/>
          <w:color w:val="000000"/>
        </w:rPr>
        <w:t>Q</w:t>
      </w:r>
      <w:r>
        <w:rPr>
          <w:rFonts w:eastAsia="Times New Roman"/>
          <w:color w:val="000000"/>
          <w:vertAlign w:val="subscript"/>
        </w:rPr>
        <w:t>1</w:t>
      </w:r>
      <w:r>
        <w:rPr>
          <w:rFonts w:ascii="宋体" w:hAnsi="宋体"/>
          <w:color w:val="000000"/>
        </w:rPr>
        <w:t>时，适当降低价格</w:t>
      </w:r>
    </w:p>
    <w:p>
      <w:pPr>
        <w:spacing w:line="360" w:lineRule="auto"/>
        <w:ind w:firstLine="420" w:firstLineChars="200"/>
        <w:jc w:val="left"/>
        <w:textAlignment w:val="center"/>
        <w:rPr>
          <w:rFonts w:ascii="宋体" w:hAnsi="宋体"/>
          <w:color w:val="000000"/>
        </w:rPr>
      </w:pPr>
      <w:r>
        <w:rPr>
          <w:rFonts w:ascii="宋体" w:hAnsi="宋体"/>
          <w:color w:val="000000"/>
        </w:rPr>
        <w:t>③当</w:t>
      </w:r>
      <w:r>
        <w:rPr>
          <w:rFonts w:eastAsia="Times New Roman"/>
          <w:i/>
          <w:color w:val="000000"/>
        </w:rPr>
        <w:t>Q</w:t>
      </w:r>
      <w:r>
        <w:rPr>
          <w:rFonts w:eastAsia="Times New Roman"/>
          <w:color w:val="000000"/>
          <w:vertAlign w:val="subscript"/>
        </w:rPr>
        <w:t>1</w:t>
      </w:r>
      <w:r>
        <w:rPr>
          <w:rFonts w:eastAsia="Times New Roman"/>
          <w:color w:val="000000"/>
        </w:rPr>
        <w:t>&lt;</w:t>
      </w:r>
      <w:r>
        <w:rPr>
          <w:rFonts w:eastAsia="Times New Roman"/>
          <w:i/>
          <w:color w:val="000000"/>
        </w:rPr>
        <w:t>Q</w:t>
      </w:r>
      <w:r>
        <w:rPr>
          <w:rFonts w:eastAsia="Times New Roman"/>
          <w:color w:val="000000"/>
        </w:rPr>
        <w:t>&lt;</w:t>
      </w:r>
      <w:r>
        <w:rPr>
          <w:rFonts w:eastAsia="Times New Roman"/>
          <w:i/>
          <w:color w:val="000000"/>
        </w:rPr>
        <w:t>Q</w:t>
      </w:r>
      <w:r>
        <w:rPr>
          <w:rFonts w:eastAsia="Times New Roman"/>
          <w:color w:val="000000"/>
          <w:vertAlign w:val="subscript"/>
        </w:rPr>
        <w:t>2</w:t>
      </w:r>
      <w:r>
        <w:rPr>
          <w:rFonts w:ascii="宋体" w:hAnsi="宋体"/>
          <w:color w:val="000000"/>
        </w:rPr>
        <w:t>时，适当提高价格</w:t>
      </w:r>
    </w:p>
    <w:p>
      <w:pPr>
        <w:spacing w:line="360" w:lineRule="auto"/>
        <w:ind w:firstLine="420" w:firstLineChars="200"/>
        <w:jc w:val="left"/>
        <w:textAlignment w:val="center"/>
        <w:rPr>
          <w:rFonts w:ascii="宋体" w:hAnsi="宋体"/>
          <w:color w:val="000000"/>
        </w:rPr>
      </w:pPr>
      <w:r>
        <w:rPr>
          <w:rFonts w:ascii="宋体" w:hAnsi="宋体"/>
          <w:color w:val="000000"/>
        </w:rPr>
        <w:t>④当</w:t>
      </w:r>
      <w:r>
        <w:rPr>
          <w:rFonts w:eastAsia="Times New Roman"/>
          <w:i/>
          <w:color w:val="000000"/>
        </w:rPr>
        <w:t>Q</w:t>
      </w:r>
      <w:r>
        <w:rPr>
          <w:rFonts w:eastAsia="Times New Roman"/>
          <w:color w:val="000000"/>
          <w:vertAlign w:val="subscript"/>
        </w:rPr>
        <w:t>1</w:t>
      </w:r>
      <w:r>
        <w:rPr>
          <w:rFonts w:eastAsia="Times New Roman"/>
          <w:color w:val="000000"/>
        </w:rPr>
        <w:t>&lt;</w:t>
      </w:r>
      <w:r>
        <w:rPr>
          <w:rFonts w:eastAsia="Times New Roman"/>
          <w:i/>
          <w:color w:val="000000"/>
        </w:rPr>
        <w:t>Q</w:t>
      </w:r>
      <w:r>
        <w:rPr>
          <w:rFonts w:eastAsia="Times New Roman"/>
          <w:color w:val="000000"/>
        </w:rPr>
        <w:t>&lt;</w:t>
      </w:r>
      <w:r>
        <w:rPr>
          <w:rFonts w:eastAsia="Times New Roman"/>
          <w:i/>
          <w:color w:val="000000"/>
        </w:rPr>
        <w:t>Q</w:t>
      </w:r>
      <w:r>
        <w:rPr>
          <w:rFonts w:eastAsia="Times New Roman"/>
          <w:color w:val="000000"/>
          <w:vertAlign w:val="subscript"/>
        </w:rPr>
        <w:t>2</w:t>
      </w:r>
      <w:r>
        <w:rPr>
          <w:rFonts w:ascii="宋体" w:hAnsi="宋体"/>
          <w:color w:val="000000"/>
        </w:rPr>
        <w:t>时，适当降低价格</w:t>
      </w:r>
    </w:p>
    <w:p>
      <w:pPr>
        <w:tabs>
          <w:tab w:val="left" w:pos="2436"/>
          <w:tab w:val="left" w:pos="4873"/>
          <w:tab w:val="left" w:pos="7309"/>
        </w:tabs>
        <w:spacing w:line="360" w:lineRule="auto"/>
        <w:ind w:firstLine="420" w:firstLineChars="200"/>
        <w:jc w:val="left"/>
        <w:textAlignment w:val="center"/>
        <w:rPr>
          <w:rFonts w:ascii="宋体" w:hAnsi="宋体"/>
          <w:color w:val="000000"/>
        </w:rPr>
      </w:pPr>
      <w:r>
        <w:rPr>
          <w:color w:val="000000"/>
        </w:rPr>
        <w:t>A．</w:t>
      </w:r>
      <w:r>
        <w:rPr>
          <w:rFonts w:ascii="宋体" w:hAnsi="宋体"/>
          <w:color w:val="000000"/>
        </w:rPr>
        <w:t>①③</w:t>
      </w:r>
      <w:r>
        <w:rPr>
          <w:color w:val="000000"/>
        </w:rPr>
        <w:tab/>
      </w:r>
      <w:r>
        <w:rPr>
          <w:color w:val="000000"/>
        </w:rPr>
        <w:t>B．</w:t>
      </w:r>
      <w:r>
        <w:rPr>
          <w:rFonts w:ascii="宋体" w:hAnsi="宋体"/>
          <w:color w:val="000000"/>
        </w:rPr>
        <w:t>①④</w:t>
      </w:r>
      <w:r>
        <w:rPr>
          <w:color w:val="000000"/>
        </w:rPr>
        <w:tab/>
      </w:r>
      <w:r>
        <w:rPr>
          <w:color w:val="000000"/>
        </w:rPr>
        <w:t>C．</w:t>
      </w:r>
      <w:r>
        <w:rPr>
          <w:rFonts w:ascii="宋体" w:hAnsi="宋体"/>
          <w:color w:val="000000"/>
        </w:rPr>
        <w:t>②③</w:t>
      </w:r>
      <w:r>
        <w:rPr>
          <w:color w:val="000000"/>
        </w:rPr>
        <w:tab/>
      </w:r>
      <w:r>
        <w:rPr>
          <w:color w:val="000000"/>
        </w:rPr>
        <w:t>D．</w:t>
      </w:r>
      <w:r>
        <w:rPr>
          <w:rFonts w:ascii="宋体" w:hAnsi="宋体"/>
          <w:color w:val="000000"/>
        </w:rPr>
        <w:t>②④</w:t>
      </w:r>
    </w:p>
    <w:p>
      <w:pPr>
        <w:spacing w:line="360" w:lineRule="auto"/>
        <w:ind w:firstLine="420" w:firstLineChars="200"/>
        <w:jc w:val="left"/>
        <w:textAlignment w:val="center"/>
        <w:rPr>
          <w:b/>
          <w:bCs/>
          <w:color w:val="0000FF"/>
          <w:szCs w:val="24"/>
        </w:rPr>
      </w:pPr>
    </w:p>
    <w:p>
      <w:pPr>
        <w:spacing w:line="360" w:lineRule="auto"/>
        <w:ind w:firstLine="600" w:firstLineChars="200"/>
        <w:jc w:val="center"/>
        <w:textAlignment w:val="center"/>
        <w:rPr>
          <w:b/>
          <w:color w:val="0000FF"/>
          <w:sz w:val="30"/>
          <w:szCs w:val="30"/>
        </w:rPr>
      </w:pPr>
      <w:r>
        <w:rPr>
          <w:b/>
          <w:color w:val="0000FF"/>
          <w:sz w:val="30"/>
          <w:szCs w:val="30"/>
        </w:rPr>
        <w:pict>
          <v:shape id="_x0000_i1040" type="#_x0000_t75" style="width:188.25pt;height:60pt" coordsize="21600,21600" o:preferrelative="t" filled="f" stroked="f">
            <v:stroke joinstyle="miter"/>
            <v:imagedata r:id="rId57" o:title="a8e50bca7d4029f6ec07293efbb46fd"/>
            <o:lock v:ext="edit" aspectratio="t"/>
            <w10:anchorlock/>
          </v:shape>
        </w:pict>
      </w:r>
    </w:p>
    <w:p>
      <w:pPr>
        <w:spacing w:line="360" w:lineRule="auto"/>
        <w:ind w:firstLine="420" w:firstLineChars="200"/>
        <w:jc w:val="left"/>
        <w:textAlignment w:val="center"/>
        <w:rPr>
          <w:szCs w:val="24"/>
        </w:rPr>
      </w:pPr>
      <w:r>
        <w:rPr>
          <w:szCs w:val="24"/>
        </w:rPr>
        <w:t>1．（2020·新课标I）新冠肺炎疫情发生以后，医用口罩、防护服、消毒液等防疫物资一度紧缺，不少大型制造企业开启了“跨界”生产之路，如某电器集团紧急成立医疗子公司，迅速调整生产计划，很快向市场提供医疗物资生产设备和医用口罩。企业短时间内紧急转产、快速投产，说明（    ）</w:t>
      </w:r>
    </w:p>
    <w:p>
      <w:pPr>
        <w:spacing w:line="360" w:lineRule="auto"/>
        <w:ind w:firstLine="420" w:firstLineChars="200"/>
        <w:jc w:val="left"/>
        <w:textAlignment w:val="center"/>
        <w:rPr>
          <w:szCs w:val="24"/>
        </w:rPr>
      </w:pPr>
      <w:r>
        <w:rPr>
          <w:szCs w:val="24"/>
        </w:rPr>
        <w:t>①我国相关制造业有完整灵活的供应链</w:t>
      </w:r>
    </w:p>
    <w:p>
      <w:pPr>
        <w:spacing w:line="360" w:lineRule="auto"/>
        <w:ind w:firstLine="420" w:firstLineChars="200"/>
        <w:jc w:val="left"/>
        <w:textAlignment w:val="center"/>
        <w:rPr>
          <w:szCs w:val="24"/>
        </w:rPr>
      </w:pPr>
      <w:r>
        <w:rPr>
          <w:szCs w:val="24"/>
        </w:rPr>
        <w:t>②市场需求对企业生产有重要导向作用</w:t>
      </w:r>
    </w:p>
    <w:p>
      <w:pPr>
        <w:spacing w:line="360" w:lineRule="auto"/>
        <w:ind w:firstLine="420" w:firstLineChars="200"/>
        <w:jc w:val="left"/>
        <w:textAlignment w:val="center"/>
        <w:rPr>
          <w:szCs w:val="24"/>
        </w:rPr>
      </w:pPr>
      <w:r>
        <w:rPr>
          <w:szCs w:val="24"/>
        </w:rPr>
        <w:t>③企业具有转产防疫产品的前瞻性战略</w:t>
      </w:r>
    </w:p>
    <w:p>
      <w:pPr>
        <w:spacing w:line="360" w:lineRule="auto"/>
        <w:ind w:firstLine="420" w:firstLineChars="200"/>
        <w:jc w:val="left"/>
        <w:textAlignment w:val="center"/>
        <w:rPr>
          <w:szCs w:val="24"/>
        </w:rPr>
      </w:pPr>
      <w:r>
        <w:rPr>
          <w:szCs w:val="24"/>
        </w:rPr>
        <w:t>④企业可以通过转产快速化解市场风险</w:t>
      </w:r>
    </w:p>
    <w:p>
      <w:pPr>
        <w:tabs>
          <w:tab w:val="left" w:pos="2436"/>
          <w:tab w:val="left" w:pos="4873"/>
          <w:tab w:val="left" w:pos="7309"/>
        </w:tabs>
        <w:spacing w:line="360" w:lineRule="auto"/>
        <w:ind w:firstLine="420" w:firstLineChars="200"/>
        <w:jc w:val="left"/>
        <w:textAlignment w:val="center"/>
        <w:rPr>
          <w:szCs w:val="24"/>
        </w:rPr>
      </w:pPr>
      <w:r>
        <w:rPr>
          <w:szCs w:val="24"/>
        </w:rPr>
        <w:t>A． ①②</w:t>
      </w:r>
      <w:r>
        <w:rPr>
          <w:szCs w:val="24"/>
        </w:rPr>
        <w:tab/>
      </w:r>
      <w:r>
        <w:rPr>
          <w:szCs w:val="24"/>
        </w:rPr>
        <w:t>B． ①④</w:t>
      </w:r>
      <w:r>
        <w:rPr>
          <w:szCs w:val="24"/>
        </w:rPr>
        <w:tab/>
      </w:r>
      <w:r>
        <w:rPr>
          <w:szCs w:val="24"/>
        </w:rPr>
        <w:t>C． ②③</w:t>
      </w:r>
      <w:r>
        <w:rPr>
          <w:szCs w:val="24"/>
        </w:rPr>
        <w:tab/>
      </w:r>
      <w:r>
        <w:rPr>
          <w:szCs w:val="24"/>
        </w:rPr>
        <w:t>D． ③④</w:t>
      </w:r>
    </w:p>
    <w:p>
      <w:pPr>
        <w:spacing w:line="360" w:lineRule="auto"/>
        <w:ind w:firstLine="420" w:firstLineChars="200"/>
        <w:jc w:val="left"/>
        <w:textAlignment w:val="center"/>
        <w:rPr>
          <w:szCs w:val="24"/>
        </w:rPr>
      </w:pPr>
      <w:r>
        <w:rPr>
          <w:szCs w:val="24"/>
        </w:rPr>
        <w:br/>
      </w:r>
      <w:r>
        <w:rPr>
          <w:szCs w:val="24"/>
        </w:rPr>
        <w:br/>
      </w:r>
    </w:p>
    <w:p>
      <w:pPr>
        <w:widowControl/>
        <w:spacing w:after="0" w:line="240" w:lineRule="auto"/>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8" w:history="1">
        <w:r>
          <w:rPr>
            <w:rFonts w:ascii="SimSun" w:eastAsia="SimSun" w:hAnsi="SimSun" w:cs="SimSun"/>
            <w:b/>
            <w:bCs/>
            <w:color w:val="0000EE"/>
            <w:kern w:val="0"/>
            <w:sz w:val="30"/>
            <w:szCs w:val="30"/>
            <w:u w:val="single" w:color="0000EE"/>
          </w:rPr>
          <w:t>https://d.book118.com/248005133027006042</w:t>
        </w:r>
      </w:hyperlink>
    </w:p>
    <w:p>
      <w:pPr>
        <w:spacing w:line="360" w:lineRule="auto"/>
        <w:ind w:firstLine="420" w:firstLineChars="200"/>
        <w:jc w:val="left"/>
        <w:textAlignment w:val="center"/>
        <w:rPr>
          <w:szCs w:val="24"/>
        </w:rPr>
      </w:pPr>
    </w:p>
    <w:sectPr>
      <w:headerReference w:type="default" r:id="rId59"/>
      <w:footerReference w:type="even" r:id="rId60"/>
      <w:footerReference w:type="default" r:id="rId61"/>
      <w:footerReference w:type="first" r:id="rId62"/>
      <w:type w:val="nextPage"/>
      <w:pgSz w:w="11906" w:h="16838"/>
      <w:pgMar w:top="1417" w:right="1077" w:bottom="1417" w:left="1077" w:header="850" w:footer="992" w:gutter="0"/>
      <w:pgNumType w:start="10"/>
      <w:cols w:num="1" w:space="708"/>
      <w:titlePg w:val="0"/>
      <w:docGrid w:type="lines" w:linePitch="318" w:charSpace="4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Time New Romans">
    <w:altName w:val="Calibri"/>
    <w:panose1 w:val="00000000000000000000"/>
    <w:charset w:val="00"/>
    <w:family w:val="auto"/>
    <w:pitch w:val="default"/>
    <w:sig w:usb0="00000000" w:usb1="00000000" w:usb2="00000000" w:usb3="00000000" w:csb0="00040001" w:csb1="00000000"/>
  </w:font>
  <w:font w:name="Arial Unicode MS">
    <w:altName w:val="宋体"/>
    <w:panose1 w:val="020B0604020202020204"/>
    <w:charset w:val="86"/>
    <w:family w:val="auto"/>
    <w:pitch w:val="default"/>
    <w:sig w:usb0="00000000" w:usb1="00000000" w:usb2="0000003F" w:usb3="00000000" w:csb0="603F01FF" w:csb1="FFFF0000"/>
  </w:font>
  <w:font w:name="华文行楷">
    <w:panose1 w:val="02010800040101010101"/>
    <w:charset w:val="86"/>
    <w:family w:val="auto"/>
    <w:pitch w:val="default"/>
    <w:sig w:usb0="00000001" w:usb1="080F0000" w:usb2="00000000" w:usb3="00000000" w:csb0="00040000" w:csb1="00000000"/>
  </w:font>
  <w:font w:name="楷体">
    <w:panose1 w:val="02010609060101010101"/>
    <w:charset w:val="86"/>
    <w:family w:val="modern"/>
    <w:pitch w:val="default"/>
    <w:sig w:usb0="800002BF" w:usb1="38CF7CFA" w:usb2="00000016" w:usb3="00000000" w:csb0="00040001" w:csb1="00000000"/>
  </w:font>
  <w:font w:name="'Times New Roman'">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removePersonalInformation/>
  <w:displayBackgroundShape/>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2310"/>
  <w:drawingGridHorizontalSpacing w:val="106"/>
  <w:drawingGridVerticalSpacing w:val="159"/>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24408"/>
    <w:rsid w:val="00172A27"/>
    <w:rsid w:val="00181432"/>
    <w:rsid w:val="001877B0"/>
    <w:rsid w:val="001A5117"/>
    <w:rsid w:val="001C1077"/>
    <w:rsid w:val="001D6503"/>
    <w:rsid w:val="001E10F6"/>
    <w:rsid w:val="002042CF"/>
    <w:rsid w:val="00214665"/>
    <w:rsid w:val="002217E4"/>
    <w:rsid w:val="00230467"/>
    <w:rsid w:val="0025493F"/>
    <w:rsid w:val="00257692"/>
    <w:rsid w:val="002C458F"/>
    <w:rsid w:val="002E2D7D"/>
    <w:rsid w:val="003C1B23"/>
    <w:rsid w:val="003D4081"/>
    <w:rsid w:val="003E0161"/>
    <w:rsid w:val="003E57E1"/>
    <w:rsid w:val="00412033"/>
    <w:rsid w:val="004141CA"/>
    <w:rsid w:val="004151FC"/>
    <w:rsid w:val="004343A0"/>
    <w:rsid w:val="004443E7"/>
    <w:rsid w:val="00455F26"/>
    <w:rsid w:val="0049161A"/>
    <w:rsid w:val="004C6E18"/>
    <w:rsid w:val="004D5255"/>
    <w:rsid w:val="004E60ED"/>
    <w:rsid w:val="00542570"/>
    <w:rsid w:val="00565F32"/>
    <w:rsid w:val="005C3199"/>
    <w:rsid w:val="005D52B4"/>
    <w:rsid w:val="00621578"/>
    <w:rsid w:val="006364EE"/>
    <w:rsid w:val="006B083F"/>
    <w:rsid w:val="006B11B4"/>
    <w:rsid w:val="00706C56"/>
    <w:rsid w:val="007C58BB"/>
    <w:rsid w:val="00894AFB"/>
    <w:rsid w:val="008B7F93"/>
    <w:rsid w:val="0090108E"/>
    <w:rsid w:val="0092760D"/>
    <w:rsid w:val="0094272A"/>
    <w:rsid w:val="00953953"/>
    <w:rsid w:val="00961EF3"/>
    <w:rsid w:val="009A3F85"/>
    <w:rsid w:val="009A6231"/>
    <w:rsid w:val="009A794A"/>
    <w:rsid w:val="009B0D0C"/>
    <w:rsid w:val="00A34F8F"/>
    <w:rsid w:val="00A50E56"/>
    <w:rsid w:val="00AA687F"/>
    <w:rsid w:val="00AE32A4"/>
    <w:rsid w:val="00B0377B"/>
    <w:rsid w:val="00B57D86"/>
    <w:rsid w:val="00BE0018"/>
    <w:rsid w:val="00BE1BCD"/>
    <w:rsid w:val="00C02FC6"/>
    <w:rsid w:val="00C14245"/>
    <w:rsid w:val="00D0582E"/>
    <w:rsid w:val="00D10814"/>
    <w:rsid w:val="00DA4DBD"/>
    <w:rsid w:val="00DC6A41"/>
    <w:rsid w:val="00DE60EF"/>
    <w:rsid w:val="00E73838"/>
    <w:rsid w:val="00E86C58"/>
    <w:rsid w:val="00EC3DDD"/>
    <w:rsid w:val="00EE6A35"/>
    <w:rsid w:val="00F03BC8"/>
    <w:rsid w:val="00F31767"/>
    <w:rsid w:val="00F9669E"/>
    <w:rsid w:val="00FE7C0E"/>
    <w:rsid w:val="01466464"/>
    <w:rsid w:val="02650D6B"/>
    <w:rsid w:val="04C756D1"/>
    <w:rsid w:val="07B315B6"/>
    <w:rsid w:val="07C06A4E"/>
    <w:rsid w:val="09572241"/>
    <w:rsid w:val="0AD2612E"/>
    <w:rsid w:val="0BED3ADF"/>
    <w:rsid w:val="0C014856"/>
    <w:rsid w:val="0DD0231B"/>
    <w:rsid w:val="0E3534AB"/>
    <w:rsid w:val="0E5D7CEC"/>
    <w:rsid w:val="17B95B6C"/>
    <w:rsid w:val="1E236FF9"/>
    <w:rsid w:val="21B85B75"/>
    <w:rsid w:val="22FC492F"/>
    <w:rsid w:val="23616BB8"/>
    <w:rsid w:val="24142159"/>
    <w:rsid w:val="259C5D5D"/>
    <w:rsid w:val="260019D8"/>
    <w:rsid w:val="27535857"/>
    <w:rsid w:val="279F0D5D"/>
    <w:rsid w:val="27B07040"/>
    <w:rsid w:val="28C73DA1"/>
    <w:rsid w:val="2AF77223"/>
    <w:rsid w:val="2EE23B79"/>
    <w:rsid w:val="33ED215F"/>
    <w:rsid w:val="365D2D84"/>
    <w:rsid w:val="393B4C79"/>
    <w:rsid w:val="39920E39"/>
    <w:rsid w:val="39EF76C8"/>
    <w:rsid w:val="3E550FB3"/>
    <w:rsid w:val="3F6E3B5B"/>
    <w:rsid w:val="41210883"/>
    <w:rsid w:val="43FA3F24"/>
    <w:rsid w:val="465E247B"/>
    <w:rsid w:val="4886702D"/>
    <w:rsid w:val="4DE5372A"/>
    <w:rsid w:val="4DFB5701"/>
    <w:rsid w:val="50483BF0"/>
    <w:rsid w:val="549C2E84"/>
    <w:rsid w:val="54E4698D"/>
    <w:rsid w:val="568E0457"/>
    <w:rsid w:val="57B80F34"/>
    <w:rsid w:val="58ED57F5"/>
    <w:rsid w:val="5A9D17C8"/>
    <w:rsid w:val="5CBA3960"/>
    <w:rsid w:val="636802D5"/>
    <w:rsid w:val="66294E6D"/>
    <w:rsid w:val="68A60EA9"/>
    <w:rsid w:val="71B94371"/>
    <w:rsid w:val="71D142E4"/>
    <w:rsid w:val="730F3B63"/>
    <w:rsid w:val="744F7998"/>
    <w:rsid w:val="7FC93E6B"/>
  </w:rsids>
  <w:docVars>
    <w:docVar w:name="commondata" w:val="eyJoZGlkIjoiNmY1Y2QxZThjMmNiMzBhOGY3MTA3OWU1ZWJmZTFmNT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pPr>
        <w:spacing w:after="160" w:line="259" w:lineRule="auto"/>
      </w:pPr>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nhideWhenUsed="0"/>
    <w:lsdException w:name="footer" w:semiHidden="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lsdException w:name="Body Text" w:semiHidden="0" w:uiPriority="0" w:unhideWhenUsed="0" w:qFormat="1"/>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nhideWhenUsed="0" w:qFormat="1"/>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qFormat="1"/>
    <w:lsdException w:name="E-mail Signature" w:semiHidden="0" w:uiPriority="0" w:unhideWhenUsed="0"/>
    <w:lsdException w:name="Normal (Web)" w:semiHidden="0" w:unhideWhenUsed="0" w:qFormat="1"/>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lsdException w:name="annotation subject" w:uiPriority="0" w:unhideWhenUsed="0"/>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semiHidden="0" w:unhideWhenUsed="0"/>
    <w:lsdException w:name="Table Grid" w:semiHidden="0" w:qFormat="1"/>
    <w:lsdException w:name="Table Theme"/>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宋体" w:hAnsi="Times New Roman" w:cs="Times New Roman"/>
      <w:kern w:val="2"/>
      <w:sz w:val="21"/>
      <w:szCs w:val="22"/>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CellMar>
        <w:top w:w="0" w:type="dxa"/>
        <w:left w:w="108" w:type="dxa"/>
        <w:bottom w:w="0" w:type="dxa"/>
        <w:right w:w="108" w:type="dxa"/>
      </w:tblCellMar>
    </w:tblPr>
  </w:style>
  <w:style w:type="paragraph" w:styleId="CommentText">
    <w:name w:val="annotation text"/>
    <w:basedOn w:val="Normal"/>
    <w:link w:val="a"/>
    <w:pPr>
      <w:jc w:val="left"/>
    </w:pPr>
    <w:rPr>
      <w:szCs w:val="24"/>
    </w:rPr>
  </w:style>
  <w:style w:type="paragraph" w:styleId="BodyText">
    <w:name w:val="Body Text"/>
    <w:qFormat/>
    <w:pPr>
      <w:widowControl w:val="0"/>
      <w:spacing w:line="600" w:lineRule="exact"/>
      <w:jc w:val="both"/>
    </w:pPr>
    <w:rPr>
      <w:rFonts w:ascii="Times New Roman" w:eastAsia="宋体" w:hAnsi="Times New Roman" w:cs="Times New Roman"/>
      <w:kern w:val="2"/>
      <w:sz w:val="18"/>
      <w:szCs w:val="24"/>
      <w:lang w:val="en-US" w:eastAsia="zh-CN" w:bidi="ar-SA"/>
    </w:rPr>
  </w:style>
  <w:style w:type="paragraph" w:styleId="PlainText">
    <w:name w:val="Plain Text"/>
    <w:basedOn w:val="Normal"/>
    <w:link w:val="1"/>
    <w:qFormat/>
    <w:rPr>
      <w:rFonts w:ascii="宋体" w:hAnsi="Courier New"/>
      <w:szCs w:val="21"/>
    </w:rPr>
  </w:style>
  <w:style w:type="paragraph" w:styleId="Date">
    <w:name w:val="Date"/>
    <w:basedOn w:val="Normal"/>
    <w:next w:val="Normal"/>
    <w:link w:val="a0"/>
    <w:uiPriority w:val="99"/>
    <w:unhideWhenUsed/>
    <w:pPr>
      <w:ind w:left="100" w:leftChars="2500"/>
    </w:pPr>
  </w:style>
  <w:style w:type="paragraph" w:styleId="BalloonText">
    <w:name w:val="Balloon Text"/>
    <w:basedOn w:val="Normal"/>
    <w:link w:val="10"/>
    <w:uiPriority w:val="99"/>
    <w:rPr>
      <w:sz w:val="18"/>
      <w:szCs w:val="18"/>
    </w:rPr>
  </w:style>
  <w:style w:type="paragraph" w:styleId="Footer">
    <w:name w:val="footer"/>
    <w:basedOn w:val="Normal"/>
    <w:link w:val="11"/>
    <w:uiPriority w:val="99"/>
    <w:pPr>
      <w:tabs>
        <w:tab w:val="center" w:pos="4153"/>
        <w:tab w:val="right" w:pos="8306"/>
      </w:tabs>
      <w:snapToGrid w:val="0"/>
      <w:jc w:val="left"/>
    </w:pPr>
    <w:rPr>
      <w:sz w:val="18"/>
    </w:rPr>
  </w:style>
  <w:style w:type="paragraph" w:styleId="Header">
    <w:name w:val="header"/>
    <w:basedOn w:val="Normal"/>
    <w:link w:val="12"/>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NormalWeb">
    <w:name w:val="Normal (Web)"/>
    <w:basedOn w:val="Normal"/>
    <w:link w:val="a1"/>
    <w:uiPriority w:val="99"/>
    <w:qFormat/>
    <w:pPr>
      <w:widowControl/>
      <w:spacing w:before="100" w:beforeAutospacing="1" w:after="100" w:afterAutospacing="1"/>
      <w:jc w:val="left"/>
    </w:pPr>
    <w:rPr>
      <w:rFonts w:ascii="宋体" w:hAnsi="宋体"/>
      <w:sz w:val="24"/>
      <w:szCs w:val="24"/>
    </w:rPr>
  </w:style>
  <w:style w:type="paragraph" w:styleId="CommentSubject">
    <w:name w:val="annotation subject"/>
    <w:basedOn w:val="CommentText"/>
    <w:next w:val="CommentText"/>
    <w:link w:val="a2"/>
    <w:semiHidden/>
    <w:rPr>
      <w:b/>
      <w:bCs/>
      <w:szCs w:val="22"/>
    </w:rPr>
  </w:style>
  <w:style w:type="table" w:styleId="TableGrid">
    <w:name w:val="Table Grid"/>
    <w:basedOn w:val="TableNormal"/>
    <w:uiPriority w:val="99"/>
    <w:unhideWhenUsed/>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Pr>
      <w:b/>
      <w:bCs/>
    </w:rPr>
  </w:style>
  <w:style w:type="character" w:styleId="PageNumber">
    <w:name w:val="page number"/>
    <w:basedOn w:val="DefaultParagraphFont"/>
  </w:style>
  <w:style w:type="character" w:styleId="Hyperlink">
    <w:name w:val="Hyperlink"/>
    <w:uiPriority w:val="99"/>
    <w:qFormat/>
    <w:rPr>
      <w:color w:val="0000FF"/>
      <w:u w:val="single"/>
    </w:rPr>
  </w:style>
  <w:style w:type="character" w:styleId="CommentReference">
    <w:name w:val="annotation reference"/>
    <w:rPr>
      <w:sz w:val="21"/>
      <w:szCs w:val="21"/>
    </w:rPr>
  </w:style>
  <w:style w:type="character" w:customStyle="1" w:styleId="a">
    <w:name w:val="批注文字 字符"/>
    <w:link w:val="CommentText"/>
    <w:rPr>
      <w:kern w:val="2"/>
      <w:sz w:val="21"/>
      <w:szCs w:val="24"/>
    </w:rPr>
  </w:style>
  <w:style w:type="character" w:customStyle="1" w:styleId="1">
    <w:name w:val="纯文本 字符1"/>
    <w:link w:val="PlainText"/>
    <w:qFormat/>
    <w:locked/>
    <w:rPr>
      <w:rFonts w:ascii="宋体" w:hAnsi="Courier New" w:cs="Courier New"/>
      <w:kern w:val="2"/>
      <w:sz w:val="21"/>
      <w:szCs w:val="21"/>
    </w:rPr>
  </w:style>
  <w:style w:type="character" w:customStyle="1" w:styleId="a0">
    <w:name w:val="日期 字符"/>
    <w:link w:val="Date"/>
    <w:uiPriority w:val="99"/>
    <w:rPr>
      <w:rFonts w:ascii="Calibri" w:hAnsi="Calibri"/>
      <w:kern w:val="2"/>
      <w:sz w:val="21"/>
      <w:szCs w:val="22"/>
    </w:rPr>
  </w:style>
  <w:style w:type="character" w:customStyle="1" w:styleId="10">
    <w:name w:val="批注框文本 字符1"/>
    <w:link w:val="BalloonText"/>
    <w:uiPriority w:val="99"/>
    <w:qFormat/>
    <w:rPr>
      <w:rFonts w:eastAsia="宋体"/>
      <w:kern w:val="2"/>
      <w:sz w:val="18"/>
      <w:szCs w:val="18"/>
      <w:lang w:val="en-US" w:eastAsia="zh-CN" w:bidi="ar-SA"/>
    </w:rPr>
  </w:style>
  <w:style w:type="character" w:customStyle="1" w:styleId="11">
    <w:name w:val="页脚 字符1"/>
    <w:link w:val="Footer"/>
    <w:uiPriority w:val="99"/>
    <w:qFormat/>
    <w:rPr>
      <w:rFonts w:eastAsia="宋体"/>
      <w:kern w:val="2"/>
      <w:sz w:val="18"/>
      <w:szCs w:val="22"/>
      <w:lang w:val="en-US" w:eastAsia="zh-CN" w:bidi="ar-SA"/>
    </w:rPr>
  </w:style>
  <w:style w:type="character" w:customStyle="1" w:styleId="12">
    <w:name w:val="页眉 字符1"/>
    <w:link w:val="Header"/>
    <w:uiPriority w:val="99"/>
    <w:rPr>
      <w:rFonts w:eastAsia="宋体"/>
      <w:kern w:val="2"/>
      <w:sz w:val="18"/>
      <w:szCs w:val="22"/>
      <w:lang w:val="en-US" w:eastAsia="zh-CN" w:bidi="ar-SA"/>
    </w:rPr>
  </w:style>
  <w:style w:type="character" w:customStyle="1" w:styleId="a1">
    <w:name w:val="普通(网站) 字符"/>
    <w:link w:val="NormalWeb"/>
    <w:uiPriority w:val="99"/>
    <w:rPr>
      <w:rFonts w:ascii="宋体" w:hAnsi="宋体" w:cs="宋体"/>
      <w:kern w:val="2"/>
      <w:sz w:val="24"/>
      <w:szCs w:val="24"/>
    </w:rPr>
  </w:style>
  <w:style w:type="character" w:customStyle="1" w:styleId="a2">
    <w:name w:val="批注主题 字符"/>
    <w:link w:val="CommentSubject"/>
    <w:semiHidden/>
    <w:qFormat/>
    <w:rPr>
      <w:b/>
      <w:bCs/>
      <w:kern w:val="2"/>
      <w:sz w:val="21"/>
      <w:szCs w:val="22"/>
    </w:rPr>
  </w:style>
  <w:style w:type="character" w:customStyle="1" w:styleId="13">
    <w:name w:val="无间隔 字符1"/>
    <w:link w:val="NoSpacing"/>
    <w:uiPriority w:val="1"/>
    <w:qFormat/>
    <w:rPr>
      <w:kern w:val="2"/>
      <w:sz w:val="21"/>
      <w:szCs w:val="22"/>
      <w:lang w:val="en-US" w:eastAsia="zh-CN" w:bidi="ar-SA"/>
    </w:rPr>
  </w:style>
  <w:style w:type="paragraph" w:styleId="NoSpacing">
    <w:name w:val="No Spacing"/>
    <w:link w:val="13"/>
    <w:uiPriority w:val="1"/>
    <w:qFormat/>
    <w:pPr>
      <w:widowControl w:val="0"/>
      <w:jc w:val="both"/>
    </w:pPr>
    <w:rPr>
      <w:rFonts w:ascii="Times New Roman" w:eastAsia="宋体" w:hAnsi="Times New Roman" w:cs="Times New Roman"/>
      <w:kern w:val="2"/>
      <w:sz w:val="21"/>
      <w:szCs w:val="22"/>
      <w:lang w:val="en-US" w:eastAsia="zh-CN" w:bidi="ar-SA"/>
    </w:rPr>
  </w:style>
  <w:style w:type="character" w:customStyle="1" w:styleId="DefaultParagraphCharChar">
    <w:name w:val="DefaultParagraph Char Char"/>
    <w:link w:val="DefaultParagraph"/>
    <w:qFormat/>
    <w:locked/>
    <w:rPr>
      <w:kern w:val="2"/>
      <w:sz w:val="21"/>
      <w:szCs w:val="22"/>
      <w:lang w:val="en-US" w:eastAsia="zh-CN" w:bidi="ar-SA"/>
    </w:rPr>
  </w:style>
  <w:style w:type="paragraph" w:customStyle="1" w:styleId="DefaultParagraph">
    <w:name w:val="DefaultParagraph"/>
    <w:link w:val="DefaultParagraphCharChar"/>
    <w:rPr>
      <w:rFonts w:ascii="Times New Roman" w:eastAsia="宋体" w:hAnsi="Times New Roman" w:cs="Times New Roman"/>
      <w:kern w:val="2"/>
      <w:sz w:val="21"/>
      <w:szCs w:val="22"/>
      <w:lang w:val="en-US" w:eastAsia="zh-CN" w:bidi="ar-SA"/>
    </w:rPr>
  </w:style>
  <w:style w:type="character" w:customStyle="1" w:styleId="a3">
    <w:name w:val="批注框文本 字符"/>
    <w:uiPriority w:val="99"/>
    <w:semiHidden/>
    <w:rPr>
      <w:kern w:val="2"/>
      <w:sz w:val="18"/>
      <w:szCs w:val="18"/>
    </w:rPr>
  </w:style>
  <w:style w:type="character" w:customStyle="1" w:styleId="Char">
    <w:name w:val="无间隔 Char"/>
    <w:link w:val="NoSpacing0"/>
    <w:uiPriority w:val="1"/>
    <w:qFormat/>
    <w:rPr>
      <w:sz w:val="22"/>
      <w:szCs w:val="22"/>
      <w:lang w:val="en-US" w:eastAsia="zh-CN" w:bidi="ar-SA"/>
    </w:rPr>
  </w:style>
  <w:style w:type="paragraph" w:customStyle="1" w:styleId="NoSpacing0">
    <w:name w:val="No Spacing_0"/>
    <w:link w:val="Char"/>
    <w:uiPriority w:val="1"/>
    <w:qFormat/>
    <w:rPr>
      <w:rFonts w:ascii="Times New Roman" w:eastAsia="宋体" w:hAnsi="Times New Roman" w:cs="Times New Roman"/>
      <w:sz w:val="22"/>
      <w:szCs w:val="22"/>
      <w:lang w:val="en-US" w:eastAsia="zh-CN" w:bidi="ar-SA"/>
    </w:rPr>
  </w:style>
  <w:style w:type="character" w:customStyle="1" w:styleId="subtitles0">
    <w:name w:val="sub_title s0"/>
    <w:basedOn w:val="DefaultParagraphFont"/>
  </w:style>
  <w:style w:type="character" w:customStyle="1" w:styleId="14">
    <w:name w:val="页码1"/>
    <w:basedOn w:val="DefaultParagraphFont"/>
  </w:style>
  <w:style w:type="character" w:customStyle="1" w:styleId="a4">
    <w:name w:val="纯文本 字符"/>
    <w:uiPriority w:val="99"/>
    <w:semiHidden/>
    <w:rPr>
      <w:rFonts w:ascii="等线" w:eastAsia="等线" w:hAnsi="Courier New" w:cs="Courier New"/>
      <w:kern w:val="2"/>
      <w:sz w:val="21"/>
      <w:szCs w:val="22"/>
    </w:rPr>
  </w:style>
  <w:style w:type="character" w:customStyle="1" w:styleId="a5">
    <w:name w:val="无间隔 字符"/>
    <w:uiPriority w:val="1"/>
    <w:rPr>
      <w:kern w:val="0"/>
      <w:sz w:val="22"/>
    </w:rPr>
  </w:style>
  <w:style w:type="character" w:customStyle="1" w:styleId="a6">
    <w:name w:val="页脚 字符"/>
    <w:uiPriority w:val="99"/>
    <w:rPr>
      <w:kern w:val="2"/>
      <w:sz w:val="18"/>
      <w:szCs w:val="18"/>
    </w:rPr>
  </w:style>
  <w:style w:type="character" w:customStyle="1" w:styleId="a7">
    <w:name w:val="页眉 字符"/>
    <w:uiPriority w:val="99"/>
    <w:semiHidden/>
    <w:rPr>
      <w:kern w:val="2"/>
      <w:sz w:val="18"/>
      <w:szCs w:val="18"/>
    </w:rPr>
  </w:style>
  <w:style w:type="paragraph" w:customStyle="1" w:styleId="Char3">
    <w:name w:val="Char3"/>
    <w:basedOn w:val="Normal"/>
    <w:pPr>
      <w:widowControl/>
      <w:spacing w:line="300" w:lineRule="auto"/>
      <w:ind w:firstLine="200" w:firstLineChars="200"/>
    </w:pPr>
    <w:rPr>
      <w:szCs w:val="20"/>
    </w:rPr>
  </w:style>
  <w:style w:type="paragraph" w:customStyle="1" w:styleId="p0">
    <w:name w:val="p0"/>
    <w:basedOn w:val="Normal"/>
    <w:qFormat/>
    <w:pPr>
      <w:widowControl/>
    </w:pPr>
    <w:rPr>
      <w:rFonts w:ascii="Calibri" w:hAnsi="Calibri"/>
      <w:kern w:val="0"/>
      <w:szCs w:val="21"/>
    </w:rPr>
  </w:style>
  <w:style w:type="paragraph" w:customStyle="1" w:styleId="Normal0">
    <w:name w:val="Normal_0"/>
    <w:qFormat/>
    <w:rPr>
      <w:rFonts w:ascii="Times New Roman" w:eastAsia="宋体" w:hAnsi="Times New Roman" w:cs="Times New Roman"/>
      <w:sz w:val="24"/>
      <w:szCs w:val="24"/>
      <w:lang w:val="en-US" w:eastAsia="zh-CN" w:bidi="ar-SA"/>
    </w:rPr>
  </w:style>
  <w:style w:type="paragraph" w:customStyle="1" w:styleId="CharCharCharCharCharCharCharCharChar">
    <w:name w:val="Char Char Char Char Char Char Char Char Char"/>
    <w:basedOn w:val="Normal"/>
    <w:pPr>
      <w:widowControl/>
      <w:spacing w:line="300" w:lineRule="auto"/>
      <w:ind w:firstLine="200" w:firstLineChars="200"/>
    </w:pPr>
    <w:rPr>
      <w:kern w:val="0"/>
      <w:szCs w:val="20"/>
    </w:rPr>
  </w:style>
  <w:style w:type="paragraph" w:customStyle="1" w:styleId="Style22">
    <w:name w:val="_Style 22"/>
    <w:basedOn w:val="Normal"/>
    <w:next w:val="ListParagraph"/>
    <w:qFormat/>
    <w:pPr>
      <w:ind w:firstLine="420" w:firstLineChars="200"/>
    </w:pPr>
    <w:rPr>
      <w:rFonts w:ascii="Calibri" w:hAnsi="Calibri"/>
    </w:rPr>
  </w:style>
  <w:style w:type="paragraph" w:styleId="ListParagraph">
    <w:name w:val="List Paragraph"/>
    <w:basedOn w:val="Normal"/>
    <w:uiPriority w:val="34"/>
    <w:qFormat/>
    <w:pPr>
      <w:ind w:firstLine="420" w:firstLineChars="200"/>
    </w:pPr>
    <w:rPr>
      <w:rFonts w:ascii="Calibri" w:hAnsi="Calibri"/>
    </w:rPr>
  </w:style>
  <w:style w:type="paragraph" w:customStyle="1" w:styleId="Char3Char">
    <w:name w:val="Char3 Char"/>
    <w:basedOn w:val="Normal"/>
    <w:pPr>
      <w:widowControl/>
      <w:spacing w:line="300" w:lineRule="auto"/>
      <w:ind w:firstLine="200" w:firstLineChars="200"/>
    </w:pPr>
  </w:style>
  <w:style w:type="paragraph" w:customStyle="1" w:styleId="CharCharCharCharCharCharCharCharCharCharCharCharCharCharCharCharCharCharChar">
    <w:name w:val="Char Char Char Char Char Char Char Char Char Char Char Char Char Char Char Char Char Char Char"/>
    <w:basedOn w:val="Normal"/>
    <w:qFormat/>
    <w:pPr>
      <w:widowControl/>
      <w:spacing w:line="300" w:lineRule="auto"/>
      <w:ind w:firstLine="200" w:firstLineChars="200"/>
    </w:pPr>
  </w:style>
  <w:style w:type="paragraph" w:customStyle="1" w:styleId="Char3CharCharChar">
    <w:name w:val="Char3 Char Char Char"/>
    <w:basedOn w:val="Normal"/>
    <w:pPr>
      <w:widowControl/>
      <w:spacing w:line="300" w:lineRule="auto"/>
      <w:ind w:firstLine="200" w:firstLineChars="200"/>
    </w:pPr>
    <w:rPr>
      <w:rFonts w:ascii="Calibri" w:hAnsi="Calibri"/>
    </w:rPr>
  </w:style>
  <w:style w:type="paragraph" w:customStyle="1" w:styleId="Normal1">
    <w:name w:val="Normal_1"/>
    <w:qFormat/>
    <w:pPr>
      <w:widowControl w:val="0"/>
      <w:jc w:val="both"/>
    </w:pPr>
    <w:rPr>
      <w:rFonts w:ascii="Time New Romans" w:eastAsia="宋体" w:hAnsi="Time New Romans" w:cs="宋体"/>
      <w:kern w:val="2"/>
      <w:sz w:val="21"/>
      <w:szCs w:val="22"/>
      <w:lang w:val="en-US" w:eastAsia="zh-CN" w:bidi="ar-SA"/>
    </w:rPr>
  </w:style>
  <w:style w:type="paragraph" w:customStyle="1" w:styleId="0">
    <w:name w:val="正文_0"/>
    <w:qFormat/>
    <w:pPr>
      <w:widowControl w:val="0"/>
      <w:jc w:val="both"/>
    </w:pPr>
    <w:rPr>
      <w:rFonts w:ascii="Times New Roman" w:eastAsia="宋体" w:hAnsi="Times New Roman" w:cs="Times New Roman"/>
      <w:kern w:val="2"/>
      <w:sz w:val="21"/>
      <w:szCs w:val="22"/>
      <w:lang w:val="en-US" w:eastAsia="zh-CN" w:bidi="ar-SA"/>
    </w:rPr>
  </w:style>
  <w:style w:type="paragraph" w:customStyle="1" w:styleId="msonormalcxspmiddle">
    <w:name w:val="msonormalcxspmiddle"/>
    <w:basedOn w:val="Normal"/>
    <w:pPr>
      <w:widowControl/>
      <w:spacing w:before="100" w:beforeAutospacing="1" w:after="100" w:afterAutospacing="1"/>
      <w:jc w:val="left"/>
    </w:pPr>
    <w:rPr>
      <w:rFonts w:ascii="Arial Unicode MS" w:eastAsia="Arial Unicode MS" w:hAnsi="Arial Unicode MS"/>
      <w:color w:val="000000"/>
      <w:kern w:val="0"/>
      <w:sz w:val="24"/>
      <w:szCs w:val="24"/>
    </w:rPr>
  </w:style>
  <w:style w:type="paragraph" w:customStyle="1" w:styleId="CharCharCharCharCharCharCharCharChar1">
    <w:name w:val="Char Char Char Char Char Char Char Char Char1"/>
    <w:basedOn w:val="Normal"/>
    <w:pPr>
      <w:widowControl/>
      <w:spacing w:line="300" w:lineRule="auto"/>
      <w:ind w:firstLine="200" w:firstLineChars="200"/>
    </w:pPr>
    <w:rPr>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image" Target="media/image6.png" /><Relationship Id="rId15" Type="http://schemas.openxmlformats.org/officeDocument/2006/relationships/header" Target="header2.xml" /><Relationship Id="rId16" Type="http://schemas.openxmlformats.org/officeDocument/2006/relationships/footer" Target="footer4.xml" /><Relationship Id="rId17" Type="http://schemas.openxmlformats.org/officeDocument/2006/relationships/footer" Target="footer5.xml" /><Relationship Id="rId18" Type="http://schemas.openxmlformats.org/officeDocument/2006/relationships/footer" Target="footer6.xml" /><Relationship Id="rId19" Type="http://schemas.openxmlformats.org/officeDocument/2006/relationships/header" Target="header3.xml" /><Relationship Id="rId2" Type="http://schemas.openxmlformats.org/officeDocument/2006/relationships/webSettings" Target="webSettings.xml" /><Relationship Id="rId20" Type="http://schemas.openxmlformats.org/officeDocument/2006/relationships/footer" Target="footer7.xml" /><Relationship Id="rId21" Type="http://schemas.openxmlformats.org/officeDocument/2006/relationships/footer" Target="footer8.xml" /><Relationship Id="rId22" Type="http://schemas.openxmlformats.org/officeDocument/2006/relationships/footer" Target="footer9.xml" /><Relationship Id="rId23" Type="http://schemas.openxmlformats.org/officeDocument/2006/relationships/image" Target="media/image7.png" /><Relationship Id="rId24" Type="http://schemas.openxmlformats.org/officeDocument/2006/relationships/image" Target="media/image8.png" /><Relationship Id="rId25" Type="http://schemas.openxmlformats.org/officeDocument/2006/relationships/image" Target="media/image9.png" /><Relationship Id="rId26" Type="http://schemas.openxmlformats.org/officeDocument/2006/relationships/image" Target="media/image10.png" /><Relationship Id="rId27" Type="http://schemas.openxmlformats.org/officeDocument/2006/relationships/header" Target="header4.xml" /><Relationship Id="rId28" Type="http://schemas.openxmlformats.org/officeDocument/2006/relationships/footer" Target="footer10.xml" /><Relationship Id="rId29" Type="http://schemas.openxmlformats.org/officeDocument/2006/relationships/footer" Target="footer11.xml" /><Relationship Id="rId3" Type="http://schemas.openxmlformats.org/officeDocument/2006/relationships/fontTable" Target="fontTable.xml" /><Relationship Id="rId30" Type="http://schemas.openxmlformats.org/officeDocument/2006/relationships/footer" Target="footer12.xml" /><Relationship Id="rId31" Type="http://schemas.openxmlformats.org/officeDocument/2006/relationships/image" Target="media/image11.png" /><Relationship Id="rId32" Type="http://schemas.openxmlformats.org/officeDocument/2006/relationships/header" Target="header5.xml" /><Relationship Id="rId33" Type="http://schemas.openxmlformats.org/officeDocument/2006/relationships/footer" Target="footer13.xml" /><Relationship Id="rId34" Type="http://schemas.openxmlformats.org/officeDocument/2006/relationships/footer" Target="footer14.xml" /><Relationship Id="rId35" Type="http://schemas.openxmlformats.org/officeDocument/2006/relationships/footer" Target="footer15.xml" /><Relationship Id="rId36" Type="http://schemas.openxmlformats.org/officeDocument/2006/relationships/image" Target="media/image12.png" /><Relationship Id="rId37" Type="http://schemas.openxmlformats.org/officeDocument/2006/relationships/header" Target="header6.xml" /><Relationship Id="rId38" Type="http://schemas.openxmlformats.org/officeDocument/2006/relationships/footer" Target="footer16.xml" /><Relationship Id="rId39" Type="http://schemas.openxmlformats.org/officeDocument/2006/relationships/footer" Target="footer17.xml" /><Relationship Id="rId4" Type="http://schemas.openxmlformats.org/officeDocument/2006/relationships/customXml" Target="../customXml/item1.xml" /><Relationship Id="rId40" Type="http://schemas.openxmlformats.org/officeDocument/2006/relationships/footer" Target="footer18.xml" /><Relationship Id="rId41" Type="http://schemas.openxmlformats.org/officeDocument/2006/relationships/image" Target="media/image13.png" /><Relationship Id="rId42" Type="http://schemas.openxmlformats.org/officeDocument/2006/relationships/header" Target="header7.xml" /><Relationship Id="rId43" Type="http://schemas.openxmlformats.org/officeDocument/2006/relationships/footer" Target="footer19.xml" /><Relationship Id="rId44" Type="http://schemas.openxmlformats.org/officeDocument/2006/relationships/footer" Target="footer20.xml" /><Relationship Id="rId45" Type="http://schemas.openxmlformats.org/officeDocument/2006/relationships/footer" Target="footer21.xml" /><Relationship Id="rId46" Type="http://schemas.openxmlformats.org/officeDocument/2006/relationships/image" Target="media/image14.png" /><Relationship Id="rId47" Type="http://schemas.openxmlformats.org/officeDocument/2006/relationships/header" Target="header8.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image" Target="media/image1.png" /><Relationship Id="rId50" Type="http://schemas.openxmlformats.org/officeDocument/2006/relationships/footer" Target="footer24.xml" /><Relationship Id="rId51" Type="http://schemas.openxmlformats.org/officeDocument/2006/relationships/image" Target="media/image15.png" /><Relationship Id="rId52" Type="http://schemas.openxmlformats.org/officeDocument/2006/relationships/header" Target="header9.xml" /><Relationship Id="rId53" Type="http://schemas.openxmlformats.org/officeDocument/2006/relationships/footer" Target="footer25.xml" /><Relationship Id="rId54" Type="http://schemas.openxmlformats.org/officeDocument/2006/relationships/footer" Target="footer26.xml" /><Relationship Id="rId55" Type="http://schemas.openxmlformats.org/officeDocument/2006/relationships/footer" Target="footer27.xml" /><Relationship Id="rId56" Type="http://schemas.openxmlformats.org/officeDocument/2006/relationships/image" Target="media/image16.png" /><Relationship Id="rId57" Type="http://schemas.openxmlformats.org/officeDocument/2006/relationships/image" Target="media/image17.png" /><Relationship Id="rId58" Type="http://schemas.openxmlformats.org/officeDocument/2006/relationships/hyperlink" Target="https://d.book118.com/248005133027006042" TargetMode="External" /><Relationship Id="rId59" Type="http://schemas.openxmlformats.org/officeDocument/2006/relationships/header" Target="header10.xml" /><Relationship Id="rId6" Type="http://schemas.openxmlformats.org/officeDocument/2006/relationships/image" Target="media/image2.png"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footer" Target="footer30.xml" /><Relationship Id="rId63" Type="http://schemas.openxmlformats.org/officeDocument/2006/relationships/theme" Target="theme/theme1.xml" /><Relationship Id="rId64" Type="http://schemas.openxmlformats.org/officeDocument/2006/relationships/styles" Target="styles.xml"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1357</Words>
  <Characters>7741</Characters>
  <Application>Microsoft Office Word</Application>
  <DocSecurity>0</DocSecurity>
  <Lines>64</Lines>
  <Paragraphs>18</Paragraphs>
  <ScaleCrop>false</ScaleCrop>
  <Company/>
  <LinksUpToDate>false</LinksUpToDate>
  <CharactersWithSpaces>9080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2020年模拟试题</dc:title>
  <dc:subject>2020年模拟试题</dc:subject>
  <cp:keywords>试卷、教案、课件、论文、素材</cp:keywords>
  <dc:description>学科网(www.zxxk.com)--教育资源门户，提供试卷、教案、课件、论文、素材及各类教学资源下载，还有大量而丰富的教学相关资讯！</dc:description>
  <cp:revision>1</cp:revision>
  <dcterms:created xsi:type="dcterms:W3CDTF">2019-10-08T02:12:00Z</dcterms:created>
  <dcterms:modified xsi:type="dcterms:W3CDTF">2024-03-03T03:00:16Z</dcterms:modified>
  <cp:category>学科网WORD文档</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ICV">
    <vt:lpwstr>411AB72370194B429935144D808CCEE4_12</vt:lpwstr>
  </property>
  <property fmtid="{D5CDD505-2E9C-101B-9397-08002B2CF9AE}" pid="7" name="KSOProductBuildVer">
    <vt:lpwstr>2052-11.8.2.9022</vt:lpwstr>
  </property>
</Properties>
</file>