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25" w:lineRule="exact"/>
      </w:pPr>
      <w:r>
        <w:rPr>
          <w:position w:val="-336"/>
        </w:rPr>
        <w:drawing>
          <wp:inline distT="0" distB="0" distL="0" distR="0">
            <wp:extent cx="7559040" cy="1068428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5" w:lineRule="exact"/>
        <w:sectPr>
          <w:headerReference w:type="default" r:id="rId5"/>
          <w:footerReference w:type="default" r:id="rId6"/>
          <w:pgSz w:w="11905" w:h="16839"/>
          <w:pgMar w:top="1" w:right="0" w:bottom="1" w:left="0" w:header="0" w:footer="0" w:gutter="0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sdt>
      <w:sdtPr>
        <w:rPr>
          <w:rFonts w:ascii="Microsoft YaHei" w:eastAsia="Microsoft YaHei" w:hAnsi="Microsoft YaHei" w:cs="Microsoft YaHei"/>
          <w:sz w:val="31"/>
          <w:szCs w:val="31"/>
        </w:rPr>
        <w:id w:val="1517007735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4"/>
          <w:szCs w:val="24"/>
        </w:rPr>
      </w:sdtEndPr>
      <w:sdtContent>
        <w:p>
          <w:pPr>
            <w:spacing w:before="133" w:line="172" w:lineRule="auto"/>
            <w:ind w:left="4255"/>
            <w:rPr>
              <w:rFonts w:ascii="Microsoft YaHei" w:eastAsia="Microsoft YaHei" w:hAnsi="Microsoft YaHei" w:cs="Microsoft YaHei"/>
              <w:sz w:val="31"/>
              <w:szCs w:val="31"/>
            </w:rPr>
          </w:pPr>
          <w:r>
            <w:rPr>
              <w:rFonts w:ascii="Microsoft YaHei" w:eastAsia="Microsoft YaHei" w:hAnsi="Microsoft YaHei" w:cs="Microsoft YaHei"/>
              <w:color w:val="003F7C"/>
              <w:spacing w:val="-6"/>
              <w:sz w:val="31"/>
              <w:szCs w:val="31"/>
              <w14:textOutline w14:w="5608">
                <w14:solidFill>
                  <w14:srgbClr w14:val="003F7C"/>
                </w14:solidFill>
                <w14:prstDash w14:val="solid"/>
                <w14:miter w14:lim="10"/>
              </w14:textOutline>
            </w:rPr>
            <w:t>目录</w:t>
          </w:r>
        </w:p>
        <w:p>
          <w:pPr>
            <w:spacing w:before="264" w:line="221" w:lineRule="exact"/>
            <w:jc w:val="right"/>
            <w:rPr>
              <w:rFonts w:ascii="Microsoft YaHei" w:eastAsia="Microsoft YaHei" w:hAnsi="Microsoft YaHei" w:cs="Microsoft YaHei"/>
              <w:sz w:val="24"/>
              <w:szCs w:val="24"/>
            </w:rPr>
          </w:pPr>
          <w:hyperlink w:anchor="bookmark1" w:history="1">
            <w:r>
              <w:rPr>
                <w:rFonts w:ascii="Microsoft YaHei" w:eastAsia="Microsoft YaHei" w:hAnsi="Microsoft YaHei" w:cs="Microsoft YaHei"/>
                <w:color w:val="003F7C"/>
                <w:spacing w:val="12"/>
                <w:position w:val="-2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1.</w:t>
            </w:r>
            <w:r>
              <w:rPr>
                <w:rFonts w:ascii="Microsoft YaHei" w:eastAsia="Microsoft YaHei" w:hAnsi="Microsoft YaHei" w:cs="Microsoft YaHei"/>
                <w:color w:val="003F7C"/>
                <w:spacing w:val="67"/>
                <w:w w:val="101"/>
                <w:position w:val="-2"/>
                <w:sz w:val="23"/>
                <w:szCs w:val="23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003F7C"/>
                <w:spacing w:val="12"/>
                <w:position w:val="-2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灇瑕薴⃞⃞⃞</w:t>
            </w:r>
            <w:r>
              <w:rPr>
                <w:rFonts w:ascii="Arial Unicode MS" w:eastAsia="Arial Unicode MS" w:hAnsi="Arial Unicode MS" w:cs="Arial Unicode MS"/>
                <w:color w:val="003F7C"/>
                <w:spacing w:val="1"/>
                <w:position w:val="-2"/>
                <w:sz w:val="23"/>
                <w:szCs w:val="23"/>
              </w:rPr>
              <w:t xml:space="preserve">                                                            </w:t>
            </w:r>
            <w:r>
              <w:rPr>
                <w:rFonts w:ascii="Arial Unicode MS" w:eastAsia="Arial Unicode MS" w:hAnsi="Arial Unicode MS" w:cs="Arial Unicode MS"/>
                <w:color w:val="003F7C"/>
                <w:position w:val="-2"/>
                <w:sz w:val="23"/>
                <w:szCs w:val="23"/>
              </w:rPr>
              <w:t xml:space="preserve">                                                   </w:t>
            </w:r>
            <w:r>
              <w:rPr>
                <w:rFonts w:ascii="Microsoft YaHei" w:eastAsia="Microsoft YaHei" w:hAnsi="Microsoft YaHei" w:cs="Microsoft YaHei"/>
                <w:color w:val="003F7C"/>
                <w:spacing w:val="12"/>
                <w:position w:val="-2"/>
                <w:sz w:val="24"/>
                <w:szCs w:val="24"/>
              </w:rPr>
              <w:t>1</w:t>
            </w:r>
          </w:hyperlink>
        </w:p>
        <w:p>
          <w:pPr>
            <w:pStyle w:val="BodyText"/>
            <w:spacing w:line="298" w:lineRule="auto"/>
          </w:pPr>
        </w:p>
        <w:p>
          <w:pPr>
            <w:spacing w:before="103" w:line="220" w:lineRule="exact"/>
            <w:jc w:val="right"/>
            <w:rPr>
              <w:rFonts w:ascii="Microsoft YaHei" w:eastAsia="Microsoft YaHei" w:hAnsi="Microsoft YaHei" w:cs="Microsoft YaHei"/>
              <w:sz w:val="24"/>
              <w:szCs w:val="24"/>
            </w:rPr>
          </w:pPr>
          <w:hyperlink w:anchor="bookmark2" w:history="1">
            <w:r>
              <w:rPr>
                <w:rFonts w:ascii="Microsoft YaHei" w:eastAsia="Microsoft YaHei" w:hAnsi="Microsoft YaHei" w:cs="Microsoft YaHei"/>
                <w:color w:val="003F7C"/>
                <w:spacing w:val="22"/>
                <w:position w:val="-1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2.</w:t>
            </w:r>
            <w:r>
              <w:rPr>
                <w:rFonts w:ascii="Microsoft YaHei" w:eastAsia="Microsoft YaHei" w:hAnsi="Microsoft YaHei" w:cs="Microsoft YaHei"/>
                <w:color w:val="003F7C"/>
                <w:spacing w:val="76"/>
                <w:position w:val="-1"/>
                <w:sz w:val="23"/>
                <w:szCs w:val="23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003F7C"/>
                <w:spacing w:val="22"/>
                <w:position w:val="-1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⃞⃞⃞垷⃞⃞⃞⃞區</w:t>
            </w:r>
            <w:r>
              <w:rPr>
                <w:rFonts w:ascii="Arial Unicode MS" w:eastAsia="Arial Unicode MS" w:hAnsi="Arial Unicode MS" w:cs="Arial Unicode MS"/>
                <w:color w:val="003F7C"/>
                <w:position w:val="-1"/>
                <w:sz w:val="23"/>
                <w:szCs w:val="23"/>
              </w:rPr>
              <w:t xml:space="preserve">                                                                                                    </w:t>
            </w:r>
            <w:r>
              <w:rPr>
                <w:rFonts w:ascii="Microsoft YaHei" w:eastAsia="Microsoft YaHei" w:hAnsi="Microsoft YaHei" w:cs="Microsoft YaHei"/>
                <w:color w:val="003F7C"/>
                <w:spacing w:val="22"/>
                <w:position w:val="-1"/>
                <w:sz w:val="24"/>
                <w:szCs w:val="24"/>
              </w:rPr>
              <w:t>4</w:t>
            </w:r>
          </w:hyperlink>
        </w:p>
        <w:p>
          <w:pPr>
            <w:pStyle w:val="BodyText"/>
            <w:spacing w:line="298" w:lineRule="auto"/>
          </w:pPr>
        </w:p>
        <w:p>
          <w:pPr>
            <w:spacing w:before="103" w:line="220" w:lineRule="exact"/>
            <w:jc w:val="right"/>
            <w:rPr>
              <w:rFonts w:ascii="Microsoft YaHei" w:eastAsia="Microsoft YaHei" w:hAnsi="Microsoft YaHei" w:cs="Microsoft YaHei"/>
              <w:sz w:val="24"/>
              <w:szCs w:val="24"/>
            </w:rPr>
          </w:pPr>
          <w:hyperlink w:anchor="bookmark3" w:history="1">
            <w:r>
              <w:rPr>
                <w:rFonts w:ascii="Microsoft YaHei" w:eastAsia="Microsoft YaHei" w:hAnsi="Microsoft YaHei" w:cs="Microsoft YaHei"/>
                <w:color w:val="003F7C"/>
                <w:spacing w:val="27"/>
                <w:position w:val="-2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3.</w:t>
            </w:r>
            <w:r>
              <w:rPr>
                <w:rFonts w:ascii="Microsoft YaHei" w:eastAsia="Microsoft YaHei" w:hAnsi="Microsoft YaHei" w:cs="Microsoft YaHei"/>
                <w:color w:val="003F7C"/>
                <w:spacing w:val="4"/>
                <w:position w:val="-2"/>
                <w:sz w:val="23"/>
                <w:szCs w:val="23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color w:val="003F7C"/>
                <w:spacing w:val="27"/>
                <w:position w:val="-2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⃞㉁霉⃞:忹兜猰⃞</w:t>
            </w:r>
            <w:r>
              <w:rPr>
                <w:rFonts w:ascii="Arial Unicode MS" w:eastAsia="Arial Unicode MS" w:hAnsi="Arial Unicode MS" w:cs="Arial Unicode MS"/>
                <w:color w:val="003F7C"/>
                <w:spacing w:val="1"/>
                <w:position w:val="-2"/>
                <w:sz w:val="23"/>
                <w:szCs w:val="23"/>
              </w:rPr>
              <w:t xml:space="preserve">                            </w:t>
            </w:r>
            <w:r>
              <w:rPr>
                <w:rFonts w:ascii="Arial Unicode MS" w:eastAsia="Arial Unicode MS" w:hAnsi="Arial Unicode MS" w:cs="Arial Unicode MS"/>
                <w:color w:val="003F7C"/>
                <w:position w:val="-2"/>
                <w:sz w:val="23"/>
                <w:szCs w:val="23"/>
              </w:rPr>
              <w:t xml:space="preserve">                                                                        </w:t>
            </w:r>
            <w:r>
              <w:rPr>
                <w:rFonts w:ascii="Microsoft YaHei" w:eastAsia="Microsoft YaHei" w:hAnsi="Microsoft YaHei" w:cs="Microsoft YaHei"/>
                <w:color w:val="003F7C"/>
                <w:spacing w:val="27"/>
                <w:position w:val="-2"/>
                <w:sz w:val="24"/>
                <w:szCs w:val="24"/>
              </w:rPr>
              <w:t>8</w:t>
            </w:r>
          </w:hyperlink>
        </w:p>
        <w:p>
          <w:pPr>
            <w:pStyle w:val="BodyText"/>
            <w:spacing w:line="302" w:lineRule="auto"/>
          </w:pPr>
        </w:p>
        <w:p>
          <w:pPr>
            <w:spacing w:before="102" w:line="217" w:lineRule="exact"/>
            <w:jc w:val="right"/>
            <w:rPr>
              <w:rFonts w:ascii="Microsoft YaHei" w:eastAsia="Microsoft YaHei" w:hAnsi="Microsoft YaHei" w:cs="Microsoft YaHei"/>
              <w:sz w:val="24"/>
              <w:szCs w:val="24"/>
            </w:rPr>
          </w:pPr>
          <w:hyperlink w:anchor="bookmark4" w:history="1">
            <w:r>
              <w:rPr>
                <w:rFonts w:ascii="Microsoft YaHei" w:eastAsia="Microsoft YaHei" w:hAnsi="Microsoft YaHei" w:cs="Microsoft YaHei"/>
                <w:color w:val="003F7C"/>
                <w:spacing w:val="7"/>
                <w:position w:val="-2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4.</w:t>
            </w:r>
            <w:r>
              <w:rPr>
                <w:rFonts w:ascii="Microsoft YaHei" w:eastAsia="Microsoft YaHei" w:hAnsi="Microsoft YaHei" w:cs="Microsoft YaHei"/>
                <w:color w:val="003F7C"/>
                <w:spacing w:val="3"/>
                <w:position w:val="-2"/>
                <w:sz w:val="23"/>
                <w:szCs w:val="23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color w:val="003F7C"/>
                <w:spacing w:val="7"/>
                <w:position w:val="-2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⃞鷥霆⃞</w:t>
            </w:r>
            <w:r>
              <w:rPr>
                <w:rFonts w:ascii="Arial Unicode MS" w:eastAsia="Arial Unicode MS" w:hAnsi="Arial Unicode MS" w:cs="Arial Unicode MS"/>
                <w:color w:val="003F7C"/>
                <w:spacing w:val="1"/>
                <w:position w:val="-2"/>
                <w:sz w:val="23"/>
                <w:szCs w:val="23"/>
              </w:rPr>
              <w:t xml:space="preserve">                                  </w:t>
            </w:r>
            <w:r>
              <w:rPr>
                <w:rFonts w:ascii="Arial Unicode MS" w:eastAsia="Arial Unicode MS" w:hAnsi="Arial Unicode MS" w:cs="Arial Unicode MS"/>
                <w:color w:val="003F7C"/>
                <w:position w:val="-2"/>
                <w:sz w:val="23"/>
                <w:szCs w:val="23"/>
              </w:rPr>
              <w:t xml:space="preserve">                                                                                   </w:t>
            </w:r>
            <w:r>
              <w:rPr>
                <w:rFonts w:ascii="Microsoft YaHei" w:eastAsia="Microsoft YaHei" w:hAnsi="Microsoft YaHei" w:cs="Microsoft YaHei"/>
                <w:color w:val="003F7C"/>
                <w:spacing w:val="7"/>
                <w:position w:val="-2"/>
                <w:sz w:val="24"/>
                <w:szCs w:val="24"/>
              </w:rPr>
              <w:t>14</w:t>
            </w:r>
          </w:hyperlink>
        </w:p>
        <w:p>
          <w:pPr>
            <w:pStyle w:val="BodyText"/>
            <w:spacing w:line="301" w:lineRule="auto"/>
          </w:pPr>
        </w:p>
        <w:p>
          <w:pPr>
            <w:spacing w:before="104" w:line="218" w:lineRule="exact"/>
            <w:jc w:val="right"/>
            <w:rPr>
              <w:rFonts w:ascii="Microsoft YaHei" w:eastAsia="Microsoft YaHei" w:hAnsi="Microsoft YaHei" w:cs="Microsoft YaHei"/>
              <w:sz w:val="24"/>
              <w:szCs w:val="24"/>
            </w:rPr>
          </w:pPr>
          <w:hyperlink w:anchor="bookmark5" w:history="1">
            <w:r>
              <w:rPr>
                <w:rFonts w:ascii="Arial Unicode MS" w:eastAsia="Arial Unicode MS" w:hAnsi="Arial Unicode MS" w:cs="Arial Unicode MS"/>
                <w:color w:val="003F7C"/>
                <w:spacing w:val="16"/>
                <w:position w:val="-2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⃞✵昶⃞區</w:t>
            </w:r>
            <w:r>
              <w:rPr>
                <w:rFonts w:ascii="Arial Unicode MS" w:eastAsia="Arial Unicode MS" w:hAnsi="Arial Unicode MS" w:cs="Arial Unicode MS"/>
                <w:color w:val="003F7C"/>
                <w:spacing w:val="1"/>
                <w:position w:val="-2"/>
                <w:sz w:val="23"/>
                <w:szCs w:val="23"/>
              </w:rPr>
              <w:t xml:space="preserve">                                                         </w:t>
            </w:r>
            <w:r>
              <w:rPr>
                <w:rFonts w:ascii="Arial Unicode MS" w:eastAsia="Arial Unicode MS" w:hAnsi="Arial Unicode MS" w:cs="Arial Unicode MS"/>
                <w:color w:val="003F7C"/>
                <w:position w:val="-2"/>
                <w:sz w:val="23"/>
                <w:szCs w:val="23"/>
              </w:rPr>
              <w:t xml:space="preserve">                                                             </w:t>
            </w:r>
            <w:r>
              <w:rPr>
                <w:rFonts w:ascii="Microsoft YaHei" w:eastAsia="Microsoft YaHei" w:hAnsi="Microsoft YaHei" w:cs="Microsoft YaHei"/>
                <w:color w:val="003F7C"/>
                <w:spacing w:val="16"/>
                <w:position w:val="-2"/>
                <w:sz w:val="24"/>
                <w:szCs w:val="24"/>
              </w:rPr>
              <w:t>15</w:t>
            </w:r>
          </w:hyperlink>
        </w:p>
        <w:p>
          <w:pPr>
            <w:pStyle w:val="BodyText"/>
            <w:spacing w:line="298" w:lineRule="auto"/>
          </w:pPr>
        </w:p>
        <w:p>
          <w:pPr>
            <w:spacing w:before="104" w:line="222" w:lineRule="exact"/>
            <w:jc w:val="right"/>
            <w:rPr>
              <w:rFonts w:ascii="Microsoft YaHei" w:eastAsia="Microsoft YaHei" w:hAnsi="Microsoft YaHei" w:cs="Microsoft YaHei"/>
              <w:sz w:val="24"/>
              <w:szCs w:val="24"/>
            </w:rPr>
          </w:pPr>
          <w:hyperlink w:anchor="bookmark6" w:history="1">
            <w:r>
              <w:rPr>
                <w:rFonts w:ascii="Arial Unicode MS" w:eastAsia="Arial Unicode MS" w:hAnsi="Arial Unicode MS" w:cs="Arial Unicode MS"/>
                <w:color w:val="003F7C"/>
                <w:spacing w:val="11"/>
                <w:position w:val="-2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灇瑕⃞ㅐ霧剪⃞</w:t>
            </w:r>
            <w:r>
              <w:rPr>
                <w:rFonts w:ascii="Arial Unicode MS" w:eastAsia="Arial Unicode MS" w:hAnsi="Arial Unicode MS" w:cs="Arial Unicode MS"/>
                <w:color w:val="003F7C"/>
                <w:position w:val="-2"/>
                <w:sz w:val="23"/>
                <w:szCs w:val="23"/>
              </w:rPr>
              <w:t xml:space="preserve">                                                                                                               </w:t>
            </w:r>
            <w:r>
              <w:rPr>
                <w:rFonts w:ascii="Microsoft YaHei" w:eastAsia="Microsoft YaHei" w:hAnsi="Microsoft YaHei" w:cs="Microsoft YaHei"/>
                <w:color w:val="003F7C"/>
                <w:spacing w:val="11"/>
                <w:position w:val="-2"/>
                <w:sz w:val="24"/>
                <w:szCs w:val="24"/>
              </w:rPr>
              <w:t>16</w:t>
            </w:r>
          </w:hyperlink>
        </w:p>
        <w:p>
          <w:pPr>
            <w:pStyle w:val="BodyText"/>
            <w:spacing w:line="297" w:lineRule="auto"/>
          </w:pPr>
        </w:p>
        <w:p>
          <w:pPr>
            <w:spacing w:before="104" w:line="174" w:lineRule="auto"/>
            <w:jc w:val="right"/>
            <w:rPr>
              <w:rFonts w:ascii="Microsoft YaHei" w:eastAsia="Microsoft YaHei" w:hAnsi="Microsoft YaHei" w:cs="Microsoft YaHei"/>
              <w:sz w:val="24"/>
              <w:szCs w:val="24"/>
            </w:rPr>
          </w:pPr>
          <w:hyperlink w:anchor="bookmark7" w:history="1">
            <w:r>
              <w:rPr>
                <w:rFonts w:ascii="Microsoft YaHei" w:eastAsia="Microsoft YaHei" w:hAnsi="Microsoft YaHei" w:cs="Microsoft YaHei"/>
                <w:color w:val="003F7C"/>
                <w:spacing w:val="1"/>
                <w:sz w:val="23"/>
                <w:szCs w:val="23"/>
                <w14:textOutline w14:w="4572">
                  <w14:solidFill>
                    <w14:srgbClr w14:val="003F7C"/>
                  </w14:solidFill>
                  <w14:prstDash w14:val="solid"/>
                  <w14:miter w14:lim="10"/>
                </w14:textOutline>
              </w:rPr>
              <w:t>岁䖒㡮僈</w:t>
            </w:r>
            <w:r>
              <w:rPr>
                <w:rFonts w:ascii="Microsoft YaHei" w:eastAsia="Microsoft YaHei" w:hAnsi="Microsoft YaHei" w:cs="Microsoft YaHei"/>
                <w:color w:val="003F7C"/>
                <w:spacing w:val="1"/>
                <w:sz w:val="23"/>
                <w:szCs w:val="23"/>
              </w:rPr>
              <w:t xml:space="preserve">                                                                                      </w:t>
            </w:r>
            <w:r>
              <w:rPr>
                <w:rFonts w:ascii="Microsoft YaHei" w:eastAsia="Microsoft YaHei" w:hAnsi="Microsoft YaHei" w:cs="Microsoft YaHei"/>
                <w:color w:val="003F7C"/>
                <w:sz w:val="23"/>
                <w:szCs w:val="23"/>
              </w:rPr>
              <w:t xml:space="preserve">                            </w:t>
            </w:r>
            <w:r>
              <w:rPr>
                <w:rFonts w:ascii="Microsoft YaHei" w:eastAsia="Microsoft YaHei" w:hAnsi="Microsoft YaHei" w:cs="Microsoft YaHei"/>
                <w:color w:val="003F7C"/>
                <w:sz w:val="24"/>
                <w:szCs w:val="24"/>
              </w:rPr>
              <w:t>17</w:t>
            </w:r>
          </w:hyperlink>
        </w:p>
      </w:sdtContent>
    </w:sdt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headerReference w:type="default" r:id="rId7"/>
          <w:footerReference w:type="default" r:id="rId8"/>
          <w:pgSz w:w="11905" w:h="16839"/>
          <w:pgMar w:top="400" w:right="1425" w:bottom="400" w:left="1420" w:header="0" w:footer="0" w:gutter="0"/>
          <w:pgNumType w:start="2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56" w:line="199" w:lineRule="auto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2</w:t>
      </w:r>
      <w:r>
        <w:rPr>
          <w:rFonts w:ascii="Microsoft YaHei" w:eastAsia="Microsoft YaHei" w:hAnsi="Microsoft YaHei" w:cs="Microsoft YaHei"/>
          <w:color w:val="003F7C"/>
          <w:spacing w:val="2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|</w:t>
      </w:r>
      <w:r>
        <w:rPr>
          <w:rFonts w:ascii="Microsoft YaHei" w:eastAsia="Microsoft YaHei" w:hAnsi="Microsoft YaHei" w:cs="Microsoft YaHei"/>
          <w:color w:val="003F7C"/>
          <w:spacing w:val="11"/>
          <w:sz w:val="13"/>
          <w:szCs w:val="13"/>
        </w:rPr>
        <w:t xml:space="preserve">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企业大模型市场厂商评估-滴普科技</w:t>
      </w:r>
    </w:p>
    <w:p>
      <w:pPr>
        <w:spacing w:line="199" w:lineRule="auto"/>
        <w:rPr>
          <w:rFonts w:ascii="Microsoft YaHei" w:eastAsia="Microsoft YaHei" w:hAnsi="Microsoft YaHei" w:cs="Microsoft YaHei"/>
          <w:sz w:val="13"/>
          <w:szCs w:val="13"/>
        </w:rPr>
        <w:sectPr>
          <w:headerReference w:type="default" r:id="rId9"/>
          <w:footerReference w:type="default" r:id="rId10"/>
          <w:type w:val="nextPage"/>
          <w:pgSz w:w="11905" w:h="16839"/>
          <w:pgMar w:top="400" w:right="1425" w:bottom="400" w:left="1420" w:header="0" w:footer="0" w:gutter="0"/>
          <w:pgNumType w:start="3"/>
          <w:cols w:space="708"/>
          <w:titlePg w:val="0"/>
        </w:sectPr>
      </w:pPr>
    </w:p>
    <w:p>
      <w:pPr>
        <w:pStyle w:val="BodyText"/>
        <w:spacing w:line="242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20.35pt;height:46.4pt;margin-top:458.42pt;margin-left:304.28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before="22" w:line="177" w:lineRule="auto"/>
                    <w:ind w:left="20"/>
                    <w:rPr>
                      <w:rFonts w:ascii="Microsoft YaHei" w:eastAsia="Microsoft YaHei" w:hAnsi="Microsoft YaHei" w:cs="Microsoft YaHei"/>
                      <w:sz w:val="70"/>
                      <w:szCs w:val="7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F7C"/>
                      <w:spacing w:val="27"/>
                      <w:sz w:val="70"/>
                      <w:szCs w:val="70"/>
                      <w14:textOutline w14:w="10668">
                        <w14:solidFill>
                          <w14:srgbClr w14:val="003F7C"/>
                        </w14:solidFill>
                        <w14:prstDash w14:val="solid"/>
                        <w14:miter w14:lim="10"/>
                      </w14:textOutline>
                    </w:rPr>
                    <w:t>研究范围定义</w:t>
                  </w:r>
                </w:p>
              </w:txbxContent>
            </v:textbox>
          </v:shape>
        </w:pic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11"/>
          <w:footerReference w:type="default" r:id="rId12"/>
          <w:pgSz w:w="11905" w:h="16839"/>
          <w:pgMar w:top="400" w:right="22" w:bottom="400" w:left="0" w:header="0" w:footer="0" w:gutter="0"/>
          <w:pgNumType w:start="4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56" w:line="199" w:lineRule="auto"/>
        <w:ind w:left="1420"/>
        <w:rPr>
          <w:rFonts w:ascii="Microsoft YaHei" w:eastAsia="Microsoft YaHei" w:hAnsi="Microsoft YaHei" w:cs="Microsoft YaHei"/>
          <w:sz w:val="13"/>
          <w:szCs w:val="1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-10001995</wp:posOffset>
            </wp:positionV>
            <wp:extent cx="7545069" cy="1062789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45069" cy="10627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3</w:t>
      </w:r>
      <w:r>
        <w:rPr>
          <w:rFonts w:ascii="Microsoft YaHei" w:eastAsia="Microsoft YaHei" w:hAnsi="Microsoft YaHei" w:cs="Microsoft YaHei"/>
          <w:color w:val="003F7C"/>
          <w:spacing w:val="3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|</w:t>
      </w:r>
      <w:r>
        <w:rPr>
          <w:rFonts w:ascii="Microsoft YaHei" w:eastAsia="Microsoft YaHei" w:hAnsi="Microsoft YaHei" w:cs="Microsoft YaHei"/>
          <w:color w:val="003F7C"/>
          <w:spacing w:val="10"/>
          <w:w w:val="101"/>
          <w:sz w:val="13"/>
          <w:szCs w:val="13"/>
        </w:rPr>
        <w:t xml:space="preserve">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企业大模型市场厂商评估-滴普科技</w:t>
      </w:r>
    </w:p>
    <w:p>
      <w:pPr>
        <w:spacing w:line="199" w:lineRule="auto"/>
        <w:rPr>
          <w:rFonts w:ascii="Microsoft YaHei" w:eastAsia="Microsoft YaHei" w:hAnsi="Microsoft YaHei" w:cs="Microsoft YaHei"/>
          <w:sz w:val="13"/>
          <w:szCs w:val="13"/>
        </w:rPr>
        <w:sectPr>
          <w:headerReference w:type="default" r:id="rId14"/>
          <w:footerReference w:type="default" r:id="rId15"/>
          <w:type w:val="nextPage"/>
          <w:pgSz w:w="11905" w:h="16839"/>
          <w:pgMar w:top="400" w:right="22" w:bottom="400" w:left="0" w:header="0" w:footer="0" w:gutter="0"/>
          <w:pgNumType w:start="5"/>
          <w:cols w:space="708"/>
          <w:titlePg w:val="0"/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spacing w:before="133" w:line="179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bookmarkStart w:id="0" w:name="bookmark1"/>
      <w:bookmarkEnd w:id="0"/>
      <w:r>
        <w:rPr>
          <w:rFonts w:ascii="Microsoft YaHei" w:eastAsia="Microsoft YaHei" w:hAnsi="Microsoft YaHei" w:cs="Microsoft YaHei"/>
          <w:color w:val="003F7C"/>
          <w:spacing w:val="8"/>
          <w:sz w:val="31"/>
          <w:szCs w:val="31"/>
          <w14:textOutline w14:w="5608">
            <w14:solidFill>
              <w14:srgbClr w14:val="003F7C"/>
            </w14:solidFill>
            <w14:prstDash w14:val="solid"/>
            <w14:miter w14:lim="10"/>
          </w14:textOutline>
        </w:rPr>
        <w:t>1.</w:t>
      </w:r>
      <w:r>
        <w:rPr>
          <w:rFonts w:ascii="Microsoft YaHei" w:eastAsia="Microsoft YaHei" w:hAnsi="Microsoft YaHei" w:cs="Microsoft YaHei"/>
          <w:color w:val="003F7C"/>
          <w:spacing w:val="9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3F7C"/>
          <w:spacing w:val="8"/>
          <w:sz w:val="31"/>
          <w:szCs w:val="31"/>
          <w14:textOutline w14:w="5608">
            <w14:solidFill>
              <w14:srgbClr w14:val="003F7C"/>
            </w14:solidFill>
            <w14:prstDash w14:val="solid"/>
            <w14:miter w14:lim="10"/>
          </w14:textOutline>
        </w:rPr>
        <w:t>研究范围定义</w:t>
      </w:r>
    </w:p>
    <w:p>
      <w:pPr>
        <w:pStyle w:val="BodyText"/>
        <w:spacing w:line="262" w:lineRule="auto"/>
      </w:pPr>
    </w:p>
    <w:p>
      <w:pPr>
        <w:spacing w:before="90" w:line="312" w:lineRule="auto"/>
        <w:ind w:left="3" w:hanging="1"/>
        <w:jc w:val="both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大模型是指通过在海量数据上依托强大算力资源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>进行训练后能完成大量不同下游任务的模型。  2023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年以来,</w:t>
      </w:r>
      <w:r>
        <w:rPr>
          <w:rFonts w:ascii="Microsoft YaHei" w:eastAsia="Microsoft YaHei" w:hAnsi="Microsoft YaHei" w:cs="Microsoft YaHei"/>
          <w:spacing w:val="5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ChatGPT 引爆全球大模型市场。国内众多大模型先后公测</w:t>
      </w:r>
      <w:r>
        <w:rPr>
          <w:rFonts w:ascii="Microsoft YaHei" w:eastAsia="Microsoft YaHei" w:hAnsi="Microsoft YaHei" w:cs="Microsoft YaHei"/>
          <w:spacing w:val="-3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,</w:t>
      </w:r>
      <w:r>
        <w:rPr>
          <w:rFonts w:ascii="Microsoft YaHei" w:eastAsia="Microsoft YaHei" w:hAnsi="Microsoft YaHei" w:cs="Microsoft YaHei"/>
          <w:spacing w:val="49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众多互联网领军者投身大模型</w:t>
      </w:r>
    </w:p>
    <w:p>
      <w:pPr>
        <w:spacing w:line="180" w:lineRule="auto"/>
        <w:ind w:left="3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事业,使得大模型市场进入“百团大战”</w:t>
      </w:r>
      <w:r>
        <w:rPr>
          <w:rFonts w:ascii="Microsoft YaHei" w:eastAsia="Microsoft YaHei" w:hAnsi="Microsoft YaHei" w:cs="Microsoft YaHei"/>
          <w:spacing w:val="-4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阶段</w:t>
      </w:r>
      <w:r>
        <w:rPr>
          <w:rFonts w:ascii="Microsoft YaHei" w:eastAsia="Microsoft YaHei" w:hAnsi="Microsoft YaHei" w:cs="Microsoft YaHei"/>
          <w:spacing w:val="-3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,</w:t>
      </w:r>
      <w:r>
        <w:rPr>
          <w:rFonts w:ascii="Microsoft YaHei" w:eastAsia="Microsoft YaHei" w:hAnsi="Microsoft YaHei" w:cs="Microsoft YaHei"/>
          <w:spacing w:val="58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2023 年成</w:t>
      </w:r>
      <w:r>
        <w:rPr>
          <w:rFonts w:ascii="Microsoft YaHei" w:eastAsia="Microsoft YaHei" w:hAnsi="Microsoft YaHei" w:cs="Microsoft YaHei"/>
          <w:spacing w:val="2"/>
          <w:sz w:val="21"/>
          <w:szCs w:val="21"/>
        </w:rPr>
        <w:t>为公认的“大模型元年”。</w:t>
      </w:r>
    </w:p>
    <w:p>
      <w:pPr>
        <w:pStyle w:val="BodyText"/>
        <w:spacing w:line="264" w:lineRule="auto"/>
      </w:pPr>
    </w:p>
    <w:p>
      <w:pPr>
        <w:spacing w:before="90" w:line="311" w:lineRule="auto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企业用户方面,</w:t>
      </w:r>
      <w:r>
        <w:rPr>
          <w:rFonts w:ascii="Microsoft YaHei" w:eastAsia="Microsoft YaHei" w:hAnsi="Microsoft YaHei" w:cs="Microsoft YaHei"/>
          <w:spacing w:val="4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大模型的应用速度之快超乎想象。  2023 年初,</w:t>
      </w:r>
      <w:r>
        <w:rPr>
          <w:rFonts w:ascii="Microsoft YaHei" w:eastAsia="Microsoft YaHei" w:hAnsi="Microsoft YaHei" w:cs="Microsoft YaHei"/>
          <w:spacing w:val="37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企业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管理层对大模型的话题还停留在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1"/>
          <w:szCs w:val="21"/>
        </w:rPr>
        <w:t>大模型是什么,是不是概念炒作。短短半年,大模型已经从饭后谈资走向落地应用。大企业管理层</w:t>
      </w:r>
      <w:r>
        <w:rPr>
          <w:rFonts w:ascii="Microsoft YaHei" w:eastAsia="Microsoft YaHei" w:hAnsi="Microsoft YaHei" w:cs="Microsoft YaHei"/>
          <w:spacing w:val="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1"/>
          <w:szCs w:val="21"/>
        </w:rPr>
        <w:t>们希望了解到大模型能为企业发展带来哪些变革,大模型的应用路径是什么,如何提升大模型的投</w:t>
      </w:r>
      <w:r>
        <w:rPr>
          <w:rFonts w:ascii="Microsoft YaHei" w:eastAsia="Microsoft YaHei" w:hAnsi="Microsoft YaHei" w:cs="Microsoft YaHei"/>
          <w:spacing w:val="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1"/>
          <w:szCs w:val="21"/>
        </w:rPr>
        <w:t>资回报率,以及应该为拥抱大模型做哪些准备。而且,大模型吸引的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 xml:space="preserve">人群也愈发广泛,不仅吸引 </w:t>
      </w:r>
      <w:r>
        <w:rPr>
          <w:rFonts w:ascii="Microsoft YaHei" w:eastAsia="Microsoft YaHei" w:hAnsi="Microsoft YaHei" w:cs="Microsoft YaHei"/>
          <w:sz w:val="21"/>
          <w:szCs w:val="21"/>
        </w:rPr>
        <w:t>CIO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、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CTO 等技术管理者的关注,</w:t>
      </w:r>
      <w:r>
        <w:rPr>
          <w:rFonts w:ascii="Microsoft YaHei" w:eastAsia="Microsoft YaHei" w:hAnsi="Microsoft YaHei" w:cs="Microsoft YaHei"/>
          <w:spacing w:val="32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CEO、CMO 等非技术类管理者同样期待大模型在业务中发挥价值。这些</w:t>
      </w:r>
    </w:p>
    <w:p>
      <w:pPr>
        <w:spacing w:before="1" w:line="180" w:lineRule="auto"/>
        <w:ind w:left="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转变表明,大模型的变革之力正日益得到产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业界的认可。</w:t>
      </w:r>
    </w:p>
    <w:p>
      <w:pPr>
        <w:pStyle w:val="BodyText"/>
        <w:spacing w:line="260" w:lineRule="auto"/>
      </w:pPr>
    </w:p>
    <w:p>
      <w:pPr>
        <w:spacing w:before="91" w:line="313" w:lineRule="auto"/>
        <w:ind w:left="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通过对市场规模数据的分析,</w:t>
      </w:r>
      <w:r>
        <w:rPr>
          <w:rFonts w:ascii="Microsoft YaHei" w:eastAsia="Microsoft YaHei" w:hAnsi="Microsoft YaHei" w:cs="Microsoft YaHei"/>
          <w:spacing w:val="-1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能较为直观地体现出企业对大模型应用落地的热情。爱分析数据显示</w:t>
      </w:r>
      <w:r>
        <w:rPr>
          <w:rFonts w:ascii="Microsoft YaHei" w:eastAsia="Microsoft YaHei" w:hAnsi="Microsoft YaHei" w:cs="Microsoft YaHei"/>
          <w:spacing w:val="-3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,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21"/>
          <w:szCs w:val="21"/>
        </w:rPr>
        <w:t>2023 年中国大模型市场规模约为 5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0 亿元(人民币,</w:t>
      </w:r>
      <w:r>
        <w:rPr>
          <w:rFonts w:ascii="Microsoft YaHei" w:eastAsia="Microsoft YaHei" w:hAnsi="Microsoft YaHei" w:cs="Microsoft YaHei"/>
          <w:spacing w:val="47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下同)  。2023 年,</w:t>
      </w:r>
      <w:r>
        <w:rPr>
          <w:rFonts w:ascii="Microsoft YaHei" w:eastAsia="Microsoft YaHei" w:hAnsi="Microsoft YaHei" w:cs="Microsoft YaHei"/>
          <w:spacing w:val="4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企业在大模型方面的采购特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点是论证多、采购少,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各企业计划在 2024 年开始</w:t>
      </w:r>
      <w:r>
        <w:rPr>
          <w:rFonts w:ascii="Microsoft YaHei" w:eastAsia="Microsoft YaHei" w:hAnsi="Microsoft YaHei" w:cs="Microsoft YaHei"/>
          <w:sz w:val="21"/>
          <w:szCs w:val="21"/>
        </w:rPr>
        <w:t>大量释放大模型预算,</w:t>
      </w:r>
      <w:r>
        <w:rPr>
          <w:rFonts w:ascii="Microsoft YaHei" w:eastAsia="Microsoft YaHei" w:hAnsi="Microsoft YaHei" w:cs="Microsoft YaHei"/>
          <w:spacing w:val="30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因此市场规模将大幅增长,</w:t>
      </w:r>
    </w:p>
    <w:p>
      <w:pPr>
        <w:spacing w:line="174" w:lineRule="auto"/>
        <w:ind w:left="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6"/>
          <w:sz w:val="21"/>
          <w:szCs w:val="21"/>
        </w:rPr>
        <w:t>预计达到 120 亿元。</w:t>
      </w:r>
    </w:p>
    <w:p>
      <w:pPr>
        <w:pStyle w:val="BodyText"/>
        <w:spacing w:line="270" w:lineRule="auto"/>
      </w:pPr>
    </w:p>
    <w:p>
      <w:pPr>
        <w:spacing w:before="91" w:line="311" w:lineRule="auto"/>
        <w:ind w:firstLine="2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爱分析认为,</w:t>
      </w:r>
      <w:r>
        <w:rPr>
          <w:rFonts w:ascii="Microsoft YaHei" w:eastAsia="Microsoft YaHei" w:hAnsi="Microsoft YaHei" w:cs="Microsoft YaHei"/>
          <w:spacing w:val="6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大模型市场从技术架构角度可以划分为基础层、模型层、中间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层和应用层。  基础层是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指为大模型训练推理而提供的基础环境</w:t>
      </w:r>
      <w:r>
        <w:rPr>
          <w:rFonts w:ascii="Microsoft YaHei" w:eastAsia="Microsoft YaHei" w:hAnsi="Microsoft YaHei" w:cs="Microsoft YaHei"/>
          <w:spacing w:val="-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,</w:t>
      </w:r>
      <w:r>
        <w:rPr>
          <w:rFonts w:ascii="Microsoft YaHei" w:eastAsia="Microsoft YaHei" w:hAnsi="Microsoft YaHei" w:cs="Microsoft YaHei"/>
          <w:spacing w:val="5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 xml:space="preserve">包括湖仓一体、向量数据库、智算中心、  企业大模型等。 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模型层是指基础大模型以及微调后的大模型</w:t>
      </w:r>
      <w:r>
        <w:rPr>
          <w:rFonts w:ascii="Microsoft YaHei" w:eastAsia="Microsoft YaHei" w:hAnsi="Microsoft YaHei" w:cs="Microsoft YaHei"/>
          <w:spacing w:val="-3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,</w:t>
      </w:r>
      <w:r>
        <w:rPr>
          <w:rFonts w:ascii="Microsoft YaHei" w:eastAsia="Microsoft YaHei" w:hAnsi="Microsoft YaHei" w:cs="Microsoft YaHei"/>
          <w:spacing w:val="58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包括通用大模型、行业大模型、领域大模型和企业大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模型。</w:t>
      </w:r>
      <w:r>
        <w:rPr>
          <w:rFonts w:ascii="Microsoft YaHei" w:eastAsia="Microsoft YaHei" w:hAnsi="Microsoft YaHei" w:cs="Microsoft YaHei"/>
          <w:spacing w:val="-3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中间层是模型层和应用层之间的“桥梁”</w:t>
      </w:r>
      <w:r>
        <w:rPr>
          <w:rFonts w:ascii="Microsoft YaHei" w:eastAsia="Microsoft YaHei" w:hAnsi="Microsoft YaHei" w:cs="Microsoft YaHei"/>
          <w:spacing w:val="-3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,</w:t>
      </w:r>
      <w:r>
        <w:rPr>
          <w:rFonts w:ascii="Microsoft YaHei" w:eastAsia="Microsoft YaHei" w:hAnsi="Microsoft YaHei" w:cs="Microsoft YaHei"/>
          <w:spacing w:val="6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有利于大模型在各种实际场景快速落地,包括大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1"/>
          <w:szCs w:val="21"/>
        </w:rPr>
        <w:t>模型</w:t>
      </w:r>
      <w:r>
        <w:rPr>
          <w:rFonts w:ascii="Microsoft YaHei" w:eastAsia="Microsoft YaHei" w:hAnsi="Microsoft YaHei" w:cs="Microsoft YaHei"/>
          <w:spacing w:val="-6"/>
          <w:sz w:val="21"/>
          <w:szCs w:val="21"/>
        </w:rPr>
        <w:t>应用开发工具、</w:t>
      </w:r>
      <w:r>
        <w:rPr>
          <w:rFonts w:ascii="Microsoft YaHei" w:eastAsia="Microsoft YaHei" w:hAnsi="Microsoft YaHei" w:cs="Microsoft YaHei"/>
          <w:spacing w:val="17"/>
          <w:w w:val="101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21"/>
          <w:szCs w:val="21"/>
        </w:rPr>
        <w:t>LLMOps</w:t>
      </w:r>
      <w:r>
        <w:rPr>
          <w:rFonts w:ascii="Microsoft YaHei" w:eastAsia="Microsoft YaHei" w:hAnsi="Microsoft YaHei" w:cs="Microsoft YaHei"/>
          <w:spacing w:val="46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1"/>
          <w:szCs w:val="21"/>
        </w:rPr>
        <w:t>工具等。</w:t>
      </w:r>
      <w:r>
        <w:rPr>
          <w:rFonts w:ascii="Microsoft YaHei" w:eastAsia="Microsoft YaHei" w:hAnsi="Microsoft YaHei" w:cs="Microsoft YaHei"/>
          <w:spacing w:val="1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1"/>
          <w:szCs w:val="21"/>
        </w:rPr>
        <w:t>应用层是指大模型应用和解决</w:t>
      </w:r>
      <w:r>
        <w:rPr>
          <w:rFonts w:ascii="Microsoft YaHei" w:eastAsia="Microsoft YaHei" w:hAnsi="Microsoft YaHei" w:cs="Microsoft YaHei"/>
          <w:spacing w:val="-7"/>
          <w:sz w:val="21"/>
          <w:szCs w:val="21"/>
        </w:rPr>
        <w:t>方案</w:t>
      </w:r>
      <w:r>
        <w:rPr>
          <w:rFonts w:ascii="Microsoft YaHei" w:eastAsia="Microsoft YaHei" w:hAnsi="Microsoft YaHei" w:cs="Microsoft YaHei"/>
          <w:spacing w:val="-3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1"/>
          <w:szCs w:val="21"/>
        </w:rPr>
        <w:t>,</w:t>
      </w:r>
      <w:r>
        <w:rPr>
          <w:rFonts w:ascii="Microsoft YaHei" w:eastAsia="Microsoft YaHei" w:hAnsi="Microsoft YaHei" w:cs="Microsoft YaHei"/>
          <w:spacing w:val="5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1"/>
          <w:szCs w:val="21"/>
        </w:rPr>
        <w:t>包括知识库问答、智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能</w:t>
      </w:r>
    </w:p>
    <w:p>
      <w:pPr>
        <w:spacing w:before="2" w:line="175" w:lineRule="auto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客服、数据分析等。大模型市场划分详见下图。</w:t>
      </w: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headerReference w:type="default" r:id="rId16"/>
          <w:footerReference w:type="default" r:id="rId17"/>
          <w:pgSz w:w="11905" w:h="16839"/>
          <w:pgMar w:top="400" w:right="1416" w:bottom="400" w:left="1423" w:header="0" w:footer="0" w:gutter="0"/>
          <w:pgNumType w:start="6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55" w:line="199" w:lineRule="auto"/>
        <w:ind w:left="4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1</w:t>
      </w:r>
      <w:r>
        <w:rPr>
          <w:rFonts w:ascii="Microsoft YaHei" w:eastAsia="Microsoft YaHei" w:hAnsi="Microsoft YaHei" w:cs="Microsoft YaHei"/>
          <w:color w:val="003F7C"/>
          <w:spacing w:val="1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|</w:t>
      </w:r>
      <w:r>
        <w:rPr>
          <w:rFonts w:ascii="Microsoft YaHei" w:eastAsia="Microsoft YaHei" w:hAnsi="Microsoft YaHei" w:cs="Microsoft YaHei"/>
          <w:color w:val="003F7C"/>
          <w:spacing w:val="10"/>
          <w:sz w:val="13"/>
          <w:szCs w:val="13"/>
        </w:rPr>
        <w:t xml:space="preserve">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企业大模型市场厂商评估-滴普科技</w:t>
      </w:r>
    </w:p>
    <w:p>
      <w:pPr>
        <w:spacing w:line="199" w:lineRule="auto"/>
        <w:rPr>
          <w:rFonts w:ascii="Microsoft YaHei" w:eastAsia="Microsoft YaHei" w:hAnsi="Microsoft YaHei" w:cs="Microsoft YaHei"/>
          <w:sz w:val="13"/>
          <w:szCs w:val="13"/>
        </w:rPr>
        <w:sectPr>
          <w:headerReference w:type="default" r:id="rId18"/>
          <w:footerReference w:type="default" r:id="rId19"/>
          <w:type w:val="nextPage"/>
          <w:pgSz w:w="11905" w:h="16839"/>
          <w:pgMar w:top="400" w:right="1416" w:bottom="400" w:left="1423" w:header="0" w:footer="0" w:gutter="0"/>
          <w:pgNumType w:start="7"/>
          <w:cols w:space="708"/>
          <w:titlePg w:val="0"/>
        </w:sectPr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spacing w:line="10341" w:lineRule="exact"/>
      </w:pPr>
      <w:r>
        <w:rPr>
          <w:position w:val="-206"/>
        </w:rPr>
        <w:drawing>
          <wp:inline distT="0" distB="0" distL="0" distR="0">
            <wp:extent cx="5759174" cy="656653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59174" cy="6566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8" w:lineRule="auto"/>
      </w:pPr>
    </w:p>
    <w:p>
      <w:pPr>
        <w:spacing w:before="90" w:line="466" w:lineRule="exact"/>
        <w:jc w:val="right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8"/>
          <w:position w:val="20"/>
          <w:sz w:val="21"/>
          <w:szCs w:val="21"/>
        </w:rPr>
        <w:t>本评估报告聚焦企业大模型市场,爱分析选选出具备成熟解决方案和成功案例的厂商,供企业做厂</w:t>
      </w:r>
    </w:p>
    <w:p>
      <w:pPr>
        <w:spacing w:line="180" w:lineRule="auto"/>
        <w:ind w:left="1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z w:val="21"/>
          <w:szCs w:val="21"/>
        </w:rPr>
        <w:t>商选型时提供参考。同时, 在该市场下, 爱分析重点选取了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企业大模型厂商滴普科技进行能力评估。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headerReference w:type="default" r:id="rId21"/>
          <w:footerReference w:type="default" r:id="rId22"/>
          <w:pgSz w:w="11905" w:h="16839"/>
          <w:pgMar w:top="400" w:right="1416" w:bottom="400" w:left="1417" w:header="0" w:footer="0" w:gutter="0"/>
          <w:pgNumType w:start="8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56" w:line="199" w:lineRule="auto"/>
        <w:ind w:left="3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2</w:t>
      </w:r>
      <w:r>
        <w:rPr>
          <w:rFonts w:ascii="Microsoft YaHei" w:eastAsia="Microsoft YaHei" w:hAnsi="Microsoft YaHei" w:cs="Microsoft YaHei"/>
          <w:color w:val="003F7C"/>
          <w:spacing w:val="2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|</w:t>
      </w:r>
      <w:r>
        <w:rPr>
          <w:rFonts w:ascii="Microsoft YaHei" w:eastAsia="Microsoft YaHei" w:hAnsi="Microsoft YaHei" w:cs="Microsoft YaHei"/>
          <w:color w:val="003F7C"/>
          <w:spacing w:val="11"/>
          <w:sz w:val="13"/>
          <w:szCs w:val="13"/>
        </w:rPr>
        <w:t xml:space="preserve">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企业大模型市场厂商评估-滴普科技</w:t>
      </w:r>
    </w:p>
    <w:p>
      <w:pPr>
        <w:spacing w:line="199" w:lineRule="auto"/>
        <w:rPr>
          <w:rFonts w:ascii="Microsoft YaHei" w:eastAsia="Microsoft YaHei" w:hAnsi="Microsoft YaHei" w:cs="Microsoft YaHei"/>
          <w:sz w:val="13"/>
          <w:szCs w:val="13"/>
        </w:rPr>
        <w:sectPr>
          <w:headerReference w:type="default" r:id="rId23"/>
          <w:footerReference w:type="default" r:id="rId24"/>
          <w:type w:val="nextPage"/>
          <w:pgSz w:w="11905" w:h="16839"/>
          <w:pgMar w:top="400" w:right="1416" w:bottom="400" w:left="1417" w:header="0" w:footer="0" w:gutter="0"/>
          <w:pgNumType w:start="9"/>
          <w:cols w:space="708"/>
          <w:titlePg w:val="0"/>
        </w:sectPr>
      </w:pPr>
    </w:p>
    <w:p>
      <w:pPr>
        <w:pStyle w:val="BodyText"/>
        <w:spacing w:line="242" w:lineRule="auto"/>
      </w:pPr>
      <w:r>
        <w:pict>
          <v:shape id="_x0000_s1026" type="#_x0000_t202" style="width:330.45pt;height:46.4pt;margin-top:458.35pt;margin-left:194.15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22" w:line="177" w:lineRule="auto"/>
                    <w:ind w:left="20"/>
                    <w:rPr>
                      <w:rFonts w:ascii="Microsoft YaHei" w:eastAsia="Microsoft YaHei" w:hAnsi="Microsoft YaHei" w:cs="Microsoft YaHei"/>
                      <w:sz w:val="70"/>
                      <w:szCs w:val="7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F7C"/>
                      <w:spacing w:val="29"/>
                      <w:sz w:val="70"/>
                      <w:szCs w:val="70"/>
                      <w14:textOutline w14:w="10668">
                        <w14:solidFill>
                          <w14:srgbClr w14:val="003F7C"/>
                        </w14:solidFill>
                        <w14:prstDash w14:val="solid"/>
                        <w14:miter w14:lim="10"/>
                      </w14:textOutline>
                    </w:rPr>
                    <w:t>企业大模型市场分析</w:t>
                  </w:r>
                </w:p>
              </w:txbxContent>
            </v:textbox>
          </v:shape>
        </w:pic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25"/>
          <w:footerReference w:type="default" r:id="rId26"/>
          <w:pgSz w:w="11905" w:h="16839"/>
          <w:pgMar w:top="400" w:right="9" w:bottom="400" w:left="20" w:header="0" w:footer="0" w:gutter="0"/>
          <w:pgNumType w:start="10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56" w:line="199" w:lineRule="auto"/>
        <w:ind w:left="1400"/>
        <w:rPr>
          <w:rFonts w:ascii="Microsoft YaHei" w:eastAsia="Microsoft YaHei" w:hAnsi="Microsoft YaHei" w:cs="Microsoft YaHei"/>
          <w:sz w:val="13"/>
          <w:szCs w:val="13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-10006441</wp:posOffset>
            </wp:positionV>
            <wp:extent cx="7540625" cy="10585993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5859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3</w:t>
      </w:r>
      <w:r>
        <w:rPr>
          <w:rFonts w:ascii="Microsoft YaHei" w:eastAsia="Microsoft YaHei" w:hAnsi="Microsoft YaHei" w:cs="Microsoft YaHei"/>
          <w:color w:val="003F7C"/>
          <w:spacing w:val="3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|</w:t>
      </w:r>
      <w:r>
        <w:rPr>
          <w:rFonts w:ascii="Microsoft YaHei" w:eastAsia="Microsoft YaHei" w:hAnsi="Microsoft YaHei" w:cs="Microsoft YaHei"/>
          <w:color w:val="003F7C"/>
          <w:spacing w:val="10"/>
          <w:w w:val="101"/>
          <w:sz w:val="13"/>
          <w:szCs w:val="13"/>
        </w:rPr>
        <w:t xml:space="preserve">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企业大模型市场厂商评估-滴普科技</w:t>
      </w:r>
    </w:p>
    <w:p>
      <w:pPr>
        <w:spacing w:line="199" w:lineRule="auto"/>
        <w:rPr>
          <w:rFonts w:ascii="Microsoft YaHei" w:eastAsia="Microsoft YaHei" w:hAnsi="Microsoft YaHei" w:cs="Microsoft YaHei"/>
          <w:sz w:val="13"/>
          <w:szCs w:val="13"/>
        </w:rPr>
        <w:sectPr>
          <w:headerReference w:type="default" r:id="rId28"/>
          <w:footerReference w:type="default" r:id="rId29"/>
          <w:type w:val="nextPage"/>
          <w:pgSz w:w="11905" w:h="16839"/>
          <w:pgMar w:top="400" w:right="9" w:bottom="400" w:left="20" w:header="0" w:footer="0" w:gutter="0"/>
          <w:pgNumType w:start="11"/>
          <w:cols w:space="708"/>
          <w:titlePg w:val="0"/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spacing w:before="133" w:line="179" w:lineRule="auto"/>
        <w:ind w:left="10"/>
        <w:rPr>
          <w:rFonts w:ascii="Microsoft YaHei" w:eastAsia="Microsoft YaHei" w:hAnsi="Microsoft YaHei" w:cs="Microsoft YaHei"/>
          <w:sz w:val="31"/>
          <w:szCs w:val="31"/>
        </w:rPr>
      </w:pPr>
      <w:bookmarkStart w:id="1" w:name="bookmark2"/>
      <w:bookmarkEnd w:id="1"/>
      <w:r>
        <w:rPr>
          <w:rFonts w:ascii="Microsoft YaHei" w:eastAsia="Microsoft YaHei" w:hAnsi="Microsoft YaHei" w:cs="Microsoft YaHei"/>
          <w:color w:val="003F7C"/>
          <w:spacing w:val="12"/>
          <w:sz w:val="31"/>
          <w:szCs w:val="31"/>
          <w14:textOutline w14:w="5608">
            <w14:solidFill>
              <w14:srgbClr w14:val="003F7C"/>
            </w14:solidFill>
            <w14:prstDash w14:val="solid"/>
            <w14:miter w14:lim="10"/>
          </w14:textOutline>
        </w:rPr>
        <w:t>2.</w:t>
      </w:r>
      <w:r>
        <w:rPr>
          <w:rFonts w:ascii="Microsoft YaHei" w:eastAsia="Microsoft YaHei" w:hAnsi="Microsoft YaHei" w:cs="Microsoft YaHei"/>
          <w:color w:val="003F7C"/>
          <w:spacing w:val="9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3F7C"/>
          <w:spacing w:val="12"/>
          <w:sz w:val="31"/>
          <w:szCs w:val="31"/>
          <w14:textOutline w14:w="5608">
            <w14:solidFill>
              <w14:srgbClr w14:val="003F7C"/>
            </w14:solidFill>
            <w14:prstDash w14:val="solid"/>
            <w14:miter w14:lim="10"/>
          </w14:textOutline>
        </w:rPr>
        <w:t>企业大模型市场分析</w:t>
      </w:r>
    </w:p>
    <w:p>
      <w:pPr>
        <w:pStyle w:val="BodyText"/>
        <w:spacing w:line="268" w:lineRule="auto"/>
      </w:pPr>
    </w:p>
    <w:p>
      <w:pPr>
        <w:spacing w:before="86" w:line="181" w:lineRule="auto"/>
        <w:ind w:left="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市场定义:</w:t>
      </w:r>
    </w:p>
    <w:p>
      <w:pPr>
        <w:pStyle w:val="BodyText"/>
        <w:spacing w:line="273" w:lineRule="auto"/>
      </w:pPr>
    </w:p>
    <w:p>
      <w:pPr>
        <w:spacing w:before="90" w:line="467" w:lineRule="exact"/>
        <w:jc w:val="right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2"/>
          <w:position w:val="20"/>
          <w:sz w:val="21"/>
          <w:szCs w:val="21"/>
        </w:rPr>
        <w:t>企业大模型是指经过后训练或微调</w:t>
      </w:r>
      <w:r>
        <w:rPr>
          <w:rFonts w:ascii="Microsoft YaHei" w:eastAsia="Microsoft YaHei" w:hAnsi="Microsoft YaHei" w:cs="Microsoft YaHei"/>
          <w:spacing w:val="-34"/>
          <w:position w:val="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20"/>
          <w:sz w:val="21"/>
          <w:szCs w:val="21"/>
        </w:rPr>
        <w:t>,  面向企业私有化部署的大模型,</w:t>
      </w:r>
      <w:r>
        <w:rPr>
          <w:rFonts w:ascii="Microsoft YaHei" w:eastAsia="Microsoft YaHei" w:hAnsi="Microsoft YaHei" w:cs="Microsoft YaHei"/>
          <w:spacing w:val="59"/>
          <w:w w:val="101"/>
          <w:position w:val="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20"/>
          <w:sz w:val="21"/>
          <w:szCs w:val="21"/>
        </w:rPr>
        <w:t>助力企业从数据驱动升级为智</w:t>
      </w:r>
    </w:p>
    <w:p>
      <w:pPr>
        <w:spacing w:line="175" w:lineRule="auto"/>
        <w:ind w:left="10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9"/>
          <w:sz w:val="21"/>
          <w:szCs w:val="21"/>
        </w:rPr>
        <w:t>能驱动。</w:t>
      </w:r>
    </w:p>
    <w:p>
      <w:pPr>
        <w:pStyle w:val="BodyText"/>
        <w:spacing w:line="272" w:lineRule="auto"/>
      </w:pPr>
    </w:p>
    <w:p>
      <w:pPr>
        <w:spacing w:before="86" w:line="180" w:lineRule="auto"/>
        <w:ind w:left="2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甲方终端用户:</w:t>
      </w:r>
    </w:p>
    <w:p>
      <w:pPr>
        <w:pStyle w:val="BodyText"/>
        <w:spacing w:line="273" w:lineRule="auto"/>
      </w:pPr>
    </w:p>
    <w:p>
      <w:pPr>
        <w:spacing w:before="90" w:line="178" w:lineRule="auto"/>
        <w:ind w:left="6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大型企业 lT 部门</w:t>
      </w:r>
    </w:p>
    <w:p>
      <w:pPr>
        <w:pStyle w:val="BodyText"/>
        <w:spacing w:line="270" w:lineRule="auto"/>
      </w:pPr>
    </w:p>
    <w:p>
      <w:pPr>
        <w:spacing w:before="86" w:line="181" w:lineRule="auto"/>
        <w:ind w:left="2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甲方核心需求:</w:t>
      </w:r>
    </w:p>
    <w:p>
      <w:pPr>
        <w:pStyle w:val="BodyText"/>
        <w:spacing w:line="265" w:lineRule="auto"/>
      </w:pPr>
    </w:p>
    <w:p>
      <w:pPr>
        <w:spacing w:before="95" w:line="475" w:lineRule="exact"/>
        <w:jc w:val="right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-2"/>
          <w:position w:val="20"/>
          <w:sz w:val="22"/>
          <w:szCs w:val="22"/>
        </w:rPr>
        <w:t>企业有三项核心需求。  一是利用企业大模型助力自身从数据驱动升级为智能驱动。二是</w:t>
      </w:r>
      <w:r>
        <w:rPr>
          <w:rFonts w:ascii="Microsoft YaHei" w:eastAsia="Microsoft YaHei" w:hAnsi="Microsoft YaHei" w:cs="Microsoft YaHei"/>
          <w:spacing w:val="-3"/>
          <w:position w:val="20"/>
          <w:sz w:val="22"/>
          <w:szCs w:val="22"/>
        </w:rPr>
        <w:t>找到能</w:t>
      </w:r>
    </w:p>
    <w:p>
      <w:pPr>
        <w:spacing w:line="176" w:lineRule="auto"/>
        <w:ind w:left="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z w:val="22"/>
          <w:szCs w:val="22"/>
        </w:rPr>
        <w:t>满足企业对数据隐私与合规需求的企业大模型。三是找到具备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高可用性的企业大模型。</w:t>
      </w:r>
    </w:p>
    <w:p>
      <w:pPr>
        <w:pStyle w:val="BodyText"/>
        <w:spacing w:line="253" w:lineRule="auto"/>
      </w:pPr>
    </w:p>
    <w:p>
      <w:pPr>
        <w:spacing w:before="91" w:line="312" w:lineRule="auto"/>
        <w:ind w:left="425" w:hanging="415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Wingdings" w:eastAsia="Wingdings" w:hAnsi="Wingdings" w:cs="Wingdings"/>
          <w:color w:val="404040"/>
          <w:spacing w:val="4"/>
          <w:sz w:val="15"/>
          <w:szCs w:val="15"/>
        </w:rPr>
        <w:t xml:space="preserve">.  </w:t>
      </w:r>
      <w:r>
        <w:rPr>
          <w:rFonts w:ascii="Microsoft YaHei" w:eastAsia="Microsoft YaHei" w:hAnsi="Microsoft YaHei" w:cs="Microsoft YaHei"/>
          <w:spacing w:val="4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助力企业从数据驱动升级为智能驱动。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当前,</w:t>
      </w:r>
      <w:r>
        <w:rPr>
          <w:rFonts w:ascii="Microsoft YaHei" w:eastAsia="Microsoft YaHei" w:hAnsi="Microsoft YaHei" w:cs="Microsoft YaHei"/>
          <w:spacing w:val="52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头部企业已</w:t>
      </w: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实现或部分实现数据驱动,</w:t>
      </w:r>
      <w:r>
        <w:rPr>
          <w:rFonts w:ascii="Microsoft YaHei" w:eastAsia="Microsoft YaHei" w:hAnsi="Microsoft YaHei" w:cs="Microsoft YaHei"/>
          <w:spacing w:val="5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生产经营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决策的专业性、科学性和敏捷性相较之前显著提升。在大模型时代, 它们希望借助企业大模型,</w:t>
      </w:r>
      <w:r>
        <w:rPr>
          <w:rFonts w:ascii="Microsoft YaHei" w:eastAsia="Microsoft YaHei" w:hAnsi="Microsoft YaHei" w:cs="Microsoft YaHei"/>
          <w:spacing w:val="2"/>
          <w:sz w:val="21"/>
          <w:szCs w:val="21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在各个业务场景和流程中构建智能助手,</w:t>
      </w:r>
      <w:r>
        <w:rPr>
          <w:rFonts w:ascii="Microsoft YaHei" w:eastAsia="Microsoft YaHei" w:hAnsi="Microsoft YaHei" w:cs="Microsoft YaHei"/>
          <w:spacing w:val="33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通过“人+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智能助手”的新型协作方式降低企业运营成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1"/>
          <w:szCs w:val="21"/>
        </w:rPr>
        <w:t>本。例如,某零售企业赋能一线员工,通过配备智能助理提升员工工作效率,进而达到精简人</w:t>
      </w:r>
    </w:p>
    <w:p>
      <w:pPr>
        <w:spacing w:line="176" w:lineRule="auto"/>
        <w:ind w:left="43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员和降低运营成本的目的。</w:t>
      </w:r>
    </w:p>
    <w:p>
      <w:pPr>
        <w:pStyle w:val="BodyText"/>
        <w:spacing w:line="264" w:lineRule="auto"/>
      </w:pPr>
    </w:p>
    <w:p>
      <w:pPr>
        <w:spacing w:before="91" w:line="312" w:lineRule="auto"/>
        <w:ind w:left="417" w:hanging="407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Wingdings" w:eastAsia="Wingdings" w:hAnsi="Wingdings" w:cs="Wingdings"/>
          <w:color w:val="404040"/>
          <w:spacing w:val="-2"/>
          <w:sz w:val="15"/>
          <w:szCs w:val="15"/>
        </w:rPr>
        <w:t xml:space="preserve">.  </w:t>
      </w:r>
      <w:r>
        <w:rPr>
          <w:rFonts w:ascii="Microsoft YaHei" w:eastAsia="Microsoft YaHei" w:hAnsi="Microsoft YaHei" w:cs="Microsoft YaHei"/>
          <w:spacing w:val="-2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满足企业对数据隐私与合规需求。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随着数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据量的不断增加,  数据隐私保护变得越来越重要。  大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模型的研发和应用过程中可能存在数据泄露风险,尤其是当企业调用对第三方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底层大模型公网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APl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 xml:space="preserve"> 时,</w:t>
      </w:r>
      <w:r>
        <w:rPr>
          <w:rFonts w:ascii="Microsoft YaHei" w:eastAsia="Microsoft YaHei" w:hAnsi="Microsoft YaHei" w:cs="Microsoft YaHei"/>
          <w:spacing w:val="17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 xml:space="preserve">数据安全问题更为突出。中国工商银行首席技术官吕仲涛曾称: 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数据隐私保护也存在隐 </w:t>
      </w:r>
      <w:r>
        <w:rPr>
          <w:rFonts w:ascii="Microsoft YaHei" w:eastAsia="Microsoft YaHei" w:hAnsi="Microsoft YaHei" w:cs="Microsoft YaHei"/>
          <w:spacing w:val="13"/>
          <w:sz w:val="21"/>
          <w:szCs w:val="21"/>
        </w:rPr>
        <w:t>患,大模型训练数据来源于互联网、业务数据,这些数据</w:t>
      </w:r>
      <w:r>
        <w:rPr>
          <w:rFonts w:ascii="Microsoft YaHei" w:eastAsia="Microsoft YaHei" w:hAnsi="Microsoft YaHei" w:cs="Microsoft YaHei"/>
          <w:spacing w:val="12"/>
          <w:sz w:val="21"/>
          <w:szCs w:val="21"/>
        </w:rPr>
        <w:t>可能涉及大量用户隐私,需要通过隐</w:t>
      </w:r>
    </w:p>
    <w:p>
      <w:pPr>
        <w:spacing w:before="1" w:line="176" w:lineRule="auto"/>
        <w:ind w:left="423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>私计算、联邦学习等方式进行保护。  企业大模型则可以更好地保护商业机密和数据隐私。</w:t>
      </w:r>
    </w:p>
    <w:p>
      <w:pPr>
        <w:pStyle w:val="BodyText"/>
        <w:spacing w:line="265" w:lineRule="auto"/>
      </w:pPr>
    </w:p>
    <w:p>
      <w:pPr>
        <w:spacing w:before="91" w:line="312" w:lineRule="auto"/>
        <w:ind w:left="422" w:firstLine="11"/>
        <w:jc w:val="both"/>
        <w:rPr>
          <w:rFonts w:ascii="Microsoft YaHei" w:eastAsia="Microsoft YaHei" w:hAnsi="Microsoft YaHei" w:cs="Microsoft YaHei"/>
          <w:sz w:val="21"/>
          <w:szCs w:val="21"/>
        </w:rPr>
        <w:sectPr>
          <w:headerReference w:type="default" r:id="rId30"/>
          <w:footerReference w:type="default" r:id="rId31"/>
          <w:pgSz w:w="11905" w:h="16839"/>
          <w:pgMar w:top="400" w:right="1416" w:bottom="400" w:left="1418" w:header="0" w:footer="0" w:gutter="0"/>
          <w:pgNumType w:start="12"/>
          <w:cols w:space="708"/>
        </w:sectPr>
      </w:pP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 xml:space="preserve">除数据隐私需求外,数据合规同样重要。    《生成式人工智能服务管理暂行办法》 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 xml:space="preserve"> 明确规定:  在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生成式人工智能技术研发过程中进行数据标注的,提供者应当制定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符合本办法要求的清晰、具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</w:p>
    <w:p>
      <w:pPr>
        <w:spacing w:before="91" w:line="312" w:lineRule="auto"/>
        <w:ind w:left="422" w:firstLine="11"/>
        <w:jc w:val="both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体、</w:t>
      </w:r>
      <w:r>
        <w:rPr>
          <w:rFonts w:ascii="Microsoft YaHei" w:eastAsia="Microsoft YaHei" w:hAnsi="Microsoft YaHei" w:cs="Microsoft YaHei"/>
          <w:spacing w:val="1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可操作的标注规则；开展数据标注质量评估,抽样核验标注内容的准</w:t>
      </w:r>
      <w:r>
        <w:rPr>
          <w:rFonts w:ascii="Microsoft YaHei" w:eastAsia="Microsoft YaHei" w:hAnsi="Microsoft YaHei" w:cs="Microsoft YaHei"/>
          <w:spacing w:val="2"/>
          <w:sz w:val="21"/>
          <w:szCs w:val="21"/>
        </w:rPr>
        <w:t>确性；对标注人员进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1"/>
          <w:szCs w:val="21"/>
        </w:rPr>
        <w:t>行必要培训,提升尊法守法意识,监督指导标注人员规范开展标注工作。  除此之外,其他法律</w:t>
      </w:r>
    </w:p>
    <w:p>
      <w:pPr>
        <w:spacing w:before="1" w:line="179" w:lineRule="auto"/>
        <w:ind w:left="426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法规同样有关于数据合规的要求,企业也需要遵守。</w:t>
      </w:r>
    </w:p>
    <w:p>
      <w:pPr>
        <w:pStyle w:val="BodyText"/>
        <w:spacing w:line="262" w:lineRule="auto"/>
      </w:pPr>
    </w:p>
    <w:p>
      <w:pPr>
        <w:spacing w:before="90" w:line="188" w:lineRule="auto"/>
        <w:jc w:val="right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Wingdings" w:eastAsia="Wingdings" w:hAnsi="Wingdings" w:cs="Wingdings"/>
          <w:color w:val="404040"/>
          <w:spacing w:val="2"/>
          <w:sz w:val="15"/>
          <w:szCs w:val="15"/>
        </w:rPr>
        <w:t xml:space="preserve">.  </w:t>
      </w:r>
      <w:r>
        <w:rPr>
          <w:rFonts w:ascii="Microsoft YaHei" w:eastAsia="Microsoft YaHei" w:hAnsi="Microsoft YaHei" w:cs="Microsoft YaHei"/>
          <w:spacing w:val="2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具备高可用性的企业大模型。</w:t>
      </w:r>
      <w:r>
        <w:rPr>
          <w:rFonts w:ascii="Microsoft YaHei" w:eastAsia="Microsoft YaHei" w:hAnsi="Microsoft YaHei" w:cs="Microsoft YaHei"/>
          <w:spacing w:val="2"/>
          <w:sz w:val="21"/>
          <w:szCs w:val="21"/>
        </w:rPr>
        <w:t>基础大模型一般由先进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Al</w:t>
      </w:r>
      <w:r>
        <w:rPr>
          <w:rFonts w:ascii="Microsoft YaHei" w:eastAsia="Microsoft YaHei" w:hAnsi="Microsoft YaHei" w:cs="Microsoft YaHei"/>
          <w:spacing w:val="2"/>
          <w:sz w:val="21"/>
          <w:szCs w:val="21"/>
        </w:rPr>
        <w:t xml:space="preserve"> 公司建设,</w:t>
      </w:r>
      <w:r>
        <w:rPr>
          <w:rFonts w:ascii="Microsoft YaHei" w:eastAsia="Microsoft YaHei" w:hAnsi="Microsoft YaHei" w:cs="Microsoft YaHei"/>
          <w:spacing w:val="25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1"/>
          <w:szCs w:val="21"/>
        </w:rPr>
        <w:t>通识能力较强,</w:t>
      </w:r>
      <w:r>
        <w:rPr>
          <w:rFonts w:ascii="Microsoft YaHei" w:eastAsia="Microsoft YaHei" w:hAnsi="Microsoft YaHei" w:cs="Microsoft YaHei"/>
          <w:spacing w:val="23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1"/>
          <w:szCs w:val="21"/>
        </w:rPr>
        <w:t>但其缺少行</w:t>
      </w:r>
    </w:p>
    <w:p>
      <w:pPr>
        <w:spacing w:before="183" w:line="181" w:lineRule="auto"/>
        <w:ind w:left="430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业和企业专业知识,对企业价值有限。</w:t>
      </w:r>
      <w:r>
        <w:rPr>
          <w:rFonts w:ascii="Microsoft YaHei" w:eastAsia="Microsoft YaHei" w:hAnsi="Microsoft YaHei" w:cs="Microsoft YaHei"/>
          <w:spacing w:val="4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对于头部企业而言,</w:t>
      </w:r>
      <w:r>
        <w:rPr>
          <w:rFonts w:ascii="Microsoft YaHei" w:eastAsia="Microsoft YaHei" w:hAnsi="Microsoft YaHei" w:cs="Microsoft YaHei"/>
          <w:spacing w:val="59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通常引入业界领先的基础大模型,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56" w:line="199" w:lineRule="auto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4</w:t>
      </w:r>
      <w:r>
        <w:rPr>
          <w:rFonts w:ascii="Microsoft YaHei" w:eastAsia="Microsoft YaHei" w:hAnsi="Microsoft YaHei" w:cs="Microsoft YaHei"/>
          <w:color w:val="003F7C"/>
          <w:spacing w:val="3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|</w:t>
      </w:r>
      <w:r>
        <w:rPr>
          <w:rFonts w:ascii="Microsoft YaHei" w:eastAsia="Microsoft YaHei" w:hAnsi="Microsoft YaHei" w:cs="Microsoft YaHei"/>
          <w:color w:val="003F7C"/>
          <w:spacing w:val="10"/>
          <w:w w:val="102"/>
          <w:sz w:val="13"/>
          <w:szCs w:val="13"/>
        </w:rPr>
        <w:t xml:space="preserve">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企业大模型市场厂商评估-滴普科技</w:t>
      </w:r>
    </w:p>
    <w:p>
      <w:pPr>
        <w:spacing w:line="199" w:lineRule="auto"/>
        <w:rPr>
          <w:rFonts w:ascii="Microsoft YaHei" w:eastAsia="Microsoft YaHei" w:hAnsi="Microsoft YaHei" w:cs="Microsoft YaHei"/>
          <w:sz w:val="13"/>
          <w:szCs w:val="13"/>
        </w:rPr>
        <w:sectPr>
          <w:headerReference w:type="default" r:id="rId32"/>
          <w:footerReference w:type="default" r:id="rId33"/>
          <w:type w:val="nextPage"/>
          <w:pgSz w:w="11905" w:h="16839"/>
          <w:pgMar w:top="400" w:right="1416" w:bottom="400" w:left="1418" w:header="0" w:footer="0" w:gutter="0"/>
          <w:pgNumType w:start="13"/>
          <w:cols w:space="708"/>
          <w:titlePg w:val="0"/>
        </w:sectPr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90" w:line="471" w:lineRule="exact"/>
        <w:ind w:right="30"/>
        <w:jc w:val="right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1"/>
          <w:position w:val="20"/>
          <w:sz w:val="21"/>
          <w:szCs w:val="21"/>
        </w:rPr>
        <w:t>通过后训练或微调方式自建企业大模型。为保证企业大模型的可用性,</w:t>
      </w:r>
      <w:r>
        <w:rPr>
          <w:rFonts w:ascii="Microsoft YaHei" w:eastAsia="Microsoft YaHei" w:hAnsi="Microsoft YaHei" w:cs="Microsoft YaHei"/>
          <w:spacing w:val="58"/>
          <w:w w:val="101"/>
          <w:position w:val="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20"/>
          <w:sz w:val="21"/>
          <w:szCs w:val="21"/>
        </w:rPr>
        <w:t>企业对数据处理能</w:t>
      </w:r>
      <w:r>
        <w:rPr>
          <w:rFonts w:ascii="Microsoft YaHei" w:eastAsia="Microsoft YaHei" w:hAnsi="Microsoft YaHei" w:cs="Microsoft YaHei"/>
          <w:position w:val="20"/>
          <w:sz w:val="21"/>
          <w:szCs w:val="21"/>
        </w:rPr>
        <w:t>力、</w:t>
      </w:r>
    </w:p>
    <w:p>
      <w:pPr>
        <w:spacing w:line="177" w:lineRule="auto"/>
        <w:ind w:left="425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训练速度、推理速度提出较高需求。</w:t>
      </w:r>
    </w:p>
    <w:p>
      <w:pPr>
        <w:pStyle w:val="BodyText"/>
        <w:spacing w:line="271" w:lineRule="auto"/>
      </w:pPr>
    </w:p>
    <w:p>
      <w:pPr>
        <w:spacing w:before="86" w:line="180" w:lineRule="auto"/>
        <w:ind w:left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厂商能力要求:</w:t>
      </w:r>
    </w:p>
    <w:p>
      <w:pPr>
        <w:pStyle w:val="BodyText"/>
        <w:spacing w:line="272" w:lineRule="auto"/>
      </w:pPr>
    </w:p>
    <w:p>
      <w:pPr>
        <w:spacing w:before="90" w:line="466" w:lineRule="exact"/>
        <w:jc w:val="right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1"/>
          <w:position w:val="20"/>
          <w:sz w:val="21"/>
          <w:szCs w:val="21"/>
        </w:rPr>
        <w:t>厂商需要满足三项能力要求。一是提供企业大模型端到端工具链。二是</w:t>
      </w:r>
      <w:r>
        <w:rPr>
          <w:rFonts w:ascii="Microsoft YaHei" w:eastAsia="Microsoft YaHei" w:hAnsi="Microsoft YaHei" w:cs="Microsoft YaHei"/>
          <w:position w:val="20"/>
          <w:sz w:val="21"/>
          <w:szCs w:val="21"/>
        </w:rPr>
        <w:t>具备数据隐私保障技术和数</w:t>
      </w:r>
    </w:p>
    <w:p>
      <w:pPr>
        <w:spacing w:line="176" w:lineRule="auto"/>
        <w:ind w:left="3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z w:val="21"/>
          <w:szCs w:val="21"/>
        </w:rPr>
        <w:t>据全流程合规能力。三是在数据工程建设、大模型工程化以及降低大模型参数量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方面有深厚积累。</w:t>
      </w:r>
    </w:p>
    <w:p>
      <w:pPr>
        <w:pStyle w:val="BodyText"/>
        <w:spacing w:line="266" w:lineRule="auto"/>
      </w:pPr>
    </w:p>
    <w:p>
      <w:pPr>
        <w:spacing w:before="90" w:line="312" w:lineRule="auto"/>
        <w:ind w:left="416" w:hanging="407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Wingdings" w:eastAsia="Wingdings" w:hAnsi="Wingdings" w:cs="Wingdings"/>
          <w:color w:val="404040"/>
          <w:spacing w:val="-1"/>
          <w:sz w:val="15"/>
          <w:szCs w:val="15"/>
        </w:rPr>
        <w:t xml:space="preserve">l  </w:t>
      </w:r>
      <w:r>
        <w:rPr>
          <w:rFonts w:ascii="Microsoft YaHei" w:eastAsia="Microsoft YaHei" w:hAnsi="Microsoft YaHei" w:cs="Microsoft YaHei"/>
          <w:spacing w:val="-1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提供企业大模型端到端工具链。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厂商需具备算力资源、训练环境、企业大模型、应用开发平台、</w:t>
      </w:r>
      <w:r>
        <w:rPr>
          <w:rFonts w:ascii="Microsoft YaHei" w:eastAsia="Microsoft YaHei" w:hAnsi="Microsoft YaHei" w:cs="Microsoft YaHei"/>
          <w:spacing w:val="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I 小模型等端到端工具链。    “端到端”有利于发挥企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业大模型深度价值,实现对企业上层业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务</w:t>
      </w:r>
    </w:p>
    <w:p>
      <w:pPr>
        <w:spacing w:before="1" w:line="180" w:lineRule="auto"/>
        <w:jc w:val="right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的全面赋能。“工具链”有利于企业实现大模型训推及应用开发能力内化,摆脱对厂商的依赖。</w:t>
      </w:r>
    </w:p>
    <w:p>
      <w:pPr>
        <w:pStyle w:val="BodyText"/>
        <w:spacing w:line="254" w:lineRule="auto"/>
      </w:pPr>
    </w:p>
    <w:p>
      <w:pPr>
        <w:spacing w:before="91" w:line="314" w:lineRule="auto"/>
        <w:ind w:left="445" w:hanging="432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Wingdings" w:eastAsia="Wingdings" w:hAnsi="Wingdings" w:cs="Wingdings"/>
          <w:spacing w:val="5"/>
          <w:sz w:val="21"/>
          <w:szCs w:val="21"/>
        </w:rPr>
        <w:t>l</w:t>
      </w:r>
      <w:r>
        <w:rPr>
          <w:rFonts w:ascii="Wingdings" w:eastAsia="Wingdings" w:hAnsi="Wingdings" w:cs="Wingdings"/>
          <w:spacing w:val="8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具备数据隐私保障技术和数据全流程合规能力。</w:t>
      </w: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大模型隐私性保障技术主要包括</w:t>
      </w: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加密存储、差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分隐私、同态加密、安全多方计算、模型水印和指纹等。数据全流程合规能力包括厂商需要具</w:t>
      </w:r>
    </w:p>
    <w:p>
      <w:pPr>
        <w:spacing w:line="176" w:lineRule="auto"/>
        <w:ind w:left="443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备涵盖数据准备、标注、训练、运营全流程的合规能力。</w:t>
      </w:r>
    </w:p>
    <w:p>
      <w:pPr>
        <w:pStyle w:val="BodyText"/>
        <w:spacing w:line="275" w:lineRule="auto"/>
      </w:pPr>
    </w:p>
    <w:p>
      <w:pPr>
        <w:spacing w:line="3333" w:lineRule="exact"/>
        <w:ind w:firstLine="448"/>
      </w:pPr>
      <w:r>
        <w:rPr>
          <w:position w:val="-66"/>
        </w:rPr>
        <w:drawing>
          <wp:inline distT="0" distB="0" distL="0" distR="0">
            <wp:extent cx="5411966" cy="211645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11966" cy="2116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6" w:lineRule="auto"/>
      </w:pPr>
    </w:p>
    <w:p>
      <w:pPr>
        <w:spacing w:before="78" w:line="177" w:lineRule="auto"/>
        <w:ind w:left="461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808080"/>
          <w:spacing w:val="1"/>
          <w:sz w:val="18"/>
          <w:szCs w:val="18"/>
        </w:rPr>
        <w:t>图 1:</w:t>
      </w:r>
      <w:r>
        <w:rPr>
          <w:rFonts w:ascii="Microsoft YaHei" w:eastAsia="Microsoft YaHei" w:hAnsi="Microsoft YaHei" w:cs="Microsoft YaHei"/>
          <w:color w:val="808080"/>
          <w:spacing w:val="43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808080"/>
          <w:spacing w:val="1"/>
          <w:sz w:val="18"/>
          <w:szCs w:val="18"/>
        </w:rPr>
        <w:t>数据全流程合规能力</w:t>
      </w:r>
    </w:p>
    <w:p>
      <w:pPr>
        <w:pStyle w:val="BodyText"/>
        <w:spacing w:line="282" w:lineRule="auto"/>
      </w:pPr>
    </w:p>
    <w:p>
      <w:pPr>
        <w:spacing w:before="90" w:line="314" w:lineRule="auto"/>
        <w:ind w:left="444" w:hanging="43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Wingdings" w:eastAsia="Wingdings" w:hAnsi="Wingdings" w:cs="Wingdings"/>
          <w:spacing w:val="8"/>
          <w:sz w:val="21"/>
          <w:szCs w:val="21"/>
        </w:rPr>
        <w:t>l</w:t>
      </w:r>
      <w:r>
        <w:rPr>
          <w:rFonts w:ascii="Wingdings" w:eastAsia="Wingdings" w:hAnsi="Wingdings" w:cs="Wingdings"/>
          <w:spacing w:val="8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在数据工程建设、大模型工程化以及降低大</w:t>
      </w:r>
      <w:r>
        <w:rPr>
          <w:rFonts w:ascii="Microsoft YaHei" w:eastAsia="Microsoft YaHei" w:hAnsi="Microsoft YaHei" w:cs="Microsoft YaHei"/>
          <w:spacing w:val="7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模型参数量方面有深厚积累。</w:t>
      </w:r>
      <w:r>
        <w:rPr>
          <w:rFonts w:ascii="Microsoft YaHei" w:eastAsia="Microsoft YaHei" w:hAnsi="Microsoft YaHei" w:cs="Microsoft YaHei"/>
          <w:spacing w:val="7"/>
          <w:sz w:val="21"/>
          <w:szCs w:val="21"/>
        </w:rPr>
        <w:t>随着数据集规模的增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1"/>
          <w:szCs w:val="21"/>
        </w:rPr>
        <w:t>大,数据管理难度也在攀升,需持续提升大模型数据清洗的工程化能力,并从单一的</w:t>
      </w:r>
      <w:r>
        <w:rPr>
          <w:rFonts w:ascii="Microsoft YaHei" w:eastAsia="Microsoft YaHei" w:hAnsi="Microsoft YaHei" w:cs="Microsoft YaHei"/>
          <w:spacing w:val="11"/>
          <w:sz w:val="21"/>
          <w:szCs w:val="21"/>
        </w:rPr>
        <w:t>结构化数</w:t>
      </w:r>
    </w:p>
    <w:p>
      <w:pPr>
        <w:spacing w:before="1" w:line="176" w:lineRule="auto"/>
        <w:ind w:left="443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据转向多模态的全领域数据。</w:t>
      </w:r>
    </w:p>
    <w:p>
      <w:pPr>
        <w:pStyle w:val="BodyText"/>
        <w:spacing w:line="267" w:lineRule="auto"/>
        <w:sectPr>
          <w:headerReference w:type="default" r:id="rId35"/>
          <w:footerReference w:type="default" r:id="rId36"/>
          <w:pgSz w:w="11905" w:h="16839"/>
          <w:pgMar w:top="400" w:right="1416" w:bottom="400" w:left="1419" w:header="0" w:footer="0" w:gutter="0"/>
          <w:pgNumType w:start="14"/>
          <w:cols w:space="708"/>
        </w:sectPr>
      </w:pPr>
    </w:p>
    <w:p>
      <w:pPr>
        <w:spacing w:before="90" w:line="312" w:lineRule="auto"/>
        <w:ind w:left="441" w:firstLine="11"/>
        <w:jc w:val="both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随着大模型参数规模的提升,训练过程所需的计算资源也呈现指数级增长。现有计算集群</w:t>
      </w: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在进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1"/>
          <w:szCs w:val="21"/>
        </w:rPr>
        <w:t>行大规模并行训练过程中,由于硬件故障等原因,稳定性仍存在较大问题,</w:t>
      </w:r>
      <w:r>
        <w:rPr>
          <w:rFonts w:ascii="Microsoft YaHei" w:eastAsia="Microsoft YaHei" w:hAnsi="Microsoft YaHei" w:cs="Microsoft YaHei"/>
          <w:spacing w:val="61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1"/>
          <w:szCs w:val="21"/>
        </w:rPr>
        <w:t>厂商需提升训练任</w:t>
      </w:r>
    </w:p>
    <w:p>
      <w:pPr>
        <w:spacing w:line="180" w:lineRule="auto"/>
        <w:ind w:left="446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务失败时快速定位问题的能力,保障训练效率。</w:t>
      </w:r>
    </w:p>
    <w:p>
      <w:pPr>
        <w:pStyle w:val="BodyText"/>
        <w:spacing w:line="261" w:lineRule="auto"/>
      </w:pPr>
    </w:p>
    <w:p>
      <w:pPr>
        <w:spacing w:before="90" w:line="180" w:lineRule="auto"/>
        <w:jc w:val="right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12"/>
          <w:sz w:val="21"/>
          <w:szCs w:val="21"/>
        </w:rPr>
        <w:t>企业大模型的参数量并非越大越好,推理速度随着参数量增加会同步降低,同理,降低大</w:t>
      </w:r>
      <w:r>
        <w:rPr>
          <w:rFonts w:ascii="Microsoft YaHei" w:eastAsia="Microsoft YaHei" w:hAnsi="Microsoft YaHei" w:cs="Microsoft YaHei"/>
          <w:spacing w:val="11"/>
          <w:sz w:val="21"/>
          <w:szCs w:val="21"/>
        </w:rPr>
        <w:t>模型</w:t>
      </w:r>
    </w:p>
    <w:p>
      <w:pPr>
        <w:pStyle w:val="BodyText"/>
        <w:spacing w:line="345" w:lineRule="auto"/>
      </w:pPr>
    </w:p>
    <w:p>
      <w:pPr>
        <w:pStyle w:val="BodyText"/>
        <w:spacing w:line="346" w:lineRule="auto"/>
      </w:pPr>
    </w:p>
    <w:p>
      <w:pPr>
        <w:spacing w:before="57" w:line="199" w:lineRule="auto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5</w:t>
      </w:r>
      <w:r>
        <w:rPr>
          <w:rFonts w:ascii="Microsoft YaHei" w:eastAsia="Microsoft YaHei" w:hAnsi="Microsoft YaHei" w:cs="Microsoft YaHei"/>
          <w:color w:val="003F7C"/>
          <w:spacing w:val="3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|</w:t>
      </w:r>
      <w:r>
        <w:rPr>
          <w:rFonts w:ascii="Microsoft YaHei" w:eastAsia="Microsoft YaHei" w:hAnsi="Microsoft YaHei" w:cs="Microsoft YaHei"/>
          <w:color w:val="003F7C"/>
          <w:spacing w:val="10"/>
          <w:w w:val="101"/>
          <w:sz w:val="13"/>
          <w:szCs w:val="13"/>
        </w:rPr>
        <w:t xml:space="preserve">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企业大模型市场厂商评估-滴普科技</w:t>
      </w:r>
    </w:p>
    <w:p>
      <w:pPr>
        <w:spacing w:line="199" w:lineRule="auto"/>
        <w:rPr>
          <w:rFonts w:ascii="Microsoft YaHei" w:eastAsia="Microsoft YaHei" w:hAnsi="Microsoft YaHei" w:cs="Microsoft YaHei"/>
          <w:sz w:val="13"/>
          <w:szCs w:val="13"/>
        </w:rPr>
        <w:sectPr>
          <w:headerReference w:type="default" r:id="rId37"/>
          <w:footerReference w:type="default" r:id="rId38"/>
          <w:type w:val="nextPage"/>
          <w:pgSz w:w="11905" w:h="16839"/>
          <w:pgMar w:top="400" w:right="1416" w:bottom="400" w:left="1419" w:header="0" w:footer="0" w:gutter="0"/>
          <w:pgNumType w:start="15"/>
          <w:cols w:space="708"/>
          <w:titlePg w:val="0"/>
        </w:sectPr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spacing w:before="91" w:line="472" w:lineRule="exact"/>
        <w:jc w:val="right"/>
        <w:rPr>
          <w:rFonts w:ascii="Arial Unicode MS" w:eastAsia="Arial Unicode MS" w:hAnsi="Arial Unicode MS" w:cs="Arial Unicode MS"/>
          <w:sz w:val="21"/>
          <w:szCs w:val="21"/>
        </w:rPr>
      </w:pPr>
      <w:r>
        <w:rPr>
          <w:rFonts w:ascii="Arial Unicode MS" w:eastAsia="Arial Unicode MS" w:hAnsi="Arial Unicode MS" w:cs="Arial Unicode MS"/>
          <w:spacing w:val="9"/>
          <w:position w:val="21"/>
          <w:sz w:val="21"/>
          <w:szCs w:val="21"/>
        </w:rPr>
        <w:t xml:space="preserve">⃞侨⃞⃞剣⃞✵⃞椚鸟⃞կ  </w:t>
      </w:r>
      <w:r>
        <w:rPr>
          <w:rFonts w:ascii="Microsoft YaHei" w:eastAsia="Microsoft YaHei" w:hAnsi="Microsoft YaHei" w:cs="Microsoft YaHei"/>
          <w:spacing w:val="9"/>
          <w:position w:val="21"/>
          <w:sz w:val="21"/>
          <w:szCs w:val="21"/>
        </w:rPr>
        <w:t>㔔姼,  㼆䎾涸⾊㉁</w:t>
      </w:r>
      <w:r>
        <w:rPr>
          <w:rFonts w:ascii="Arial Unicode MS" w:eastAsia="Arial Unicode MS" w:hAnsi="Arial Unicode MS" w:cs="Arial Unicode MS"/>
          <w:spacing w:val="9"/>
          <w:position w:val="21"/>
          <w:sz w:val="21"/>
          <w:szCs w:val="21"/>
        </w:rPr>
        <w:t>腊⃞銳</w:t>
      </w:r>
      <w:r>
        <w:rPr>
          <w:rFonts w:ascii="Arial Unicode MS" w:eastAsia="Arial Unicode MS" w:hAnsi="Arial Unicode MS" w:cs="Arial Unicode MS"/>
          <w:spacing w:val="8"/>
          <w:position w:val="21"/>
          <w:sz w:val="21"/>
          <w:szCs w:val="21"/>
        </w:rPr>
        <w:t>宠僽⃞⃞⃞垷⃞⃞椚佪卓ㄤ⃞椚鸟⃞涸剒</w:t>
      </w:r>
    </w:p>
    <w:p>
      <w:pPr>
        <w:spacing w:line="164" w:lineRule="auto"/>
        <w:ind w:left="441"/>
        <w:rPr>
          <w:rFonts w:ascii="Arial Unicode MS" w:eastAsia="Arial Unicode MS" w:hAnsi="Arial Unicode MS" w:cs="Arial Unicode MS"/>
          <w:sz w:val="21"/>
          <w:szCs w:val="21"/>
        </w:rPr>
      </w:pPr>
      <w:r>
        <w:rPr>
          <w:rFonts w:ascii="Arial Unicode MS" w:eastAsia="Arial Unicode MS" w:hAnsi="Arial Unicode MS" w:cs="Arial Unicode MS"/>
          <w:spacing w:val="5"/>
          <w:sz w:val="21"/>
          <w:szCs w:val="21"/>
        </w:rPr>
        <w:t>⃞⃞邂挿կ</w:t>
      </w:r>
    </w:p>
    <w:p>
      <w:pPr>
        <w:pStyle w:val="BodyText"/>
        <w:spacing w:line="284" w:lineRule="auto"/>
      </w:pPr>
    </w:p>
    <w:p>
      <w:pPr>
        <w:spacing w:before="87" w:line="184" w:lineRule="auto"/>
        <w:ind w:left="1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pacing w:val="23"/>
          <w:sz w:val="20"/>
          <w:szCs w:val="20"/>
          <w14:textOutline w14:w="4206">
            <w14:solidFill>
              <w14:srgbClr w14:val="000000"/>
            </w14:solidFill>
            <w14:prstDash w14:val="solid"/>
            <w14:miter w14:lim="10"/>
          </w14:textOutline>
        </w:rPr>
        <w:t>⃞鷥叻⃞霹僈:</w:t>
      </w:r>
    </w:p>
    <w:p>
      <w:pPr>
        <w:pStyle w:val="BodyText"/>
        <w:spacing w:line="261" w:lineRule="auto"/>
      </w:pPr>
    </w:p>
    <w:p>
      <w:pPr>
        <w:spacing w:before="91" w:line="187" w:lineRule="auto"/>
        <w:ind w:left="10"/>
        <w:rPr>
          <w:rFonts w:ascii="Arial Unicode MS" w:eastAsia="Arial Unicode MS" w:hAnsi="Arial Unicode MS" w:cs="Arial Unicode MS"/>
          <w:sz w:val="21"/>
          <w:szCs w:val="21"/>
        </w:rPr>
      </w:pPr>
      <w:r>
        <w:rPr>
          <w:rFonts w:ascii="Microsoft YaHei" w:eastAsia="Microsoft YaHei" w:hAnsi="Microsoft YaHei" w:cs="Microsoft YaHei"/>
          <w:spacing w:val="9"/>
          <w:sz w:val="21"/>
          <w:szCs w:val="21"/>
        </w:rPr>
        <w:t>1.</w:t>
      </w:r>
      <w:r>
        <w:rPr>
          <w:rFonts w:ascii="Microsoft YaHei" w:eastAsia="Microsoft YaHei" w:hAnsi="Microsoft YaHei" w:cs="Microsoft YaHei"/>
          <w:spacing w:val="6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1"/>
          <w:szCs w:val="21"/>
        </w:rPr>
        <w:t>痗ざ</w:t>
      </w:r>
      <w:r>
        <w:rPr>
          <w:rFonts w:ascii="Arial Unicode MS" w:eastAsia="Arial Unicode MS" w:hAnsi="Arial Unicode MS" w:cs="Arial Unicode MS"/>
          <w:spacing w:val="9"/>
          <w:sz w:val="21"/>
          <w:szCs w:val="21"/>
        </w:rPr>
        <w:t>⃞⃞⃞垷⃞⃞⃞⃞區涸⃞㉁腊⃞銳宠;</w:t>
      </w:r>
    </w:p>
    <w:p>
      <w:pPr>
        <w:pStyle w:val="BodyText"/>
        <w:spacing w:line="243" w:lineRule="auto"/>
      </w:pPr>
    </w:p>
    <w:p>
      <w:pPr>
        <w:pStyle w:val="BodyText"/>
        <w:spacing w:before="93" w:line="170" w:lineRule="auto"/>
      </w:pPr>
      <w:r>
        <w:rPr>
          <w:rFonts w:ascii="Microsoft YaHei" w:eastAsia="Microsoft YaHei" w:hAnsi="Microsoft YaHei" w:cs="Microsoft YaHei"/>
          <w:spacing w:val="12"/>
        </w:rPr>
        <w:t>2.</w:t>
      </w:r>
      <w:r>
        <w:rPr>
          <w:rFonts w:ascii="Microsoft YaHei" w:eastAsia="Microsoft YaHei" w:hAnsi="Microsoft YaHei" w:cs="Microsoft YaHei"/>
          <w:spacing w:val="68"/>
          <w:w w:val="101"/>
        </w:rPr>
        <w:t xml:space="preserve"> </w:t>
      </w:r>
      <w:r>
        <w:rPr>
          <w:rFonts w:ascii="Arial Unicode MS" w:eastAsia="Arial Unicode MS" w:hAnsi="Arial Unicode MS" w:cs="Arial Unicode MS"/>
          <w:spacing w:val="12"/>
        </w:rPr>
        <w:t xml:space="preserve">鵛♧⃞⃞㉁⃞霪⃞⃞荛⃞剪⃞ </w:t>
      </w:r>
      <w:r>
        <w:rPr>
          <w:rFonts w:ascii="Microsoft YaHei" w:eastAsia="Microsoft YaHei" w:hAnsi="Microsoft YaHei" w:cs="Microsoft YaHei"/>
          <w:spacing w:val="12"/>
        </w:rPr>
        <w:t xml:space="preserve">1 </w:t>
      </w:r>
      <w:r>
        <w:rPr>
          <w:rFonts w:ascii="Arial Unicode MS" w:eastAsia="Arial Unicode MS" w:hAnsi="Arial Unicode MS" w:cs="Arial Unicode MS"/>
          <w:spacing w:val="12"/>
        </w:rPr>
        <w:t xml:space="preserve">⃞⃞⃞(ゎ </w:t>
      </w:r>
      <w:r>
        <w:rPr>
          <w:rFonts w:ascii="Microsoft YaHei" w:eastAsia="Microsoft YaHei" w:hAnsi="Microsoft YaHei" w:cs="Microsoft YaHei"/>
        </w:rPr>
        <w:t>POC</w:t>
      </w:r>
      <w:r>
        <w:rPr>
          <w:rFonts w:ascii="Microsoft YaHei" w:eastAsia="Microsoft YaHei" w:hAnsi="Microsoft YaHei" w:cs="Microsoft YaHei"/>
          <w:spacing w:val="12"/>
        </w:rPr>
        <w:t xml:space="preserve">)  </w:t>
      </w:r>
      <w:r>
        <w:rPr>
          <w:spacing w:val="12"/>
        </w:rPr>
        <w:t>կ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headerReference w:type="default" r:id="rId39"/>
          <w:footerReference w:type="default" r:id="rId40"/>
          <w:pgSz w:w="11905" w:h="16839"/>
          <w:pgMar w:top="400" w:right="1416" w:bottom="400" w:left="1423" w:header="0" w:footer="0" w:gutter="0"/>
          <w:pgNumType w:start="16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56" w:line="199" w:lineRule="auto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6</w:t>
      </w:r>
      <w:r>
        <w:rPr>
          <w:rFonts w:ascii="Microsoft YaHei" w:eastAsia="Microsoft YaHei" w:hAnsi="Microsoft YaHei" w:cs="Microsoft YaHei"/>
          <w:color w:val="003F7C"/>
          <w:spacing w:val="2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|</w:t>
      </w:r>
      <w:r>
        <w:rPr>
          <w:rFonts w:ascii="Microsoft YaHei" w:eastAsia="Microsoft YaHei" w:hAnsi="Microsoft YaHei" w:cs="Microsoft YaHei"/>
          <w:color w:val="003F7C"/>
          <w:spacing w:val="10"/>
          <w:w w:val="101"/>
          <w:sz w:val="13"/>
          <w:szCs w:val="13"/>
        </w:rPr>
        <w:t xml:space="preserve">   </w:t>
      </w:r>
      <w:r>
        <w:rPr>
          <w:rFonts w:ascii="Microsoft YaHei" w:eastAsia="Microsoft YaHei" w:hAnsi="Microsoft YaHei" w:cs="Microsoft YaHei"/>
          <w:color w:val="003F7C"/>
          <w:spacing w:val="6"/>
          <w:sz w:val="13"/>
          <w:szCs w:val="13"/>
        </w:rPr>
        <w:t>企业大模型市场厂商评估-滴普科技</w:t>
      </w:r>
    </w:p>
    <w:p>
      <w:pPr>
        <w:spacing w:line="199" w:lineRule="auto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z w:val="13"/>
          <w:szCs w:val="13"/>
        </w:rPr>
        <w:br/>
      </w:r>
      <w:r>
        <w:rPr>
          <w:rFonts w:ascii="Microsoft YaHei" w:eastAsia="Microsoft YaHei" w:hAnsi="Microsoft YaHei" w:cs="Microsoft YaHei"/>
          <w:sz w:val="13"/>
          <w:szCs w:val="1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https://d.book118.com/248010102105006030</w:t>
        </w:r>
      </w:hyperlink>
    </w:p>
    <w:p>
      <w:pPr>
        <w:spacing w:line="199" w:lineRule="auto"/>
        <w:rPr>
          <w:rFonts w:ascii="Microsoft YaHei" w:eastAsia="Microsoft YaHei" w:hAnsi="Microsoft YaHei" w:cs="Microsoft YaHei"/>
          <w:sz w:val="13"/>
          <w:szCs w:val="13"/>
        </w:rPr>
      </w:pPr>
    </w:p>
    <w:sectPr>
      <w:headerReference w:type="default" r:id="rId42"/>
      <w:footerReference w:type="default" r:id="rId43"/>
      <w:type w:val="nextPage"/>
      <w:pgSz w:w="11905" w:h="16839"/>
      <w:pgMar w:top="400" w:right="1416" w:bottom="400" w:left="1423" w:header="0" w:footer="0" w:gutter="0"/>
      <w:pgNumType w:start="1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8.55pt;height:11.25pt;margin-top:790.54pt;margin-left:70.41pt;mso-position-horizontal-relative:page;mso-position-vertical-relative:page;position:absolute;z-index:251658240" o:allowincell="f" filled="f" stroked="f">
          <o:lock v:ext="edit" aspectratio="f"/>
          <v:textbox inset="0,0,0,0">
            <w:txbxContent>
              <w:p>
                <w:pPr>
                  <w:spacing w:before="20" w:line="199" w:lineRule="auto"/>
                  <w:ind w:left="20"/>
                  <w:outlineLvl w:val="0"/>
                  <w:rPr>
                    <w:rFonts w:ascii="Microsoft YaHei" w:eastAsia="Microsoft YaHei" w:hAnsi="Microsoft YaHei" w:cs="Microsoft YaHei"/>
                    <w:sz w:val="13"/>
                    <w:szCs w:val="13"/>
                  </w:rPr>
                </w:pPr>
                <w:r>
                  <w:rPr>
                    <w:rFonts w:ascii="Microsoft YaHei" w:eastAsia="Microsoft YaHei" w:hAnsi="Microsoft YaHei" w:cs="Microsoft YaHei"/>
                    <w:color w:val="003F7C"/>
                    <w:spacing w:val="6"/>
                    <w:sz w:val="13"/>
                    <w:szCs w:val="13"/>
                  </w:rPr>
                  <w:t>1</w:t>
                </w:r>
                <w:r>
                  <w:rPr>
                    <w:rFonts w:ascii="Microsoft YaHei" w:eastAsia="Microsoft YaHei" w:hAnsi="Microsoft YaHei" w:cs="Microsoft YaHei"/>
                    <w:color w:val="003F7C"/>
                    <w:spacing w:val="1"/>
                    <w:sz w:val="13"/>
                    <w:szCs w:val="13"/>
                  </w:rPr>
                  <w:t xml:space="preserve">    </w:t>
                </w:r>
                <w:r>
                  <w:rPr>
                    <w:rFonts w:ascii="Microsoft YaHei" w:eastAsia="Microsoft YaHei" w:hAnsi="Microsoft YaHei" w:cs="Microsoft YaHei"/>
                    <w:color w:val="003F7C"/>
                    <w:spacing w:val="6"/>
                    <w:sz w:val="13"/>
                    <w:szCs w:val="13"/>
                  </w:rPr>
                  <w:t>|</w:t>
                </w:r>
                <w:r>
                  <w:rPr>
                    <w:rFonts w:ascii="Microsoft YaHei" w:eastAsia="Microsoft YaHei" w:hAnsi="Microsoft YaHei" w:cs="Microsoft YaHei"/>
                    <w:color w:val="003F7C"/>
                    <w:spacing w:val="10"/>
                    <w:sz w:val="13"/>
                    <w:szCs w:val="13"/>
                  </w:rPr>
                  <w:t xml:space="preserve">   </w:t>
                </w:r>
                <w:r>
                  <w:rPr>
                    <w:rFonts w:ascii="Microsoft YaHei" w:eastAsia="Microsoft YaHei" w:hAnsi="Microsoft YaHei" w:cs="Microsoft YaHei"/>
                    <w:color w:val="003F7C"/>
                    <w:spacing w:val="6"/>
                    <w:sz w:val="13"/>
                    <w:szCs w:val="13"/>
                  </w:rPr>
                  <w:t>企业大模型市场厂商评估-滴普科技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2.png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3.png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image" Target="media/image4.png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image" Target="media/image5.png" /><Relationship Id="rId35" Type="http://schemas.openxmlformats.org/officeDocument/2006/relationships/header" Target="header14.xml" /><Relationship Id="rId36" Type="http://schemas.openxmlformats.org/officeDocument/2006/relationships/footer" Target="footer14.xml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openxmlformats.org/officeDocument/2006/relationships/header" Target="header16.xml" /><Relationship Id="rId4" Type="http://schemas.openxmlformats.org/officeDocument/2006/relationships/image" Target="media/image1.png" /><Relationship Id="rId40" Type="http://schemas.openxmlformats.org/officeDocument/2006/relationships/footer" Target="footer16.xml" /><Relationship Id="rId41" Type="http://schemas.openxmlformats.org/officeDocument/2006/relationships/hyperlink" Target="https://d.book118.com/248010102105006030" TargetMode="External" /><Relationship Id="rId42" Type="http://schemas.openxmlformats.org/officeDocument/2006/relationships/header" Target="header17.xml" /><Relationship Id="rId43" Type="http://schemas.openxmlformats.org/officeDocument/2006/relationships/footer" Target="footer17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2024-01-23T19:05:52Z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2024-01-23T19:08:53Z</vt:filetime>
  </property>
  <property fmtid="{D5CDD505-2E9C-101B-9397-08002B2CF9AE}" pid="3" name="CRO">
    <vt:lpwstr>wqlLaW5nc29mdCBQREYgdG8gV1BTIDkw</vt:lpwstr>
  </property>
</Properties>
</file>