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50" w:after="201" w:line="525" w:lineRule="atLeast"/>
        <w:jc w:val="center"/>
        <w:outlineLvl w:val="0"/>
        <w:rPr>
          <w:rFonts w:ascii="SimSun" w:eastAsia="SimSun" w:hAnsi="SimSun" w:cs="SimSun"/>
          <w:b w:val="0"/>
          <w:bCs w:val="0"/>
          <w:color w:val="236BAC"/>
          <w:sz w:val="30"/>
          <w:szCs w:val="30"/>
        </w:rPr>
      </w:pPr>
      <w:r>
        <w:rPr>
          <w:rFonts w:ascii="SimSun" w:eastAsia="SimSun" w:hAnsi="SimSun" w:cs="SimSun"/>
          <w:b w:val="0"/>
          <w:bCs w:val="0"/>
          <w:color w:val="236BAC"/>
          <w:sz w:val="30"/>
          <w:szCs w:val="30"/>
        </w:rPr>
        <w:t>开放中的封闭：无界学习的教育危机</w:t>
      </w:r>
    </w:p>
    <w:p>
      <w:pPr>
        <w:spacing w:before="199" w:after="199" w:line="420" w:lineRule="atLeast"/>
        <w:jc w:val="center"/>
        <w:outlineLvl w:val="1"/>
        <w:rPr>
          <w:rFonts w:ascii="SimSun" w:eastAsia="SimSun" w:hAnsi="SimSun" w:cs="SimSun"/>
          <w:b w:val="0"/>
          <w:bCs w:val="0"/>
        </w:rPr>
      </w:pPr>
      <w:r>
        <w:rPr>
          <w:rFonts w:ascii="SimSun" w:eastAsia="SimSun" w:hAnsi="SimSun" w:cs="SimSun"/>
          <w:b w:val="0"/>
          <w:bCs w:val="0"/>
        </w:rPr>
        <w:t>——Closure in Openness:The Education Crisis of Borderless Learning</w:t>
      </w:r>
    </w:p>
    <w:p>
      <w:pPr>
        <w:pStyle w:val="articlinfot"/>
        <w:pBdr>
          <w:top w:val="none" w:sz="0" w:space="0" w:color="auto"/>
          <w:left w:val="none" w:sz="0" w:space="0" w:color="auto"/>
          <w:bottom w:val="single" w:sz="6" w:space="0" w:color="E1E1E1"/>
          <w:right w:val="none" w:sz="0" w:space="0" w:color="auto"/>
        </w:pBdr>
        <w:ind w:left="450" w:right="450"/>
      </w:pPr>
      <w:r>
        <w:rPr>
          <w:rFonts w:ascii="MS Mincho" w:eastAsia="MS Mincho" w:hAnsi="MS Mincho" w:cs="MS Mincho"/>
        </w:rPr>
        <w:t>作</w:t>
      </w:r>
      <w:r>
        <w:t xml:space="preserve"> </w:t>
      </w:r>
      <w:r>
        <w:rPr>
          <w:rFonts w:ascii="MS Mincho" w:eastAsia="MS Mincho" w:hAnsi="MS Mincho" w:cs="MS Mincho"/>
        </w:rPr>
        <w:t>者：</w:t>
      </w:r>
    </w:p>
    <w:p>
      <w:pPr>
        <w:pStyle w:val="articlinfocinfoc"/>
        <w:pBdr>
          <w:top w:val="none" w:sz="0" w:space="0" w:color="auto"/>
          <w:left w:val="none" w:sz="0" w:space="0" w:color="auto"/>
          <w:bottom w:val="single" w:sz="6" w:space="0" w:color="E1E1E1"/>
          <w:right w:val="none" w:sz="0" w:space="0" w:color="auto"/>
        </w:pBdr>
        <w:ind w:left="1650" w:right="450"/>
      </w:pPr>
      <w:hyperlink r:id="rId4" w:tgtFrame="_blank" w:history="1">
        <w:r>
          <w:rPr>
            <w:rFonts w:ascii="MS Mincho" w:eastAsia="MS Mincho" w:hAnsi="MS Mincho" w:cs="MS Mincho"/>
            <w:color w:val="0000EE"/>
            <w:u w:val="single" w:color="0000EE"/>
          </w:rPr>
          <w:t>刘云杉</w:t>
        </w:r>
      </w:hyperlink>
      <w:hyperlink r:id="rId5" w:history="1">
        <w:bookmarkStart w:id="0" w:name="btn_addschlar"/>
      </w:hyperlink>
      <w:bookmarkEnd w:id="0"/>
    </w:p>
    <w:p>
      <w:pPr>
        <w:pBdr>
          <w:top w:val="none" w:sz="0" w:space="0" w:color="auto"/>
          <w:left w:val="none" w:sz="0" w:space="0" w:color="auto"/>
          <w:bottom w:val="single" w:sz="6" w:space="0" w:color="E1E1E1"/>
          <w:right w:val="none" w:sz="0" w:space="0" w:color="auto"/>
        </w:pBdr>
        <w:spacing w:after="75" w:line="360" w:lineRule="atLeast"/>
        <w:ind w:left="450" w:right="450"/>
      </w:pPr>
    </w:p>
    <w:p>
      <w:pPr>
        <w:pStyle w:val="articlinfot"/>
        <w:pBdr>
          <w:top w:val="none" w:sz="0" w:space="0" w:color="auto"/>
          <w:left w:val="none" w:sz="0" w:space="0" w:color="auto"/>
          <w:bottom w:val="single" w:sz="6" w:space="0" w:color="E1E1E1"/>
          <w:right w:val="none" w:sz="0" w:space="0" w:color="auto"/>
        </w:pBdr>
        <w:ind w:left="450" w:right="450"/>
      </w:pPr>
      <w:r>
        <w:rPr>
          <w:rFonts w:ascii="MS Mincho" w:eastAsia="MS Mincho" w:hAnsi="MS Mincho" w:cs="MS Mincho"/>
        </w:rPr>
        <w:t>作者</w:t>
      </w:r>
      <w:r>
        <w:rPr>
          <w:rFonts w:ascii="PMingLiU" w:eastAsia="PMingLiU" w:hAnsi="PMingLiU" w:cs="PMingLiU"/>
        </w:rPr>
        <w:t>简</w:t>
      </w:r>
      <w:r>
        <w:rPr>
          <w:rFonts w:ascii="MS Mincho" w:eastAsia="MS Mincho" w:hAnsi="MS Mincho" w:cs="MS Mincho"/>
        </w:rPr>
        <w:t>介：</w:t>
      </w:r>
    </w:p>
    <w:p>
      <w:pPr>
        <w:pStyle w:val="articlinfocinfoc"/>
        <w:pBdr>
          <w:top w:val="none" w:sz="0" w:space="0" w:color="auto"/>
          <w:left w:val="none" w:sz="0" w:space="0" w:color="auto"/>
          <w:bottom w:val="single" w:sz="6" w:space="0" w:color="E1E1E1"/>
          <w:right w:val="none" w:sz="0" w:space="0" w:color="auto"/>
        </w:pBdr>
        <w:ind w:left="1650" w:right="450"/>
      </w:pPr>
      <w:r>
        <w:rPr>
          <w:rFonts w:ascii="MS Mincho" w:eastAsia="MS Mincho" w:hAnsi="MS Mincho" w:cs="MS Mincho"/>
        </w:rPr>
        <w:t>刘云杉，北京大学教育学院教授。</w:t>
      </w:r>
    </w:p>
    <w:p>
      <w:pPr>
        <w:pBdr>
          <w:top w:val="none" w:sz="0" w:space="0" w:color="auto"/>
          <w:left w:val="none" w:sz="0" w:space="0" w:color="auto"/>
          <w:bottom w:val="single" w:sz="6" w:space="0" w:color="E1E1E1"/>
          <w:right w:val="none" w:sz="0" w:space="0" w:color="auto"/>
        </w:pBdr>
        <w:spacing w:after="75" w:line="360" w:lineRule="atLeast"/>
        <w:ind w:left="450" w:right="450"/>
      </w:pPr>
    </w:p>
    <w:p>
      <w:pPr>
        <w:pStyle w:val="articlinfot"/>
        <w:pBdr>
          <w:top w:val="none" w:sz="0" w:space="0" w:color="auto"/>
          <w:left w:val="none" w:sz="0" w:space="0" w:color="auto"/>
          <w:bottom w:val="single" w:sz="6" w:space="0" w:color="E1E1E1"/>
          <w:right w:val="none" w:sz="0" w:space="0" w:color="auto"/>
        </w:pBdr>
        <w:spacing w:before="75"/>
        <w:ind w:left="450" w:right="450"/>
      </w:pPr>
      <w:r>
        <w:rPr>
          <w:rFonts w:ascii="MS Mincho" w:eastAsia="MS Mincho" w:hAnsi="MS Mincho" w:cs="MS Mincho"/>
        </w:rPr>
        <w:t>原</w:t>
      </w:r>
      <w:r>
        <w:rPr>
          <w:rFonts w:ascii="PMingLiU" w:eastAsia="PMingLiU" w:hAnsi="PMingLiU" w:cs="PMingLiU"/>
        </w:rPr>
        <w:t>发</w:t>
      </w:r>
      <w:r>
        <w:rPr>
          <w:rFonts w:ascii="MS Mincho" w:eastAsia="MS Mincho" w:hAnsi="MS Mincho" w:cs="MS Mincho"/>
        </w:rPr>
        <w:t>信息：</w:t>
      </w:r>
    </w:p>
    <w:p>
      <w:pPr>
        <w:pStyle w:val="articlinfocinfoc"/>
        <w:pBdr>
          <w:top w:val="none" w:sz="0" w:space="0" w:color="auto"/>
          <w:left w:val="none" w:sz="0" w:space="0" w:color="auto"/>
          <w:bottom w:val="single" w:sz="6" w:space="0" w:color="E1E1E1"/>
          <w:right w:val="none" w:sz="0" w:space="0" w:color="auto"/>
        </w:pBdr>
        <w:ind w:left="1650" w:right="450"/>
      </w:pPr>
      <w:r>
        <w:rPr>
          <w:rFonts w:ascii="MS Mincho" w:eastAsia="MS Mincho" w:hAnsi="MS Mincho" w:cs="MS Mincho"/>
        </w:rPr>
        <w:t>《</w:t>
      </w:r>
      <w:hyperlink r:id="rId6" w:tgtFrame="_blank" w:history="1">
        <w:r>
          <w:rPr>
            <w:rFonts w:ascii="MS Mincho" w:eastAsia="MS Mincho" w:hAnsi="MS Mincho" w:cs="MS Mincho"/>
            <w:color w:val="0000EE"/>
            <w:u w:val="single" w:color="0000EE"/>
          </w:rPr>
          <w:t>中国</w:t>
        </w:r>
        <w:r>
          <w:rPr>
            <w:rFonts w:ascii="PMingLiU" w:eastAsia="PMingLiU" w:hAnsi="PMingLiU" w:cs="PMingLiU"/>
            <w:color w:val="0000EE"/>
            <w:u w:val="single" w:color="0000EE"/>
          </w:rPr>
          <w:t>远</w:t>
        </w:r>
        <w:r>
          <w:rPr>
            <w:rFonts w:ascii="MS Mincho" w:eastAsia="MS Mincho" w:hAnsi="MS Mincho" w:cs="MS Mincho"/>
            <w:color w:val="0000EE"/>
            <w:u w:val="single" w:color="0000EE"/>
          </w:rPr>
          <w:t>程教育</w:t>
        </w:r>
      </w:hyperlink>
      <w:r>
        <w:rPr>
          <w:rFonts w:ascii="MS Mincho" w:eastAsia="MS Mincho" w:hAnsi="MS Mincho" w:cs="MS Mincho"/>
        </w:rPr>
        <w:t>》</w:t>
      </w:r>
      <w:r>
        <w:t>(</w:t>
      </w:r>
      <w:r>
        <w:rPr>
          <w:rFonts w:ascii="MS Mincho" w:eastAsia="MS Mincho" w:hAnsi="MS Mincho" w:cs="MS Mincho"/>
        </w:rPr>
        <w:t>京</w:t>
      </w:r>
      <w:r>
        <w:t>)2023</w:t>
      </w:r>
      <w:r>
        <w:rPr>
          <w:rFonts w:ascii="MS Mincho" w:eastAsia="MS Mincho" w:hAnsi="MS Mincho" w:cs="MS Mincho"/>
        </w:rPr>
        <w:t>年第</w:t>
      </w:r>
      <w:r>
        <w:t>20235</w:t>
      </w:r>
      <w:r>
        <w:rPr>
          <w:rFonts w:ascii="MS Mincho" w:eastAsia="MS Mincho" w:hAnsi="MS Mincho" w:cs="MS Mincho"/>
        </w:rPr>
        <w:t>期</w:t>
      </w:r>
      <w:r>
        <w:t xml:space="preserve"> </w:t>
      </w:r>
      <w:r>
        <w:rPr>
          <w:rFonts w:ascii="MS Mincho" w:eastAsia="MS Mincho" w:hAnsi="MS Mincho" w:cs="MS Mincho"/>
        </w:rPr>
        <w:t>第</w:t>
      </w:r>
      <w:r>
        <w:t>1-12</w:t>
      </w:r>
      <w:r>
        <w:rPr>
          <w:rFonts w:ascii="PMingLiU" w:eastAsia="PMingLiU" w:hAnsi="PMingLiU" w:cs="PMingLiU"/>
        </w:rPr>
        <w:t>页</w:t>
      </w:r>
    </w:p>
    <w:p>
      <w:pPr>
        <w:pBdr>
          <w:top w:val="none" w:sz="0" w:space="0" w:color="auto"/>
          <w:left w:val="none" w:sz="0" w:space="0" w:color="auto"/>
          <w:bottom w:val="single" w:sz="6" w:space="0" w:color="E1E1E1"/>
          <w:right w:val="none" w:sz="0" w:space="0" w:color="auto"/>
        </w:pBdr>
        <w:spacing w:after="75" w:line="360" w:lineRule="atLeast"/>
        <w:ind w:left="450" w:right="450"/>
      </w:pPr>
    </w:p>
    <w:p>
      <w:pPr>
        <w:pStyle w:val="articlinfot"/>
        <w:pBdr>
          <w:top w:val="none" w:sz="0" w:space="0" w:color="auto"/>
          <w:left w:val="none" w:sz="0" w:space="0" w:color="auto"/>
          <w:bottom w:val="single" w:sz="6" w:space="0" w:color="E1E1E1"/>
          <w:right w:val="none" w:sz="0" w:space="0" w:color="auto"/>
        </w:pBdr>
        <w:ind w:left="450" w:right="450"/>
      </w:pPr>
      <w:r>
        <w:rPr>
          <w:rFonts w:ascii="MS Mincho" w:eastAsia="MS Mincho" w:hAnsi="MS Mincho" w:cs="MS Mincho"/>
        </w:rPr>
        <w:t>内容提要：</w:t>
      </w:r>
    </w:p>
    <w:p>
      <w:pPr>
        <w:pBdr>
          <w:top w:val="none" w:sz="0" w:space="0" w:color="auto"/>
          <w:left w:val="none" w:sz="0" w:space="0" w:color="auto"/>
          <w:bottom w:val="single" w:sz="6" w:space="0" w:color="E1E1E1"/>
          <w:right w:val="none" w:sz="0" w:space="0" w:color="auto"/>
        </w:pBdr>
        <w:spacing w:before="240" w:after="240" w:line="360" w:lineRule="atLeast"/>
        <w:ind w:left="1650" w:right="450"/>
      </w:pPr>
      <w:r>
        <w:rPr>
          <w:rFonts w:ascii="MS Mincho" w:eastAsia="MS Mincho" w:hAnsi="MS Mincho" w:cs="MS Mincho"/>
        </w:rPr>
        <w:t>文章辨析了</w:t>
      </w:r>
      <w:r>
        <w:t>“</w:t>
      </w:r>
      <w:r>
        <w:rPr>
          <w:rFonts w:ascii="MS Mincho" w:eastAsia="MS Mincho" w:hAnsi="MS Mincho" w:cs="MS Mincho"/>
        </w:rPr>
        <w:t>学</w:t>
      </w:r>
      <w:r>
        <w:rPr>
          <w:rFonts w:ascii="PMingLiU" w:eastAsia="PMingLiU" w:hAnsi="PMingLiU" w:cs="PMingLiU"/>
        </w:rPr>
        <w:t>习</w:t>
      </w:r>
      <w:r>
        <w:rPr>
          <w:rFonts w:ascii="MS Mincho" w:eastAsia="MS Mincho" w:hAnsi="MS Mincho" w:cs="MS Mincho"/>
        </w:rPr>
        <w:t>者中心</w:t>
      </w:r>
      <w:r>
        <w:t>”“</w:t>
      </w:r>
      <w:r>
        <w:rPr>
          <w:rFonts w:ascii="MS Mincho" w:eastAsia="MS Mincho" w:hAnsi="MS Mincho" w:cs="MS Mincho"/>
        </w:rPr>
        <w:t>教育的学</w:t>
      </w:r>
      <w:r>
        <w:rPr>
          <w:rFonts w:ascii="PMingLiU" w:eastAsia="PMingLiU" w:hAnsi="PMingLiU" w:cs="PMingLiU"/>
        </w:rPr>
        <w:t>习</w:t>
      </w:r>
      <w:r>
        <w:rPr>
          <w:rFonts w:ascii="MS Mincho" w:eastAsia="MS Mincho" w:hAnsi="MS Mincho" w:cs="MS Mincho"/>
        </w:rPr>
        <w:t>化</w:t>
      </w:r>
      <w:r>
        <w:t>”“</w:t>
      </w:r>
      <w:r>
        <w:rPr>
          <w:rFonts w:ascii="PMingLiU" w:eastAsia="PMingLiU" w:hAnsi="PMingLiU" w:cs="PMingLiU"/>
        </w:rPr>
        <w:t>转</w:t>
      </w:r>
      <w:r>
        <w:rPr>
          <w:rFonts w:ascii="MS Mincho" w:eastAsia="MS Mincho" w:hAnsi="MS Mincho" w:cs="MS Mincho"/>
        </w:rPr>
        <w:t>向学</w:t>
      </w:r>
      <w:r>
        <w:rPr>
          <w:rFonts w:ascii="PMingLiU" w:eastAsia="PMingLiU" w:hAnsi="PMingLiU" w:cs="PMingLiU"/>
        </w:rPr>
        <w:t>习结</w:t>
      </w:r>
      <w:r>
        <w:rPr>
          <w:rFonts w:ascii="MS Mincho" w:eastAsia="MS Mincho" w:hAnsi="MS Mincho" w:cs="MS Mincho"/>
        </w:rPr>
        <w:t>果</w:t>
      </w:r>
      <w:r>
        <w:t>”</w:t>
      </w:r>
      <w:r>
        <w:rPr>
          <w:rFonts w:ascii="MS Mincho" w:eastAsia="MS Mincho" w:hAnsi="MS Mincho" w:cs="MS Mincho"/>
        </w:rPr>
        <w:t>等教育政策的价</w:t>
      </w:r>
      <w:r>
        <w:rPr>
          <w:rFonts w:ascii="PMingLiU" w:eastAsia="PMingLiU" w:hAnsi="PMingLiU" w:cs="PMingLiU"/>
        </w:rPr>
        <w:t>值</w:t>
      </w:r>
      <w:r>
        <w:rPr>
          <w:rFonts w:ascii="MS Mincho" w:eastAsia="MS Mincho" w:hAnsi="MS Mincho" w:cs="MS Mincho"/>
        </w:rPr>
        <w:t>，追溯了自由</w:t>
      </w:r>
      <w:r>
        <w:rPr>
          <w:rFonts w:ascii="PMingLiU" w:eastAsia="PMingLiU" w:hAnsi="PMingLiU" w:cs="PMingLiU"/>
        </w:rPr>
        <w:t>选择</w:t>
      </w:r>
      <w:r>
        <w:rPr>
          <w:rFonts w:ascii="MS Mincho" w:eastAsia="MS Mincho" w:hAnsi="MS Mincho" w:cs="MS Mincho"/>
        </w:rPr>
        <w:t>、基于</w:t>
      </w:r>
      <w:r>
        <w:rPr>
          <w:rFonts w:ascii="PMingLiU" w:eastAsia="PMingLiU" w:hAnsi="PMingLiU" w:cs="PMingLiU"/>
        </w:rPr>
        <w:t>结</w:t>
      </w:r>
      <w:r>
        <w:rPr>
          <w:rFonts w:ascii="MS Mincho" w:eastAsia="MS Mincho" w:hAnsi="MS Mincho" w:cs="MS Mincho"/>
        </w:rPr>
        <w:t>果的学</w:t>
      </w:r>
      <w:r>
        <w:rPr>
          <w:rFonts w:ascii="PMingLiU" w:eastAsia="PMingLiU" w:hAnsi="PMingLiU" w:cs="PMingLiU"/>
        </w:rPr>
        <w:t>习</w:t>
      </w:r>
      <w:r>
        <w:rPr>
          <w:rFonts w:ascii="MS Mincho" w:eastAsia="MS Mincho" w:hAnsi="MS Mincho" w:cs="MS Mincho"/>
        </w:rPr>
        <w:t>、跨学科、能力与潜能等教学改革的制度背景。文章主体</w:t>
      </w:r>
      <w:r>
        <w:rPr>
          <w:rFonts w:ascii="PMingLiU" w:eastAsia="PMingLiU" w:hAnsi="PMingLiU" w:cs="PMingLiU"/>
        </w:rPr>
        <w:t>为</w:t>
      </w:r>
      <w:r>
        <w:rPr>
          <w:rFonts w:ascii="MS Mincho" w:eastAsia="MS Mincho" w:hAnsi="MS Mincho" w:cs="MS Mincho"/>
        </w:rPr>
        <w:t>四重叙事：技</w:t>
      </w:r>
      <w:r>
        <w:rPr>
          <w:rFonts w:ascii="PMingLiU" w:eastAsia="PMingLiU" w:hAnsi="PMingLiU" w:cs="PMingLiU"/>
        </w:rPr>
        <w:t>术</w:t>
      </w:r>
      <w:r>
        <w:rPr>
          <w:rFonts w:ascii="MS Mincho" w:eastAsia="MS Mincho" w:hAnsi="MS Mincho" w:cs="MS Mincho"/>
        </w:rPr>
        <w:t>所欲</w:t>
      </w:r>
      <w:r>
        <w:rPr>
          <w:rFonts w:ascii="PMingLiU" w:eastAsia="PMingLiU" w:hAnsi="PMingLiU" w:cs="PMingLiU"/>
        </w:rPr>
        <w:t>实现</w:t>
      </w:r>
      <w:r>
        <w:rPr>
          <w:rFonts w:ascii="MS Mincho" w:eastAsia="MS Mincho" w:hAnsi="MS Mincho" w:cs="MS Mincho"/>
        </w:rPr>
        <w:t>的</w:t>
      </w:r>
      <w:r>
        <w:t>“</w:t>
      </w:r>
      <w:r>
        <w:rPr>
          <w:rFonts w:ascii="MS Mincho" w:eastAsia="MS Mincho" w:hAnsi="MS Mincho" w:cs="MS Mincho"/>
        </w:rPr>
        <w:t>去学校化</w:t>
      </w:r>
      <w:r>
        <w:t>”</w:t>
      </w:r>
      <w:r>
        <w:rPr>
          <w:rFonts w:ascii="MS Mincho" w:eastAsia="MS Mincho" w:hAnsi="MS Mincho" w:cs="MS Mincho"/>
        </w:rPr>
        <w:t>努力，政治</w:t>
      </w:r>
      <w:r>
        <w:rPr>
          <w:rFonts w:ascii="PMingLiU" w:eastAsia="PMingLiU" w:hAnsi="PMingLiU" w:cs="PMingLiU"/>
        </w:rPr>
        <w:t>维</w:t>
      </w:r>
      <w:r>
        <w:rPr>
          <w:rFonts w:ascii="MS Mincho" w:eastAsia="MS Mincho" w:hAnsi="MS Mincho" w:cs="MS Mincho"/>
        </w:rPr>
        <w:t>度上的</w:t>
      </w:r>
      <w:r>
        <w:t>“</w:t>
      </w:r>
      <w:r>
        <w:rPr>
          <w:rFonts w:ascii="MS Mincho" w:eastAsia="MS Mincho" w:hAnsi="MS Mincho" w:cs="MS Mincho"/>
        </w:rPr>
        <w:t>学</w:t>
      </w:r>
      <w:r>
        <w:rPr>
          <w:rFonts w:ascii="PMingLiU" w:eastAsia="PMingLiU" w:hAnsi="PMingLiU" w:cs="PMingLiU"/>
        </w:rPr>
        <w:t>习</w:t>
      </w:r>
      <w:r>
        <w:rPr>
          <w:rFonts w:ascii="MS Mincho" w:eastAsia="MS Mincho" w:hAnsi="MS Mincho" w:cs="MS Mincho"/>
        </w:rPr>
        <w:t>者中心</w:t>
      </w:r>
      <w:r>
        <w:t>”</w:t>
      </w:r>
      <w:r>
        <w:rPr>
          <w:rFonts w:ascii="MS Mincho" w:eastAsia="MS Mincho" w:hAnsi="MS Mincho" w:cs="MS Mincho"/>
        </w:rPr>
        <w:t>形</w:t>
      </w:r>
      <w:r>
        <w:rPr>
          <w:rFonts w:ascii="PMingLiU" w:eastAsia="PMingLiU" w:hAnsi="PMingLiU" w:cs="PMingLiU"/>
        </w:rPr>
        <w:t>为</w:t>
      </w:r>
      <w:r>
        <w:rPr>
          <w:rFonts w:ascii="MS Mincho" w:eastAsia="MS Mincho" w:hAnsi="MS Mincho" w:cs="MS Mincho"/>
        </w:rPr>
        <w:t>解放</w:t>
      </w:r>
      <w:r>
        <w:rPr>
          <w:rFonts w:ascii="PMingLiU" w:eastAsia="PMingLiU" w:hAnsi="PMingLiU" w:cs="PMingLiU"/>
        </w:rPr>
        <w:t>话语</w:t>
      </w:r>
      <w:r>
        <w:rPr>
          <w:rFonts w:ascii="MS Mincho" w:eastAsia="MS Mincho" w:hAnsi="MS Mincho" w:cs="MS Mincho"/>
        </w:rPr>
        <w:t>、</w:t>
      </w:r>
      <w:r>
        <w:rPr>
          <w:rFonts w:ascii="PMingLiU" w:eastAsia="PMingLiU" w:hAnsi="PMingLiU" w:cs="PMingLiU"/>
        </w:rPr>
        <w:t>实则强</w:t>
      </w:r>
      <w:r>
        <w:rPr>
          <w:rFonts w:ascii="MS Mincho" w:eastAsia="MS Mincho" w:hAnsi="MS Mincho" w:cs="MS Mincho"/>
        </w:rPr>
        <w:t>制</w:t>
      </w:r>
      <w:r>
        <w:rPr>
          <w:rFonts w:ascii="PMingLiU" w:eastAsia="PMingLiU" w:hAnsi="PMingLiU" w:cs="PMingLiU"/>
        </w:rPr>
        <w:t>逻辑</w:t>
      </w:r>
      <w:r>
        <w:rPr>
          <w:rFonts w:ascii="MS Mincho" w:eastAsia="MS Mincho" w:hAnsi="MS Mincho" w:cs="MS Mincho"/>
        </w:rPr>
        <w:t>，</w:t>
      </w:r>
      <w:r>
        <w:rPr>
          <w:rFonts w:ascii="PMingLiU" w:eastAsia="PMingLiU" w:hAnsi="PMingLiU" w:cs="PMingLiU"/>
        </w:rPr>
        <w:t>经济维</w:t>
      </w:r>
      <w:r>
        <w:rPr>
          <w:rFonts w:ascii="MS Mincho" w:eastAsia="MS Mincho" w:hAnsi="MS Mincho" w:cs="MS Mincho"/>
        </w:rPr>
        <w:t>度上从适</w:t>
      </w:r>
      <w:r>
        <w:rPr>
          <w:rFonts w:ascii="PMingLiU" w:eastAsia="PMingLiU" w:hAnsi="PMingLiU" w:cs="PMingLiU"/>
        </w:rPr>
        <w:t>应</w:t>
      </w:r>
      <w:r>
        <w:rPr>
          <w:rFonts w:ascii="MS Mincho" w:eastAsia="MS Mincho" w:hAnsi="MS Mincho" w:cs="MS Mincho"/>
        </w:rPr>
        <w:t>外部工作需要到自主迁移，能力不得不潜能化甚至</w:t>
      </w:r>
      <w:r>
        <w:rPr>
          <w:rFonts w:ascii="PMingLiU" w:eastAsia="PMingLiU" w:hAnsi="PMingLiU" w:cs="PMingLiU"/>
        </w:rPr>
        <w:t>绩</w:t>
      </w:r>
      <w:r>
        <w:rPr>
          <w:rFonts w:ascii="MS Mincho" w:eastAsia="MS Mincho" w:hAnsi="MS Mincho" w:cs="MS Mincho"/>
        </w:rPr>
        <w:t>效化，相</w:t>
      </w:r>
      <w:r>
        <w:rPr>
          <w:rFonts w:ascii="PMingLiU" w:eastAsia="PMingLiU" w:hAnsi="PMingLiU" w:cs="PMingLiU"/>
        </w:rPr>
        <w:t>应</w:t>
      </w:r>
      <w:r>
        <w:rPr>
          <w:rFonts w:ascii="MS Mincho" w:eastAsia="MS Mincho" w:hAnsi="MS Mincho" w:cs="MS Mincho"/>
        </w:rPr>
        <w:t>教学内容空洞化，教育削弱了知</w:t>
      </w:r>
      <w:r>
        <w:rPr>
          <w:rFonts w:ascii="PMingLiU" w:eastAsia="PMingLiU" w:hAnsi="PMingLiU" w:cs="PMingLiU"/>
        </w:rPr>
        <w:t>识权</w:t>
      </w:r>
      <w:r>
        <w:rPr>
          <w:rFonts w:ascii="MS Mincho" w:eastAsia="MS Mincho" w:hAnsi="MS Mincho" w:cs="MS Mincho"/>
        </w:rPr>
        <w:t>威却</w:t>
      </w:r>
      <w:r>
        <w:rPr>
          <w:rFonts w:ascii="PMingLiU" w:eastAsia="PMingLiU" w:hAnsi="PMingLiU" w:cs="PMingLiU"/>
        </w:rPr>
        <w:t>获</w:t>
      </w:r>
      <w:r>
        <w:rPr>
          <w:rFonts w:ascii="MS Mincho" w:eastAsia="MS Mincho" w:hAnsi="MS Mincho" w:cs="MS Mincho"/>
        </w:rPr>
        <w:t>得了跨越</w:t>
      </w:r>
      <w:r>
        <w:rPr>
          <w:rFonts w:ascii="PMingLiU" w:eastAsia="PMingLiU" w:hAnsi="PMingLiU" w:cs="PMingLiU"/>
        </w:rPr>
        <w:t>边</w:t>
      </w:r>
      <w:r>
        <w:rPr>
          <w:rFonts w:ascii="MS Mincho" w:eastAsia="MS Mincho" w:hAnsi="MS Mincho" w:cs="MS Mincho"/>
        </w:rPr>
        <w:t>界的流通信用，最</w:t>
      </w:r>
      <w:r>
        <w:rPr>
          <w:rFonts w:ascii="PMingLiU" w:eastAsia="PMingLiU" w:hAnsi="PMingLiU" w:cs="PMingLiU"/>
        </w:rPr>
        <w:t>终</w:t>
      </w:r>
      <w:r>
        <w:rPr>
          <w:rFonts w:ascii="MS Mincho" w:eastAsia="MS Mincho" w:hAnsi="MS Mincho" w:cs="MS Mincho"/>
        </w:rPr>
        <w:t>，伊利奇所批判的制度</w:t>
      </w:r>
      <w:r>
        <w:rPr>
          <w:rFonts w:ascii="PMingLiU" w:eastAsia="PMingLiU" w:hAnsi="PMingLiU" w:cs="PMingLiU"/>
        </w:rPr>
        <w:t>铁笼蜕变为</w:t>
      </w:r>
      <w:r>
        <w:rPr>
          <w:rFonts w:ascii="MS Mincho" w:eastAsia="MS Mincho" w:hAnsi="MS Mincho" w:cs="MS Mincho"/>
        </w:rPr>
        <w:t>一</w:t>
      </w:r>
      <w:r>
        <w:rPr>
          <w:rFonts w:ascii="PMingLiU" w:eastAsia="PMingLiU" w:hAnsi="PMingLiU" w:cs="PMingLiU"/>
        </w:rPr>
        <w:t>袭贴</w:t>
      </w:r>
      <w:r>
        <w:rPr>
          <w:rFonts w:ascii="MS Mincho" w:eastAsia="MS Mincho" w:hAnsi="MS Mincho" w:cs="MS Mincho"/>
        </w:rPr>
        <w:t>身且更</w:t>
      </w:r>
      <w:r>
        <w:rPr>
          <w:rFonts w:ascii="PMingLiU" w:eastAsia="PMingLiU" w:hAnsi="PMingLiU" w:cs="PMingLiU"/>
        </w:rPr>
        <w:t>严</w:t>
      </w:r>
      <w:r>
        <w:rPr>
          <w:rFonts w:ascii="MS Mincho" w:eastAsia="MS Mincho" w:hAnsi="MS Mincho" w:cs="MS Mincho"/>
        </w:rPr>
        <w:t>苛的</w:t>
      </w:r>
      <w:r>
        <w:rPr>
          <w:rFonts w:ascii="PMingLiU" w:eastAsia="PMingLiU" w:hAnsi="PMingLiU" w:cs="PMingLiU"/>
        </w:rPr>
        <w:t>战</w:t>
      </w:r>
      <w:r>
        <w:rPr>
          <w:rFonts w:ascii="MS Mincho" w:eastAsia="MS Mincho" w:hAnsi="MS Mincho" w:cs="MS Mincho"/>
        </w:rPr>
        <w:t>袍，走向开放的学</w:t>
      </w:r>
      <w:r>
        <w:rPr>
          <w:rFonts w:ascii="PMingLiU" w:eastAsia="PMingLiU" w:hAnsi="PMingLiU" w:cs="PMingLiU"/>
        </w:rPr>
        <w:t>习</w:t>
      </w:r>
      <w:r>
        <w:rPr>
          <w:rFonts w:ascii="MS Mincho" w:eastAsia="MS Mincho" w:hAnsi="MS Mincho" w:cs="MS Mincho"/>
        </w:rPr>
        <w:t>却止于封</w:t>
      </w:r>
      <w:r>
        <w:rPr>
          <w:rFonts w:ascii="PMingLiU" w:eastAsia="PMingLiU" w:hAnsi="PMingLiU" w:cs="PMingLiU"/>
        </w:rPr>
        <w:t>闭</w:t>
      </w:r>
      <w:r>
        <w:rPr>
          <w:rFonts w:ascii="MS Mincho" w:eastAsia="MS Mincho" w:hAnsi="MS Mincho" w:cs="MS Mincho"/>
        </w:rPr>
        <w:t>。文章以此洞悉全球新自由主</w:t>
      </w:r>
      <w:r>
        <w:rPr>
          <w:rFonts w:ascii="PMingLiU" w:eastAsia="PMingLiU" w:hAnsi="PMingLiU" w:cs="PMingLiU"/>
        </w:rPr>
        <w:t>义</w:t>
      </w:r>
      <w:r>
        <w:rPr>
          <w:rFonts w:ascii="MS Mincho" w:eastAsia="MS Mincho" w:hAnsi="MS Mincho" w:cs="MS Mincho"/>
        </w:rPr>
        <w:t>政治</w:t>
      </w:r>
      <w:r>
        <w:rPr>
          <w:rFonts w:ascii="PMingLiU" w:eastAsia="PMingLiU" w:hAnsi="PMingLiU" w:cs="PMingLiU"/>
        </w:rPr>
        <w:t>经济话语</w:t>
      </w:r>
      <w:r>
        <w:rPr>
          <w:rFonts w:ascii="MS Mincho" w:eastAsia="MS Mincho" w:hAnsi="MS Mincho" w:cs="MS Mincho"/>
        </w:rPr>
        <w:t>中，政治、</w:t>
      </w:r>
      <w:r>
        <w:rPr>
          <w:rFonts w:ascii="PMingLiU" w:eastAsia="PMingLiU" w:hAnsi="PMingLiU" w:cs="PMingLiU"/>
        </w:rPr>
        <w:t>经济</w:t>
      </w:r>
      <w:r>
        <w:rPr>
          <w:rFonts w:ascii="MS Mincho" w:eastAsia="MS Mincho" w:hAnsi="MS Mincho" w:cs="MS Mincho"/>
        </w:rPr>
        <w:t>、技</w:t>
      </w:r>
      <w:r>
        <w:rPr>
          <w:rFonts w:ascii="PMingLiU" w:eastAsia="PMingLiU" w:hAnsi="PMingLiU" w:cs="PMingLiU"/>
        </w:rPr>
        <w:t>术</w:t>
      </w:r>
      <w:r>
        <w:rPr>
          <w:rFonts w:ascii="MS Mincho" w:eastAsia="MS Mincho" w:hAnsi="MS Mincho" w:cs="MS Mincho"/>
        </w:rPr>
        <w:t>与教育的复</w:t>
      </w:r>
      <w:r>
        <w:rPr>
          <w:rFonts w:ascii="PMingLiU" w:eastAsia="PMingLiU" w:hAnsi="PMingLiU" w:cs="PMingLiU"/>
        </w:rPr>
        <w:t>杂</w:t>
      </w:r>
      <w:r>
        <w:rPr>
          <w:rFonts w:ascii="MS Mincho" w:eastAsia="MS Mincho" w:hAnsi="MS Mincho" w:cs="MS Mincho"/>
        </w:rPr>
        <w:t>关系，并探及教育解决政治</w:t>
      </w:r>
      <w:r>
        <w:rPr>
          <w:rFonts w:ascii="PMingLiU" w:eastAsia="PMingLiU" w:hAnsi="PMingLiU" w:cs="PMingLiU"/>
        </w:rPr>
        <w:t>经济难</w:t>
      </w:r>
      <w:r>
        <w:rPr>
          <w:rFonts w:ascii="MS Mincho" w:eastAsia="MS Mincho" w:hAnsi="MS Mincho" w:cs="MS Mincho"/>
        </w:rPr>
        <w:t>以解决的麻</w:t>
      </w:r>
      <w:r>
        <w:rPr>
          <w:rFonts w:ascii="PMingLiU" w:eastAsia="PMingLiU" w:hAnsi="PMingLiU" w:cs="PMingLiU"/>
        </w:rPr>
        <w:t>烦</w:t>
      </w:r>
      <w:r>
        <w:rPr>
          <w:rFonts w:ascii="MS Mincho" w:eastAsia="MS Mincho" w:hAnsi="MS Mincho" w:cs="MS Mincho"/>
        </w:rPr>
        <w:t>的困</w:t>
      </w:r>
      <w:r>
        <w:rPr>
          <w:rFonts w:ascii="PMingLiU" w:eastAsia="PMingLiU" w:hAnsi="PMingLiU" w:cs="PMingLiU"/>
        </w:rPr>
        <w:t>难</w:t>
      </w:r>
      <w:r>
        <w:rPr>
          <w:rFonts w:ascii="MS Mincho" w:eastAsia="MS Mincho" w:hAnsi="MS Mincho" w:cs="MS Mincho"/>
        </w:rPr>
        <w:t>与可能。</w:t>
      </w:r>
    </w:p>
    <w:p>
      <w:pPr>
        <w:pBdr>
          <w:top w:val="none" w:sz="0" w:space="0" w:color="auto"/>
          <w:left w:val="none" w:sz="0" w:space="0" w:color="auto"/>
          <w:bottom w:val="single" w:sz="6" w:space="0" w:color="E1E1E1"/>
          <w:right w:val="none" w:sz="0" w:space="0" w:color="auto"/>
        </w:pBdr>
        <w:spacing w:before="240" w:after="240" w:line="360" w:lineRule="atLeast"/>
        <w:ind w:left="1650" w:right="450"/>
      </w:pPr>
      <w:r>
        <w:t>Closure in Openness:The Education Crisis of Borderless Learning</w:t>
      </w:r>
    </w:p>
    <w:p>
      <w:pPr>
        <w:pBdr>
          <w:top w:val="none" w:sz="0" w:space="0" w:color="auto"/>
          <w:left w:val="none" w:sz="0" w:space="0" w:color="auto"/>
          <w:bottom w:val="single" w:sz="6" w:space="0" w:color="E1E1E1"/>
          <w:right w:val="none" w:sz="0" w:space="0" w:color="auto"/>
        </w:pBdr>
        <w:spacing w:after="75" w:line="360" w:lineRule="atLeast"/>
        <w:ind w:left="450" w:right="450"/>
      </w:pPr>
    </w:p>
    <w:p>
      <w:pPr>
        <w:pStyle w:val="articlinfot"/>
        <w:pBdr>
          <w:top w:val="none" w:sz="0" w:space="0" w:color="auto"/>
          <w:left w:val="none" w:sz="0" w:space="0" w:color="auto"/>
          <w:bottom w:val="single" w:sz="6" w:space="0" w:color="E1E1E1"/>
          <w:right w:val="none" w:sz="0" w:space="0" w:color="auto"/>
        </w:pBdr>
        <w:ind w:left="450" w:right="450"/>
      </w:pPr>
      <w:r>
        <w:rPr>
          <w:rFonts w:ascii="MS Mincho" w:eastAsia="MS Mincho" w:hAnsi="MS Mincho" w:cs="MS Mincho"/>
        </w:rPr>
        <w:t>关</w:t>
      </w:r>
      <w:r>
        <w:t xml:space="preserve"> </w:t>
      </w:r>
      <w:r>
        <w:rPr>
          <w:rFonts w:ascii="PMingLiU" w:eastAsia="PMingLiU" w:hAnsi="PMingLiU" w:cs="PMingLiU"/>
        </w:rPr>
        <w:t>键</w:t>
      </w:r>
      <w:r>
        <w:t xml:space="preserve"> </w:t>
      </w:r>
      <w:r>
        <w:rPr>
          <w:rFonts w:ascii="PMingLiU" w:eastAsia="PMingLiU" w:hAnsi="PMingLiU" w:cs="PMingLiU"/>
        </w:rPr>
        <w:t>词</w:t>
      </w:r>
      <w:r>
        <w:rPr>
          <w:rFonts w:ascii="MS Mincho" w:eastAsia="MS Mincho" w:hAnsi="MS Mincho" w:cs="MS Mincho"/>
        </w:rPr>
        <w:t>：</w:t>
      </w:r>
    </w:p>
    <w:p>
      <w:pPr>
        <w:pStyle w:val="articlinfocinfoc"/>
        <w:pBdr>
          <w:top w:val="none" w:sz="0" w:space="0" w:color="auto"/>
          <w:left w:val="none" w:sz="0" w:space="0" w:color="auto"/>
          <w:bottom w:val="single" w:sz="6" w:space="0" w:color="E1E1E1"/>
          <w:right w:val="none" w:sz="0" w:space="0" w:color="auto"/>
        </w:pBdr>
        <w:ind w:left="1650" w:right="450"/>
      </w:pPr>
      <w:hyperlink r:id="rId7" w:tgtFrame="_blank" w:history="1">
        <w:r>
          <w:rPr>
            <w:rFonts w:ascii="MS Mincho" w:eastAsia="MS Mincho" w:hAnsi="MS Mincho" w:cs="MS Mincho"/>
            <w:color w:val="0000EE"/>
            <w:u w:val="single" w:color="0000EE"/>
          </w:rPr>
          <w:t>学</w:t>
        </w:r>
        <w:r>
          <w:rPr>
            <w:rFonts w:ascii="PMingLiU" w:eastAsia="PMingLiU" w:hAnsi="PMingLiU" w:cs="PMingLiU"/>
            <w:color w:val="0000EE"/>
            <w:u w:val="single" w:color="0000EE"/>
          </w:rPr>
          <w:t>习</w:t>
        </w:r>
        <w:r>
          <w:rPr>
            <w:rFonts w:ascii="MS Mincho" w:eastAsia="MS Mincho" w:hAnsi="MS Mincho" w:cs="MS Mincho"/>
            <w:color w:val="0000EE"/>
            <w:u w:val="single" w:color="0000EE"/>
          </w:rPr>
          <w:t>者中心</w:t>
        </w:r>
      </w:hyperlink>
      <w:r>
        <w:t>/</w:t>
      </w:r>
      <w:hyperlink r:id="rId8" w:tgtFrame="_blank" w:history="1">
        <w:r>
          <w:rPr>
            <w:color w:val="0000EE"/>
            <w:u w:val="single" w:color="0000EE"/>
          </w:rPr>
          <w:t>“</w:t>
        </w:r>
        <w:r>
          <w:rPr>
            <w:rFonts w:ascii="MS Mincho" w:eastAsia="MS Mincho" w:hAnsi="MS Mincho" w:cs="MS Mincho"/>
            <w:color w:val="0000EE"/>
            <w:u w:val="single" w:color="0000EE"/>
          </w:rPr>
          <w:t>去学校化社会</w:t>
        </w:r>
        <w:r>
          <w:rPr>
            <w:color w:val="0000EE"/>
            <w:u w:val="single" w:color="0000EE"/>
          </w:rPr>
          <w:t>”</w:t>
        </w:r>
      </w:hyperlink>
      <w:r>
        <w:t>/</w:t>
      </w:r>
      <w:hyperlink r:id="rId9" w:tgtFrame="_blank" w:history="1">
        <w:r>
          <w:rPr>
            <w:rFonts w:ascii="PMingLiU" w:eastAsia="PMingLiU" w:hAnsi="PMingLiU" w:cs="PMingLiU"/>
            <w:color w:val="0000EE"/>
            <w:u w:val="single" w:color="0000EE"/>
          </w:rPr>
          <w:t>课</w:t>
        </w:r>
        <w:r>
          <w:rPr>
            <w:rFonts w:ascii="MS Mincho" w:eastAsia="MS Mincho" w:hAnsi="MS Mincho" w:cs="MS Mincho"/>
            <w:color w:val="0000EE"/>
            <w:u w:val="single" w:color="0000EE"/>
          </w:rPr>
          <w:t>程改革</w:t>
        </w:r>
      </w:hyperlink>
      <w:r>
        <w:t>/</w:t>
      </w:r>
      <w:hyperlink r:id="rId10" w:tgtFrame="_blank" w:history="1">
        <w:r>
          <w:rPr>
            <w:rFonts w:ascii="MS Mincho" w:eastAsia="MS Mincho" w:hAnsi="MS Mincho" w:cs="MS Mincho"/>
            <w:color w:val="0000EE"/>
            <w:u w:val="single" w:color="0000EE"/>
          </w:rPr>
          <w:t>教育危机</w:t>
        </w:r>
      </w:hyperlink>
      <w:r>
        <w:t>/</w:t>
      </w:r>
      <w:hyperlink r:id="rId11" w:tgtFrame="_blank" w:history="1">
        <w:r>
          <w:rPr>
            <w:rFonts w:ascii="MS Mincho" w:eastAsia="MS Mincho" w:hAnsi="MS Mincho" w:cs="MS Mincho"/>
            <w:color w:val="0000EE"/>
            <w:u w:val="single" w:color="0000EE"/>
          </w:rPr>
          <w:t>伯恩斯坦</w:t>
        </w:r>
      </w:hyperlink>
    </w:p>
    <w:p>
      <w:pPr>
        <w:pBdr>
          <w:top w:val="none" w:sz="0" w:space="0" w:color="auto"/>
          <w:left w:val="none" w:sz="0" w:space="0" w:color="auto"/>
          <w:bottom w:val="single" w:sz="6" w:space="0" w:color="E1E1E1"/>
          <w:right w:val="none" w:sz="0" w:space="0" w:color="auto"/>
        </w:pBdr>
        <w:spacing w:after="75" w:line="360" w:lineRule="atLeast"/>
        <w:ind w:left="450" w:right="450"/>
      </w:pPr>
    </w:p>
    <w:p>
      <w:pPr>
        <w:pStyle w:val="artBaseInfocolinfo"/>
        <w:pBdr>
          <w:top w:val="none" w:sz="0" w:space="0" w:color="auto"/>
          <w:left w:val="none" w:sz="0" w:space="0" w:color="auto"/>
          <w:bottom w:val="single" w:sz="6" w:space="0" w:color="E1E1E1"/>
          <w:right w:val="none" w:sz="0" w:space="0" w:color="auto"/>
        </w:pBdr>
        <w:spacing w:before="75"/>
        <w:ind w:left="450" w:right="450"/>
      </w:pPr>
      <w:r>
        <w:rPr>
          <w:rFonts w:ascii="MS Mincho" w:eastAsia="MS Mincho" w:hAnsi="MS Mincho" w:cs="MS Mincho"/>
          <w:b/>
          <w:bCs/>
        </w:rPr>
        <w:t>期刊名称：</w:t>
      </w:r>
      <w:r>
        <w:t xml:space="preserve"> </w:t>
      </w:r>
      <w:r>
        <w:rPr>
          <w:rFonts w:ascii="MS Mincho" w:eastAsia="MS Mincho" w:hAnsi="MS Mincho" w:cs="MS Mincho"/>
        </w:rPr>
        <w:t>《</w:t>
      </w:r>
      <w:hyperlink r:id="rId12" w:history="1">
        <w:r>
          <w:rPr>
            <w:rFonts w:ascii="MS Mincho" w:eastAsia="MS Mincho" w:hAnsi="MS Mincho" w:cs="MS Mincho"/>
            <w:color w:val="0000EE"/>
            <w:u w:val="single" w:color="0000EE"/>
          </w:rPr>
          <w:t>教育学</w:t>
        </w:r>
      </w:hyperlink>
      <w:r>
        <w:rPr>
          <w:rFonts w:ascii="MS Mincho" w:eastAsia="MS Mincho" w:hAnsi="MS Mincho" w:cs="MS Mincho"/>
        </w:rPr>
        <w:t>》</w:t>
      </w:r>
    </w:p>
    <w:p>
      <w:pPr>
        <w:pStyle w:val="artBaseInfocolinfo"/>
        <w:pBdr>
          <w:top w:val="none" w:sz="0" w:space="0" w:color="auto"/>
          <w:left w:val="none" w:sz="0" w:space="0" w:color="auto"/>
          <w:bottom w:val="single" w:sz="6" w:space="0" w:color="E1E1E1"/>
          <w:right w:val="none" w:sz="0" w:space="0" w:color="auto"/>
        </w:pBdr>
        <w:ind w:left="450" w:right="450"/>
        <w:sectPr>
          <w:pgMar w:header="708" w:footer="708"/>
          <w:cols w:space="708"/>
        </w:sectPr>
      </w:pPr>
      <w:r>
        <w:rPr>
          <w:rFonts w:ascii="MS Mincho" w:eastAsia="MS Mincho" w:hAnsi="MS Mincho" w:cs="MS Mincho"/>
          <w:b/>
          <w:bCs/>
        </w:rPr>
        <w:t>复印期号：</w:t>
      </w:r>
      <w:r>
        <w:t xml:space="preserve"> </w:t>
      </w:r>
      <w:hyperlink r:id="rId12" w:history="1">
        <w:r>
          <w:rPr>
            <w:color w:val="0000EE"/>
            <w:u w:val="single" w:color="0000EE"/>
          </w:rPr>
          <w:t>2023</w:t>
        </w:r>
        <w:r>
          <w:rPr>
            <w:rFonts w:ascii="MS Mincho" w:eastAsia="MS Mincho" w:hAnsi="MS Mincho" w:cs="MS Mincho"/>
            <w:color w:val="0000EE"/>
            <w:u w:val="single" w:color="0000EE"/>
          </w:rPr>
          <w:t>年</w:t>
        </w:r>
        <w:r>
          <w:rPr>
            <w:color w:val="0000EE"/>
            <w:u w:val="single" w:color="0000EE"/>
          </w:rPr>
          <w:t>09</w:t>
        </w:r>
        <w:r>
          <w:rPr>
            <w:rFonts w:ascii="MS Mincho" w:eastAsia="MS Mincho" w:hAnsi="MS Mincho" w:cs="MS Mincho"/>
            <w:color w:val="0000EE"/>
            <w:u w:val="single" w:color="0000EE"/>
          </w:rPr>
          <w:t>期</w:t>
        </w:r>
      </w:hyperlink>
    </w:p>
    <w:p>
      <w:pPr>
        <w:pBdr>
          <w:top w:val="none" w:sz="0" w:space="0" w:color="auto"/>
          <w:left w:val="none" w:sz="0" w:space="0" w:color="auto"/>
          <w:bottom w:val="single" w:sz="6" w:space="0" w:color="E1E1E1"/>
          <w:right w:val="none" w:sz="0" w:space="0" w:color="auto"/>
        </w:pBdr>
        <w:spacing w:after="75" w:line="360" w:lineRule="atLeast"/>
        <w:ind w:left="450" w:right="450"/>
      </w:pPr>
    </w:p>
    <w:p>
      <w:pPr>
        <w:pStyle w:val="artibodyp"/>
        <w:pBdr>
          <w:top w:val="none" w:sz="0" w:space="0" w:color="auto"/>
          <w:left w:val="none" w:sz="0" w:space="0" w:color="auto"/>
          <w:bottom w:val="single" w:sz="6" w:space="0" w:color="E1E1E1"/>
          <w:right w:val="none" w:sz="0" w:space="0" w:color="auto"/>
        </w:pBdr>
        <w:spacing w:before="210" w:after="300" w:line="432" w:lineRule="auto"/>
        <w:ind w:left="750" w:right="750"/>
        <w:rPr>
          <w:rFonts w:ascii="Microsoft YaHei" w:eastAsia="Microsoft YaHei" w:hAnsi="Microsoft YaHei" w:cs="Microsoft YaHei"/>
          <w:b w:val="0"/>
          <w:bCs w:val="0"/>
          <w:i w:val="0"/>
          <w:iCs w:val="0"/>
          <w:smallCaps w:val="0"/>
          <w:color w:val="666666"/>
          <w:sz w:val="21"/>
          <w:szCs w:val="21"/>
        </w:rPr>
      </w:pPr>
      <w:bookmarkStart w:id="1" w:name="readArea"/>
      <w:bookmarkEnd w:id="1"/>
      <w:r>
        <w:rPr>
          <w:rFonts w:ascii="Microsoft YaHei" w:eastAsia="Microsoft YaHei" w:hAnsi="Microsoft YaHei" w:cs="Microsoft YaHei"/>
          <w:b w:val="0"/>
          <w:bCs w:val="0"/>
          <w:i w:val="0"/>
          <w:iCs w:val="0"/>
          <w:smallCaps w:val="0"/>
          <w:color w:val="666666"/>
          <w:sz w:val="21"/>
          <w:szCs w:val="21"/>
        </w:rPr>
        <w:t>　　 一、“去学校化社会”：从激进的乌托邦到冷峻的现实</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1971年，伊万·伊利奇(Ivan Illich)出版Deschooling Society，“去学校化”这一理念即与教育的普及紧密相连，准确地说，学习的便利与学校的废除，乃至教育的悬置紧密相连。“学校化”——学校中的教学、套装式教学所允诺的文凭，已经成为一套制度化的铁笼；而人的一生，就被安置在这制度性的铁链上，安排越多，结果越佳；拾级而上，则必至成功。学校已经成为现代的世界宗教，民众对学校上瘾，其结果却是习得性的无助，学校既没有让人更自主，也没有促进社会更正义。由此，伊利奇提出，“我们必须废除学校”。</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废除学校”即“跨越学校的边界”，以实现以下目标：第一，向所有希望学习的人提供其一生中任何时候均可使用的学习资源；第二，让所有希望与他人分享自己知识的人都能找到想从他们那里学到这些知识的人；第三，向所有希望公开提出争议的人提供表达的机会。(伊万·伊利奇，2017，p.88)替代“封闭的学校”的将是“开放的学习网络”，它将由若干个“学习中心”组成，提供不同性质的学习通道，进行学习交流，似可涵盖真正的学习所必需的全部资源：</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sectPr>
          <w:type w:val="nextPage"/>
          <w:pgMar w:header="708" w:footer="708"/>
          <w:pgNumType w:start="2"/>
          <w:cols w:space="708"/>
          <w:titlePg w:val="0"/>
        </w:sectPr>
      </w:pPr>
      <w:r>
        <w:rPr>
          <w:rFonts w:ascii="Microsoft YaHei" w:eastAsia="Microsoft YaHei" w:hAnsi="Microsoft YaHei" w:cs="Microsoft YaHei"/>
          <w:b w:val="0"/>
          <w:bCs w:val="0"/>
          <w:i w:val="0"/>
          <w:iCs w:val="0"/>
          <w:smallCaps w:val="0"/>
          <w:color w:val="666666"/>
          <w:sz w:val="21"/>
          <w:szCs w:val="21"/>
        </w:rPr>
        <w:t>　　</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xml:space="preserve"> 儿童是在充满各种物品的世界里成长起来的，作为其技能或价值观学习榜样的人们围绕在他的周围。儿童会寻找那些能激己争论、同己竞争、与己合作，并促己理解的伙伴，并且，倘若幸运，儿童还会得到真正关心他们的有经验的长者的挑刺或批评。物品、榜样、伙伴和长者是学习活动的四种资源。(伊万·伊利奇，2017，p.89)</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半个世纪后回望，伊利奇所构想的学习乌托邦被教育技术用更迅猛且硬朗的方式实现了：</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欢迎来到学习指导，学习指导是面向所有人的全新学习方式。学习指导所设计的学习时刻把你放在心上，我们的课程是基于计算机的，但绝不会让你感到麻烦。开始学习的最简易的办法，就是在遍布全国的众多学习指导中心找到一家，那里的工作人员将会非常友好地帮助你，你不需要任何经验——我们将逐步带领你学习。</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伊利奇的激进不在于技术构建的学习网络，而在于他的反体制，他以“非学校”策略让学生离开学校，在无边界的网络中学习。然而，学习能替代学校中的教育吗?学习与创新能替代教育后的文明传承吗?废除学校之后所带来的教育的危机——这才是他真正的激进或者说危险所在。</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历史的诡异在于，与其说他是一个激进的批判教育学者，毋宁说他是一个明智且幸运的预言家，准确地说是一个冷静的规划师——晚近三十年，学习已经全面且彻底地替代了教育：</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sectPr>
          <w:type w:val="nextPage"/>
          <w:pgMar w:header="708" w:footer="708"/>
          <w:pgNumType w:start="3"/>
          <w:cols w:space="708"/>
          <w:titlePg w:val="0"/>
        </w:sectPr>
      </w:pPr>
      <w:r>
        <w:rPr>
          <w:rFonts w:ascii="Microsoft YaHei" w:eastAsia="Microsoft YaHei" w:hAnsi="Microsoft YaHei" w:cs="Microsoft YaHei"/>
          <w:b w:val="0"/>
          <w:bCs w:val="0"/>
          <w:i w:val="0"/>
          <w:iCs w:val="0"/>
          <w:smallCaps w:val="0"/>
          <w:color w:val="666666"/>
          <w:sz w:val="21"/>
          <w:szCs w:val="21"/>
        </w:rPr>
        <w:t>　　</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xml:space="preserve"> 一个标志性的教育学话语从教向学的转变……不再有机构可以管控什么应该被学……不再存在清晰的课程……知识被学习者基于自身的需求创造出来，就像他们为了解决在生活世界中遇到的问题被创造的工具那样。(此为克雷斯所言。转引自：麦克·扬，2021，p.72)</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与其说学习离开了学校与教育，毋宁说是学习重构了教育，从学习的角度重新定义教育。英国学者格特·比斯塔(Gert J.J.Biesta)提出一个概念——教育的“学习化”(learnification)：在教育研究、政策与实践中，大部分关于教育的话语已经改用学习的语言来言说，即教育被简化为“教学和学习”，把儿童、学生和成人称为“学习者”，把学校变为“学习环境”或“学习场所”，教师被视为“学习的辅助者”，教学被视为学习辅助技术，甚至连“成人教育”也转变为“终身学习”。(格特·比斯塔，2018，p.93；格特·比斯塔，2021，p.50)</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从终身教育到终身学习的背后，是一系列政策文本以及变化了的政治经济秩序：在1972年联合国教科文组织(UNESCO)发布的报告《学会生存：教育世界的今天和明天》中，“终身”观念仍旧是与教育联系在一起；在1996年UNESCO的报告《教育：财富蕴藏其中》中，“终身教育”已经转变为“终身学习”，国际组织自此聚焦于如何回应工作本质变化、如何快速提升适应能力，终身学习后的人力资本不仅具有必要性，也具有了强制性。(格特·比斯塔，2018，p.97)从积极的提升到强制的要求，学习成为必需的政治。</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sectPr>
          <w:type w:val="nextPage"/>
          <w:pgMar w:header="708" w:footer="708"/>
          <w:pgNumType w:start="4"/>
          <w:cols w:space="708"/>
          <w:titlePg w:val="0"/>
        </w:sectPr>
      </w:pPr>
      <w:r>
        <w:rPr>
          <w:rFonts w:ascii="Microsoft YaHei" w:eastAsia="Microsoft YaHei" w:hAnsi="Microsoft YaHei" w:cs="Microsoft YaHei"/>
          <w:b w:val="0"/>
          <w:bCs w:val="0"/>
          <w:i w:val="0"/>
          <w:iCs w:val="0"/>
          <w:smallCaps w:val="0"/>
          <w:color w:val="666666"/>
          <w:sz w:val="21"/>
          <w:szCs w:val="21"/>
        </w:rPr>
        <w:t>　　</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xml:space="preserve"> 始于技术进步的学习中心乌托邦，在经济逻辑的主导下，强力走向实践；遗憾的是，学习政治之后，却发生了逆转。学习既是必需，更是一种强制；学习不仅是个人的权利，也是工作岗位强加给个人的义务，更是社会政治经济结构对公民的要求。</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为何伊利奇激进批判所针对的靶子——学校化社会的制度铁笼，又以更优化、更高阶的形式出场?</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二、“学习者中心”：从解放到强制</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“学习者中心”，这一理念由学习者的兴趣、学习者的选择与学习者的权利等系列主张构成，强调将“学习者”从“教与学”中松绑、从教育关系之中解套出来。</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学习者中心的第一重逻辑是解放话语。教育的学习化，在中国基础教育的新课程改革理念中几近全盘复演——</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首先，在教学观念中反思检讨“教”，批评“教”支配、控制了“学”，因此“学”的独立性、独立品格丧失了，教也走向了其反面，最终成为遏制学的“力量”。(朱慕菊，2002，p.125)</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sectPr>
          <w:type w:val="nextPage"/>
          <w:pgMar w:header="708" w:footer="708"/>
          <w:pgNumType w:start="5"/>
          <w:cols w:space="708"/>
          <w:titlePg w:val="0"/>
        </w:sectPr>
      </w:pPr>
      <w:r>
        <w:rPr>
          <w:rFonts w:ascii="Microsoft YaHei" w:eastAsia="Microsoft YaHei" w:hAnsi="Microsoft YaHei" w:cs="Microsoft YaHei"/>
          <w:b w:val="0"/>
          <w:bCs w:val="0"/>
          <w:i w:val="0"/>
          <w:iCs w:val="0"/>
          <w:smallCaps w:val="0"/>
          <w:color w:val="666666"/>
          <w:sz w:val="21"/>
          <w:szCs w:val="21"/>
        </w:rPr>
        <w:t>　　 其次，教学的重心从教师的活动转向了学生的活动，学习被视为教学过程的中心，学习语言和学习逻辑的兴起已经把教师从“台上的智者”转变为“旁侧的引导者”，甚至是“后排的同伴”：</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教师从知识的传授者转变为学生学习的促进者。教师不再把知识传授作为自己的主要任务，而把精力放在检查学生对知识的掌握程度上，而应成为学生学习的激发者、辅导者、各种能力和积极个性的培养者，把教学的中心放在如何促进学生“学”上，从而实现教是为了不教。(朱慕菊，2002，p.125)</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在新课程改革中教师角色变化后的逻辑为：</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现代科学知识量多且发展速度快，有限的学校时间教授学科的全部知识既无可能也不必要，传统的知识传授者地位动摇；学生获得知识信息渠道多样化，教师作为唯一知识源的地位也动摇。(朱慕菊，2002，p.125)</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“脚手架”教学理论盛行(格特·比斯塔，2020，p.20)，教学被定义为支持与促进学习：</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教的职责在于帮助：帮助学生检视和反思自我、明了自己想要学习什么和获得什么，确立能够达到的目标；帮助学生寻找、搜集和利用学习资源；帮助学生设计恰当的活动和形成有效的学习方式；帮助学生发现他们所学的东西的个人意义和社会价值；帮助学生营造和维持学习过程中的积极的心理氛围；帮助学生对学习过程和结果进行评价，并促进评价的内在化；帮助学生发现自己的潜能和性向。(朱慕菊，2002，p.128)</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sectPr>
          <w:type w:val="nextPage"/>
          <w:pgMar w:header="708" w:footer="708"/>
          <w:pgNumType w:start="6"/>
          <w:cols w:space="708"/>
          <w:titlePg w:val="0"/>
        </w:sectPr>
      </w:pPr>
      <w:r>
        <w:rPr>
          <w:rFonts w:ascii="Microsoft YaHei" w:eastAsia="Microsoft YaHei" w:hAnsi="Microsoft YaHei" w:cs="Microsoft YaHei"/>
          <w:b w:val="0"/>
          <w:bCs w:val="0"/>
          <w:i w:val="0"/>
          <w:iCs w:val="0"/>
          <w:smallCaps w:val="0"/>
          <w:color w:val="666666"/>
          <w:sz w:val="21"/>
          <w:szCs w:val="21"/>
        </w:rPr>
        <w:t>　　</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xml:space="preserve"> 中国教学传统强调“传道授业解惑”的教学内容，强调“师道尊严”“入门求教”“从师受教”的教学形态。在学习话语中，“教学”被贬斥为限制学生自由的“干预”或“控制”，稳定且信任的教学权威、敬与爱的教育关系解体；学习者被预设为具有先验的学习能力的自主的学习者，只要松绑，只要解放，允许学习者接触网络巨大的信息资源，用数字技术推进和加强学习的潜力——技术环境置换了教育世界，从教育关系脱嵌而出的将是平等、自主的“学习者”。解放话语在上述乐观期待后，应该反思：“学习者中心”在“独立”“自主”的积极意涵后，还有“日渐封闭”“自我中心”“个人主义”等消极意涵。</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解放话语塑造或臆造了“自主的学习者”意象，只要信任、鼓励学习者，解开其捆住的手脚，成功的学习好像自然而成，这是一个蛊惑人心但违背常识、缺乏经验感的判断。自主是习得的，而非生而有之，教学一个基本的命题是“教人自主”：教在前，自主在后——“教”是为了“不教”，从师受教、因学习获自主是一个严肃的、艰苦的实践。自主的学习者是教学的“目的”而非学习的前提。</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sectPr>
          <w:type w:val="nextPage"/>
          <w:pgMar w:header="708" w:footer="708"/>
          <w:pgNumType w:start="7"/>
          <w:cols w:space="708"/>
          <w:titlePg w:val="0"/>
        </w:sectPr>
      </w:pPr>
      <w:r>
        <w:rPr>
          <w:rFonts w:ascii="Microsoft YaHei" w:eastAsia="Microsoft YaHei" w:hAnsi="Microsoft YaHei" w:cs="Microsoft YaHei"/>
          <w:b w:val="0"/>
          <w:bCs w:val="0"/>
          <w:i w:val="0"/>
          <w:iCs w:val="0"/>
          <w:smallCaps w:val="0"/>
          <w:color w:val="666666"/>
          <w:sz w:val="21"/>
          <w:szCs w:val="21"/>
        </w:rPr>
        <w:t>　　</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xml:space="preserve"> “学习者中心”的第二重逻辑是选择话语及其后的教育消费逻辑。在“学习者中心”话语中，“自主的学习者”实则为“教育的消费者”，兴趣构成学习的动力，自由选择成为学习的策略。在教育思想史中，赫尔巴特严肃地指出兴趣是学习的结果，绝非学习的前提，这也被称为教育中“哥白尼”式的革命：学习将过去，作为学习结果的兴趣将留下来，如同一场音乐会渐渐地平息下来，而多方面的兴趣划定了思想的范围，这是留给学习者丰厚且可靠的馈赠。赫尔巴特常成为杜威批判的靶子，杜威强调教育过程中的心理学基础，强调儿童的本能和能力为一切教育提供了素材，指出了起点(约翰·杜威，1994，p.4)，他谨慎地将“兴趣”定位为“中介”，即"inter-esse"(在两者之间)，兴趣标志着个人与他的行动的材料和结果之间没有距离，真正的兴趣是自我通过行动与某一对象或观念融为一体的伴随物。(约翰·杜威，1994，pp.170-171)兴趣与努力密不可分，感兴趣意味着对不那么有趣的事情也能持久用力，这背后同样需要意志，合理的兴趣包含意志与努力。</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杜威所强调的是直接的兴趣与内在的动机，他批评教育实践中将兴趣与努力截然分开，这意味着儿童注意力的分散与能量的分裂和浪费，不强调努力的兴趣实为“外部刺激”：</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从外部刺激儿童，事事成为游戏与娱乐，过度刺激下，意志永远不起作用。依靠外部的吸引力和娱乐，一切事情都为儿童裹上了糖衣，而他很快学会了从一切没有人为地用有趣事情环绕起来的事情离身而去，这样做的必然结果是造就了只做他喜爱的事情的被宠坏的孩子。(约翰·杜威，1994)</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sectPr>
          <w:type w:val="nextPage"/>
          <w:pgMar w:header="708" w:footer="708"/>
          <w:pgNumType w:start="8"/>
          <w:cols w:space="708"/>
          <w:titlePg w:val="0"/>
        </w:sectPr>
      </w:pPr>
      <w:r>
        <w:rPr>
          <w:rFonts w:ascii="Microsoft YaHei" w:eastAsia="Microsoft YaHei" w:hAnsi="Microsoft YaHei" w:cs="Microsoft YaHei"/>
          <w:b w:val="0"/>
          <w:bCs w:val="0"/>
          <w:i w:val="0"/>
          <w:iCs w:val="0"/>
          <w:smallCaps w:val="0"/>
          <w:color w:val="666666"/>
          <w:sz w:val="21"/>
          <w:szCs w:val="21"/>
        </w:rPr>
        <w:t>　　 这实质上是用“快乐来行贿”，不能区分外部的、添加的“有趣”与直接的、适度的“兴趣”，不能区分过度的“外部刺激”与合理的“内在兴趣”。在将教育视为一种消费体验时，杜威所批评的现象已然成为消费的广告：“欢迎光临!这里，可以选择你想要的一切!”</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教育被定位为服务业，顾客永远是对的，学习用经济逻辑重新定义了教育，学习者是自由选择的消费者，教育被视为满足学生的需要的商品或项目，教师、教育者被视为供货商或销售者。学习选择的原则是基于学生的兴趣：你不需要任何经验，基于电脑的学习不会让你感到任何麻烦，友善的工作人员随时可以帮助你。(格特·比斯塔，2020，p.22)教育中的马基雅维利主义(丹尼尔·坦纳，2006，p.165)①又露出狡黠的面容，兴趣成为诱饵，蜕变为不需任何努力的外部刺激或消费诱惑，如何调动消费者的欲望?教师如同地摊上的耍猴者，或集市上的叫卖者与兜售者。</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学习成为消费体验，校园变成生意场。学生交的学费越多，自然期待更多的回馈、更优质的服务、更好的设施、更高的分数，“欢迎光临”与“顾客满意”成了学店的招牌。在顾客满意、自由选择的前提下，有挑战的学习、心智成长所需要的磨砺成为困难，自由选择难道不意味着人人都更愿意体验成功吗?</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sectPr>
          <w:type w:val="nextPage"/>
          <w:pgMar w:header="708" w:footer="708"/>
          <w:pgNumType w:start="9"/>
          <w:cols w:space="708"/>
          <w:titlePg w:val="0"/>
        </w:sectPr>
      </w:pPr>
      <w:r>
        <w:rPr>
          <w:rFonts w:ascii="Microsoft YaHei" w:eastAsia="Microsoft YaHei" w:hAnsi="Microsoft YaHei" w:cs="Microsoft YaHei"/>
          <w:b w:val="0"/>
          <w:bCs w:val="0"/>
          <w:i w:val="0"/>
          <w:iCs w:val="0"/>
          <w:smallCaps w:val="0"/>
          <w:color w:val="666666"/>
          <w:sz w:val="21"/>
          <w:szCs w:val="21"/>
        </w:rPr>
        <w:t>　　 如此，教育话语与经济话语混淆，在经济话语中消费者知道自己要什么，对自己所购买的商品的性能、价格的公道有合理的预期。在学习的消费话语中，消费者知道自己所购买的是什么吗?在学习者的自由选择后，枚农悖论被格外凸显：“我知道的我已经知道，我不知道的我怎么知道我不知道?谁来告诉要知道?”(柏拉图，2019，pp.172-173)我所知道的，不需要再去学习；我所不知道的如何去知道?谁来要求我去知道?②</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看导购手册吗?学长口耳相传的选课秘籍?教师授课评分的风评?谁来要求我必须去知道?谁来确保学习必须付出的心智努力与意志训练?教学的权威性，专业的严肃标准，在自由选课中均受到挑战。</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学生的自由选择充满陷阱，谁来指导他?谁来为他带路?即便是被视为消极教育的奠基者的卢梭，他是这样来要求爱弥儿的导师：教师是将学生的手拉住，在华而不实的种种学科布满的陷阱中，在危险的小径上带他走的人：</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你这位为他揭开遮蔽在他眼前的自然的神圣的帷幕的人，不要慌忙!你必须首先使他的头脑和你的头脑保持清醒，要当心谎言的奇异的魅力，要当心骄傲的迷人的烟雾。要记住，人之所以走入迷途，并不是因为他的无知，而是由于他自以为知。(卢梭，2013，p.237)</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学习者中心”的第三重逻辑是将教育视为服务业，其后是新自由主义的市场与监管逻辑。在西方社会，随着新自由主义与全球资本主义市场逻辑的兴起，福利国家衰退，国家与公民之间的关系开始去政治化。或者说政治本身已经经济化，经济逻辑重构了政治功能，政府被定位为供应者，公民成为消费者，选择成为关键词。(格特·比斯塔，2020，p.21；格特·比斯塔，2019，p.51)</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sectPr>
          <w:type w:val="nextPage"/>
          <w:pgMar w:header="708" w:footer="708"/>
          <w:pgNumType w:start="10"/>
          <w:cols w:space="708"/>
          <w:titlePg w:val="0"/>
        </w:sectPr>
      </w:pPr>
      <w:r>
        <w:rPr>
          <w:rFonts w:ascii="Microsoft YaHei" w:eastAsia="Microsoft YaHei" w:hAnsi="Microsoft YaHei" w:cs="Microsoft YaHei"/>
          <w:b w:val="0"/>
          <w:bCs w:val="0"/>
          <w:i w:val="0"/>
          <w:iCs w:val="0"/>
          <w:smallCaps w:val="0"/>
          <w:color w:val="666666"/>
          <w:sz w:val="21"/>
          <w:szCs w:val="21"/>
        </w:rPr>
        <w:t>　　</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xml:space="preserve"> 新自由主义同样影响着全球范围内的教育改革，教育被定位为服务业，政府被定位为教育服务的供应者与监管者，家长与学生成为教育的选择者。学校沦为课程项目的开发商与批发商，课程可以在校园内外、云端上下自由选购，这样的去除边界，还有教育吗?</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涂尔干在《教育思想的演进》中指出(爱弥尔·涂尔干，2006)，学校自诞生伊始，就意味着要建设一个道德环境，因为它要接管孩子的整个人，孩子要在学校里找到所需要的一切；学校中所安排的一切要高度集中，要对孩子灵魂的至深至隐之处产生强有力的影响，因此不能放任孩子接受不同影响，将其精神与能量以不同的方向分散开去，而是要强有力地汇聚在同一个目标上。</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学校不只是教师教学、学生学习的场所，教育不是用外在的盔甲来装备学生的人格，如果仅是外在的盔甲，不同部分可以独立地打造，再组装起来，如同课程超市中的自由选购且灵活组合的套餐。教育是要在学生身上培植一种具有一般倾向的心智与意志，让他用一种特定的眼光来普遍地看待一切。因此，学校是有组织的、独特的道德环境，学校有属于自身的道德生活，教育要渗透特定的信念与情感，如此才能培育孩子一般意义上的性情。</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sectPr>
          <w:type w:val="nextPage"/>
          <w:pgMar w:header="708" w:footer="708"/>
          <w:pgNumType w:start="11"/>
          <w:cols w:space="708"/>
          <w:titlePg w:val="0"/>
        </w:sectPr>
      </w:pPr>
      <w:r>
        <w:rPr>
          <w:rFonts w:ascii="Microsoft YaHei" w:eastAsia="Microsoft YaHei" w:hAnsi="Microsoft YaHei" w:cs="Microsoft YaHei"/>
          <w:b w:val="0"/>
          <w:bCs w:val="0"/>
          <w:i w:val="0"/>
          <w:iCs w:val="0"/>
          <w:smallCaps w:val="0"/>
          <w:color w:val="666666"/>
          <w:sz w:val="21"/>
          <w:szCs w:val="21"/>
        </w:rPr>
        <w:t>　　 当学校既开放又碎片，任由学生偶发的、即时的、零星的兴趣来随意选购时，一个整体的、全面影响的学校塌陷了，教育的独特性与权威性均消解了。解放了的学生面对琳琅满目的学习超市，如何选择?如何对自我负责?</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学生是具有独立意义的人，学生是学习的主体，学生是责权主体。学生是权利的主体，学生是责任的主体，学校和教师要引导学生学会对学习、对生活、对自己、对他人负责，学会承担责任。(朱慕菊，2002，p.122)</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看似自由的个人主义话语背后，学生不仅是选择的主体，也是权利的主体，更是责任的主体。学生能为选择负责吗?相应地，学习选择的“嘉年华”虚构了什么意象，又隐藏了什么陷阱?在学习者中心话语之后，学习政治凸显。</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在自由的学习话语中，学习如同呼吸一样，既是自然发生的，也是必然发生的，同时还是必须发生的，不得不发生的——既然学习是不可避免的生物性事实，我们的学习就像我们的呼吸，时时刻刻，不会有一丁点刻意，那么学习被等同于生存，这必然成为一个终身的过程；正常人都能学习，每个正常人都应该学习，如果你不想学习或者拒绝学习者的身份认同，你是有问题的。(格特·比斯塔，2018，p.101)自由的学习话语反转为强制的话语。</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sectPr>
          <w:type w:val="nextPage"/>
          <w:pgMar w:header="708" w:footer="708"/>
          <w:pgNumType w:start="12"/>
          <w:cols w:space="708"/>
          <w:titlePg w:val="0"/>
        </w:sectPr>
      </w:pPr>
      <w:r>
        <w:rPr>
          <w:rFonts w:ascii="Microsoft YaHei" w:eastAsia="Microsoft YaHei" w:hAnsi="Microsoft YaHei" w:cs="Microsoft YaHei"/>
          <w:b w:val="0"/>
          <w:bCs w:val="0"/>
          <w:i w:val="0"/>
          <w:iCs w:val="0"/>
          <w:smallCaps w:val="0"/>
          <w:color w:val="666666"/>
          <w:sz w:val="21"/>
          <w:szCs w:val="21"/>
        </w:rPr>
        <w:t>　　 联合国教科文组织的报告称，“除非一个人成为一个终身学习者，否则她，他将不能迎接生活的挑战，社会是学习型社会”。在全球资本主义社会中，经济需要一种适应能力(adaptation)：我们必须学习，强制性学习是一种不可逃避的义务，而且是终身学习。在此，所有政治困境，譬如经济的问题、就业的问题、社会团结的问题，都转变为学习困境。(格特·比斯塔，2021，p.54)比斯塔将其称为“学习的政治”。</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在学习政治中，学习是强制的，标志性的变化在于：从关注个人与民主目的的终身教育转变为一个以经济为依据的终身学习，终身学习作为人力资本发展起来，从而确保个人的竞争力与整体的经济增长。个体化的终身学习强调一套具有灵活性的技能与适应力。学习政治实现了从作为关系性概念的终身教育(从……受教)向个体性概念的终身学习(自主的、灵活适应的、不断自我技能更新的学习者)的“微妙而重要的语用学”转变：在终身教育的范式下，国家有义务提供资源与机会；而在终身学习的范式下，个体以贯穿一生的学习义务而担责。(格特·比斯塔，2018，p.98-99)</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在学习政治中，学习是自我负责的。学习政治的关键是把政治难题、经济困境转化为学习困境，因而把对付这些难题的责任从国家和集体层面转移到个体层面：个体在不断更新变化的全球市场中为保持自己的就业力而负责，学习指向个体的适应能力——而不是一个有关结构性和集体的责任。当学习被宣称为“财富蕴藏在其中”时，实则是将个人深陷于压力——或许是不可承受之重的压力中。(格特·比斯塔，2018，p.100)</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sectPr>
          <w:type w:val="nextPage"/>
          <w:pgMar w:header="708" w:footer="708"/>
          <w:pgNumType w:start="13"/>
          <w:cols w:space="708"/>
          <w:titlePg w:val="0"/>
        </w:sectPr>
      </w:pPr>
      <w:r>
        <w:rPr>
          <w:rFonts w:ascii="Microsoft YaHei" w:eastAsia="Microsoft YaHei" w:hAnsi="Microsoft YaHei" w:cs="Microsoft YaHei"/>
          <w:b w:val="0"/>
          <w:bCs w:val="0"/>
          <w:i w:val="0"/>
          <w:iCs w:val="0"/>
          <w:smallCaps w:val="0"/>
          <w:color w:val="666666"/>
          <w:sz w:val="21"/>
          <w:szCs w:val="21"/>
        </w:rPr>
        <w:t>　　</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xml:space="preserve"> 如此，政治的职能转化为经济的契约，经济的逻辑又将责任置放在个体的学习能力与终身学习上，胜任力要求持续的能力更新，能力又来自持续的、永不疲倦的学习主体。这既赋予学习者超强的学习能力预设，又赋予了不再具备教育意涵的学习不可能完成的任务：如同一个挟山背海的大力神，用“自主”“独立”“不断更新的能力”“不知倦怠的积极主体”遮蔽了政治与经济的各种结构性与制度性的困境——解放了的主体能胜任吗?无所不能的学习能兜底吗?社会政治与经济把难以解决的麻烦甩给了教育，教育究竟是麻烦的终结者还是麻烦的延缓者?或者是新麻烦的制造者，旧麻烦的“背锅侠”?</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学习政治逆转了自由的选择与开放的学习，这一系列前后矛盾、左支右绌的理念如何走入政策话语与改革实践?如何主导人才培养的目标与标准?如何左右学校中的知识边界与教学组织呢?</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三、“转向学习结果”：从适应到迁移</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sectPr>
          <w:type w:val="nextPage"/>
          <w:pgMar w:header="708" w:footer="708"/>
          <w:pgNumType w:start="14"/>
          <w:cols w:space="708"/>
          <w:titlePg w:val="0"/>
        </w:sectPr>
      </w:pPr>
      <w:r>
        <w:rPr>
          <w:rFonts w:ascii="Microsoft YaHei" w:eastAsia="Microsoft YaHei" w:hAnsi="Microsoft YaHei" w:cs="Microsoft YaHei"/>
          <w:b w:val="0"/>
          <w:bCs w:val="0"/>
          <w:i w:val="0"/>
          <w:iCs w:val="0"/>
          <w:smallCaps w:val="0"/>
          <w:color w:val="666666"/>
          <w:sz w:val="21"/>
          <w:szCs w:val="21"/>
        </w:rPr>
        <w:t>　　 欧洲职业培训发展中心(European Centre for the Development of Vocational Training)于2008年发表报告《转向学习结果：欧洲的概念、政治和实践的发展》(The Shift to Learning Outcomes：Conceptual，Political and Practical Developments in Europe)，这份报告基于32个国家的证据，以投入与产出的分离为基础，从强调学习投入转变为学习结果，即：从聚焦课程、机构、专门化的教学，转变为聚焦学习者在学习过程结束时能做什么、知道什么，而这些可能与他们在学校中的学习有关系或者没有关系。(麦克·扬，2021，p.58)这寓示着学习从教育机构中脱嵌而出，传统学习与专门化教育机构的捆绑关系解除。</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首先，在培养目标上，“学习结果”置换了“学习目的”。学习目的仍是个人自主的、内在的、追求个体化与风格化，而学习结果则由外部雇主参与制定标准：</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学习结果这一概念的潜在影响是革命性的，它能以一种最佳的服务学习者及劳动力市场(假设雇主也参与到定义、设计、认证、识别学习结果中来的话)来定义培训标准和相关课程，它能够帮助开发一种通用语言，不是以行业类型来划分工作岗位或以教育项目/学科专业来划分知识，我们可以进入新的阶段，以能力来描述二者。(European Commission，2009，转引自：麦克·扬，2021，p.55)</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sectPr>
          <w:type w:val="nextPage"/>
          <w:pgMar w:header="708" w:footer="708"/>
          <w:pgNumType w:start="15"/>
          <w:cols w:space="708"/>
          <w:titlePg w:val="0"/>
        </w:sectPr>
      </w:pPr>
      <w:r>
        <w:rPr>
          <w:rFonts w:ascii="Microsoft YaHei" w:eastAsia="Microsoft YaHei" w:hAnsi="Microsoft YaHei" w:cs="Microsoft YaHei"/>
          <w:b w:val="0"/>
          <w:bCs w:val="0"/>
          <w:i w:val="0"/>
          <w:iCs w:val="0"/>
          <w:smallCaps w:val="0"/>
          <w:color w:val="666666"/>
          <w:sz w:val="21"/>
          <w:szCs w:val="21"/>
        </w:rPr>
        <w:t>　　</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xml:space="preserve"> 回溯课程史，根据外部活动来确定教育目标早有先例。20世纪20年代美国的课程理论界就盛行过“工作分析法”等课程具体目标模式，其代表人物博比特认为：如果我们能找出人类生活是由什么活动构成的，那么我们就可以确定教育目标了。学校中的教与学就是要使学生为特殊的活动做准备，教育的目标是这些活动，这些活动又可以在行为表现中学会，因此活动分析或工作分析就确定了课程目标与课程本身。这个方法，即对某一工作的行为表现中的具体活动进行分析，如同操纵一台机器，这些内容可以简化为两万或三万个具体的机械技能或行为，再辅之以行为主义的训练，当给定的情境经常出现或重复出现时学生就会自动地做出合乎需要的反应。这一思路进一步发展为“教育工程学”，“教育工程师”的任务就是利用自己的“教育测量工具”来确定不同学科领域的具体目标。博比特主张：教育应当为成年期50年做准备，而非为儿童期或青年期的20年做准备。课程编制者的任务是界定成人经历的主要领域，并把它分解成越来越小的单元直到找出可以实施的具体活动，这些具体活动类似工业上的作业明细单，组成各个学科的内容。(丹尼尔·坦纳，2006，pp.203-204)</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然而，确定如此清晰、具体的教育目标虽有效，却偏窄，因为教育目标远比适应外部工作或日后重复出现的活动的范畴要大，内容要多；况且无论活动还是工作内容，都充满变动性和不可预测性，机械地训练只能适应最低的工作要求。</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与20世纪20年代的“教育工程学”相比较，引入“学习结果”的潜在革命性恰在于开发了一种通用的能力话语，既可通行于不同行业的不同工作岗位，又可迁移于不同学科的不同知识，还可将学科能力与工作能力融通为一体。通用的能力话语是如何被承认的?在贯通于教育与工作领域的能力话语之外，教育机构以退为守，将教育的话语拱手让渡给经济话语。阿莱斯(Allais)评论学习结果的话语是这样的：</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sectPr>
          <w:type w:val="nextPage"/>
          <w:pgMar w:header="708" w:footer="708"/>
          <w:pgNumType w:start="16"/>
          <w:cols w:space="708"/>
          <w:titlePg w:val="0"/>
        </w:sectPr>
      </w:pPr>
      <w:r>
        <w:rPr>
          <w:rFonts w:ascii="Microsoft YaHei" w:eastAsia="Microsoft YaHei" w:hAnsi="Microsoft YaHei" w:cs="Microsoft YaHei"/>
          <w:b w:val="0"/>
          <w:bCs w:val="0"/>
          <w:i w:val="0"/>
          <w:iCs w:val="0"/>
          <w:smallCaps w:val="0"/>
          <w:color w:val="666666"/>
          <w:sz w:val="21"/>
          <w:szCs w:val="21"/>
        </w:rPr>
        <w:t>　　 一种依据一些非常片面的经济学论述的教育重述，其主导性的理念是由个体学习者做出理性的基于个体兴趣的选择，并辅以质量保障，结果本位资格证书体系等管控“学习市场”的相关机制。(转引自：麦克·扬，2021，p.62)</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这是一种形式上的“经济至上主义”，以学习结果和学习者个体选择作为教育改革的驱动力，尽可能地减少教与学等“非经济性的活动”；取代专门化教育的语言，代之以经济学语言(市场、选择、结果/收益)。(麦克·扬，2021，p.62)这看似是用外部的(政治/经济)范畴置换了教育的范畴，然而，教育机构却抓牢了文凭资格证书，使之成为进入工作领域的护身符，据此反守为攻。或者说，在文凭资格证书所承认的学习结果与能力话语中，教育机构与外部雇主达成了共识。</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sectPr>
          <w:type w:val="nextPage"/>
          <w:pgMar w:header="708" w:footer="708"/>
          <w:pgNumType w:start="17"/>
          <w:cols w:space="708"/>
          <w:titlePg w:val="0"/>
        </w:sectPr>
      </w:pPr>
      <w:r>
        <w:rPr>
          <w:rFonts w:ascii="Microsoft YaHei" w:eastAsia="Microsoft YaHei" w:hAnsi="Microsoft YaHei" w:cs="Microsoft YaHei"/>
          <w:b w:val="0"/>
          <w:bCs w:val="0"/>
          <w:i w:val="0"/>
          <w:iCs w:val="0"/>
          <w:smallCaps w:val="0"/>
          <w:color w:val="666666"/>
          <w:sz w:val="21"/>
          <w:szCs w:val="21"/>
        </w:rPr>
        <w:t>　　 求同存异，文凭的封闭性、基于结果的学习的效率性与学习的开放性、自发性存有矛盾。文凭资格证书体现为结果导向(outcomes-based)的课程与学习，它要求任何学习，无论正式或者非正式，都要有被纳入文凭资格证书所承认的标准的可能性。(迈克尔·杨，2019，p.155)这意味着要将复杂、多元的学习生硬地纳入“学习结果”所承认的评价标准之中，这就意味着证书所承认的能力对掌握什么、能做什么要有精确的定义与明确的评估指标。相应地，学习就成为针对证书明确标准的有效且封闭的训练。然而，在证书所承认的能力之外，学习中还包括自由探险、附带学习、潜在学习、不可显明且不便评价的学习，教育中的自然生长与学习结果的明确标准之间存在矛盾。清晰明确的标准对职业技能、岗位初学者有益，但就高级学习与知识创新而言，简洁的标准会无视默会的知识、个体内隐的理解与判断，它排斥了深度思考所必需的复杂性、曲折性与直觉性。</w:t>
      </w:r>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r>
        <w:rPr>
          <w:rFonts w:ascii="Microsoft YaHei" w:eastAsia="Microsoft YaHei" w:hAnsi="Microsoft YaHei" w:cs="Microsoft YaHei"/>
          <w:b w:val="0"/>
          <w:bCs w:val="0"/>
          <w:i w:val="0"/>
          <w:iCs w:val="0"/>
          <w:smallCaps w:val="0"/>
          <w:color w:val="666666"/>
          <w:sz w:val="21"/>
          <w:szCs w:val="21"/>
        </w:rPr>
        <w:t>　　 基于结果的学习有两个特点：其一，假定掌握某一结果有多种路径，这无疑就摒弃了认识论阶梯作为结果的脚手架的优先性；其二，优先看重“能做什么”(how to do)而不是“知道什么”(概念性知识)，二者一起削弱了专门化知识的功用与专业群体的地位。(麦克·扬，2021，p.209)为求得经济话语的承认，教育机构挥刀自戕，削弱专业的知识，自降专业的地位。于是，一系列结果导向的能力术语兴起，技能(Skills)与职业教育主义(Vocationalism)、胜任力(Competence)与成效或结果(Outcomes)、有才能(Capability)与企图心(Enterprise)。这类术语之间虽有区别，但共享“家族相似性”——它们指代“知道如何”的知识。相应地，“隐性的教学体制”(invisible pedagogic regime)发生了转变。在结果标准驱动的教学文化中，学习内容被重构：从学生被赋权学习什么转向关注他们应该练习哪些技能(麦克·扬，2021，p.186)，课程与教学从强调"knowing-that"转换为"knowing-how"，从基于学科的、概念性的知识转换为基于项目的学习、基于任务的学习，从基于命题式的学习转换为着眼实际操作的学习。教学不再是基于原理出发的推导，不再强调提出问题，而是着眼于解决问题，甚至从结果逆推，如同裁缝学徒培训中的“钉纽扣模式”③，即从产品的最后一环向上逆推还原每一步，定制简洁明晰且高效的任务清单，逐项打卡，准确记录，逐一评估。这是在努力适应由教育机构之外的工作岗位、职业培训所定制的能力要求。(麦克·扬，2021，p.58)</w:t>
      </w:r>
      <w:r>
        <w:rPr>
          <w:rFonts w:ascii="Microsoft YaHei" w:eastAsia="Microsoft YaHei" w:hAnsi="Microsoft YaHei" w:cs="Microsoft YaHei"/>
          <w:b w:val="0"/>
          <w:bCs w:val="0"/>
          <w:i w:val="0"/>
          <w:iCs w:val="0"/>
          <w:smallCaps w:val="0"/>
          <w:color w:val="666666"/>
          <w:sz w:val="21"/>
          <w:szCs w:val="21"/>
        </w:rPr>
        <w:br/>
      </w:r>
      <w:r>
        <w:rPr>
          <w:rFonts w:ascii="Microsoft YaHei" w:eastAsia="Microsoft YaHei" w:hAnsi="Microsoft YaHei" w:cs="Microsoft YaHei"/>
          <w:b w:val="0"/>
          <w:bCs w:val="0"/>
          <w:i w:val="0"/>
          <w:iCs w:val="0"/>
          <w:smallCaps w:val="0"/>
          <w:color w:val="666666"/>
          <w:sz w:val="21"/>
          <w:szCs w:val="21"/>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3" w:history="1">
        <w:r>
          <w:rPr>
            <w:rFonts w:ascii="SimSun" w:eastAsia="SimSun" w:hAnsi="SimSun" w:cs="SimSun"/>
            <w:b/>
            <w:bCs/>
            <w:color w:val="0000EE"/>
            <w:sz w:val="30"/>
            <w:szCs w:val="30"/>
            <w:u w:val="single" w:color="0000EE"/>
          </w:rPr>
          <w:t>https://d.book118.com/248015100116006036</w:t>
        </w:r>
      </w:hyperlink>
    </w:p>
    <w:p>
      <w:pPr>
        <w:pStyle w:val="artibodyp"/>
        <w:pBdr>
          <w:top w:val="none" w:sz="0" w:space="0" w:color="auto"/>
          <w:left w:val="none" w:sz="0" w:space="0" w:color="auto"/>
          <w:bottom w:val="single" w:sz="6" w:space="0" w:color="E1E1E1"/>
          <w:right w:val="none" w:sz="0" w:space="0" w:color="auto"/>
        </w:pBdr>
        <w:spacing w:before="300" w:after="300" w:line="432" w:lineRule="auto"/>
        <w:ind w:left="750" w:right="750"/>
        <w:rPr>
          <w:rFonts w:ascii="Microsoft YaHei" w:eastAsia="Microsoft YaHei" w:hAnsi="Microsoft YaHei" w:cs="Microsoft YaHei"/>
          <w:b w:val="0"/>
          <w:bCs w:val="0"/>
          <w:i w:val="0"/>
          <w:iCs w:val="0"/>
          <w:smallCaps w:val="0"/>
          <w:color w:val="666666"/>
          <w:sz w:val="21"/>
          <w:szCs w:val="21"/>
        </w:rPr>
      </w:pPr>
    </w:p>
    <w:sectPr>
      <w:type w:val="nextPage"/>
      <w:pgMar w:header="708" w:footer="708"/>
      <w:pgNumType w:start="18"/>
      <w:cols w:space="708"/>
      <w:titlePg w:val="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after="0"/>
      <w:outlineLvl w:val="0"/>
    </w:pPr>
    <w:rPr>
      <w:rFonts w:ascii="Times New Roman" w:eastAsia="Times New Roman" w:hAnsi="Times New Roman" w:cs="Times New Roman"/>
      <w:b/>
      <w:bCs/>
      <w:i w:val="0"/>
      <w:color w:val="2F5496" w:themeShade="BF"/>
      <w:kern w:val="36"/>
      <w:sz w:val="48"/>
      <w:szCs w:val="48"/>
    </w:rPr>
  </w:style>
  <w:style w:type="paragraph" w:styleId="Heading2">
    <w:name w:val="heading 2"/>
    <w:basedOn w:val="Normal"/>
    <w:next w:val="Normal"/>
    <w:link w:val="Heading2Char"/>
    <w:uiPriority w:val="9"/>
    <w:qFormat/>
    <w:rsid w:val="00506D7A"/>
    <w:pPr>
      <w:keepNext/>
      <w:keepLines/>
      <w:spacing w:before="40" w:after="0"/>
      <w:outlineLvl w:val="1"/>
    </w:pPr>
    <w:rPr>
      <w:rFonts w:ascii="Times New Roman" w:eastAsia="Times New Roman" w:hAnsi="Times New Roman" w:cs="Times New Roman"/>
      <w:b/>
      <w:bCs/>
      <w:i w:val="0"/>
      <w:color w:val="2F5496" w:themeShade="BF"/>
      <w:sz w:val="36"/>
      <w:szCs w:val="36"/>
    </w:rPr>
  </w:style>
  <w:style w:type="paragraph" w:styleId="Heading3">
    <w:name w:val="heading 3"/>
    <w:basedOn w:val="Normal"/>
    <w:next w:val="Normal"/>
    <w:link w:val="Heading3Char"/>
    <w:uiPriority w:val="9"/>
    <w:qFormat/>
    <w:rsid w:val="00506D7A"/>
    <w:pPr>
      <w:keepNext/>
      <w:keepLines/>
      <w:spacing w:before="40" w:after="0"/>
      <w:outlineLvl w:val="2"/>
    </w:pPr>
    <w:rPr>
      <w:rFonts w:ascii="Times New Roman" w:eastAsia="Times New Roman" w:hAnsi="Times New Roman" w:cs="Times New Roman"/>
      <w:b/>
      <w:bCs/>
      <w:i w:val="0"/>
      <w:color w:val="1F3763" w:themeShade="7F"/>
      <w:sz w:val="28"/>
      <w:szCs w:val="28"/>
    </w:rPr>
  </w:style>
  <w:style w:type="paragraph" w:styleId="Heading4">
    <w:name w:val="heading 4"/>
    <w:basedOn w:val="Normal"/>
    <w:next w:val="Normal"/>
    <w:link w:val="Heading4Char"/>
    <w:uiPriority w:val="9"/>
    <w:qFormat/>
    <w:rsid w:val="00506D7A"/>
    <w:pPr>
      <w:keepNext/>
      <w:keepLines/>
      <w:spacing w:before="40" w:after="0"/>
      <w:outlineLvl w:val="3"/>
    </w:pPr>
    <w:rPr>
      <w:rFonts w:ascii="Times New Roman" w:eastAsia="Times New Roman" w:hAnsi="Times New Roman" w:cs="Times New Roman"/>
      <w:b/>
      <w:bCs/>
      <w:i w:val="0"/>
      <w:iCs/>
      <w:color w:val="2F5496" w:themeShade="BF"/>
      <w:sz w:val="24"/>
      <w:szCs w:val="24"/>
    </w:rPr>
  </w:style>
  <w:style w:type="paragraph" w:styleId="Heading5">
    <w:name w:val="heading 5"/>
    <w:basedOn w:val="Normal"/>
    <w:next w:val="Normal"/>
    <w:link w:val="Heading5Char"/>
    <w:uiPriority w:val="9"/>
    <w:qFormat/>
    <w:rsid w:val="00506D7A"/>
    <w:pPr>
      <w:keepNext/>
      <w:keepLines/>
      <w:spacing w:before="40" w:after="0"/>
      <w:outlineLvl w:val="4"/>
    </w:pPr>
    <w:rPr>
      <w:rFonts w:ascii="Times New Roman" w:eastAsia="Times New Roman" w:hAnsi="Times New Roman" w:cs="Times New Roman"/>
      <w:b/>
      <w:bCs/>
      <w:i w:val="0"/>
      <w:color w:val="2F5496" w:themeShade="BF"/>
      <w:sz w:val="20"/>
      <w:szCs w:val="20"/>
    </w:rPr>
  </w:style>
  <w:style w:type="paragraph" w:styleId="Heading6">
    <w:name w:val="heading 6"/>
    <w:basedOn w:val="Normal"/>
    <w:next w:val="Normal"/>
    <w:link w:val="Heading6Char"/>
    <w:uiPriority w:val="9"/>
    <w:qFormat/>
    <w:rsid w:val="00506D7A"/>
    <w:pPr>
      <w:keepNext/>
      <w:keepLines/>
      <w:spacing w:before="40" w:after="0"/>
      <w:outlineLvl w:val="5"/>
    </w:pPr>
    <w:rPr>
      <w:rFonts w:ascii="Times New Roman" w:eastAsia="Times New Roman" w:hAnsi="Times New Roman" w:cs="Times New Roman"/>
      <w:b/>
      <w:bCs/>
      <w:i w:val="0"/>
      <w:color w:val="1F3763" w:themeShade="7F"/>
      <w:sz w:val="16"/>
      <w:szCs w:val="16"/>
    </w:rPr>
  </w:style>
  <w:style w:type="character" w:default="1" w:styleId="DefaultParagraphFont">
    <w:name w:val="Default Paragraph Font"/>
    <w:semiHidden/>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themeShade="BF"/>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themeShade="BF"/>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themeShade="7F"/>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themeShade="BF"/>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themeShade="BF"/>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themeShade="7F"/>
    </w:rPr>
  </w:style>
  <w:style w:type="paragraph" w:customStyle="1" w:styleId="articlinfo">
    <w:name w:val="articl_info"/>
    <w:basedOn w:val="Normal"/>
    <w:pPr>
      <w:pBdr>
        <w:bottom w:val="single" w:sz="6" w:space="15" w:color="E1E1E1"/>
      </w:pBdr>
    </w:pPr>
  </w:style>
  <w:style w:type="paragraph" w:customStyle="1" w:styleId="artBaseInfo">
    <w:name w:val="artBaseInfo"/>
    <w:basedOn w:val="Normal"/>
    <w:pPr>
      <w:spacing w:line="360" w:lineRule="atLeast"/>
    </w:pPr>
  </w:style>
  <w:style w:type="paragraph" w:customStyle="1" w:styleId="articlinfot">
    <w:name w:val="articl_info_t"/>
    <w:basedOn w:val="Normal"/>
    <w:pPr>
      <w:spacing w:line="360" w:lineRule="atLeast"/>
    </w:pPr>
    <w:rPr>
      <w:b/>
      <w:bCs/>
    </w:rPr>
  </w:style>
  <w:style w:type="paragraph" w:customStyle="1" w:styleId="articlinfoc">
    <w:name w:val="articl_info_c"/>
    <w:basedOn w:val="Normal"/>
  </w:style>
  <w:style w:type="paragraph" w:customStyle="1" w:styleId="articlinfocinfoc">
    <w:name w:val="articl_info_c_info_c"/>
    <w:basedOn w:val="Normal"/>
    <w:pPr>
      <w:spacing w:line="360" w:lineRule="atLeast"/>
    </w:pPr>
  </w:style>
  <w:style w:type="paragraph" w:customStyle="1" w:styleId="artBaseInfocolinfo">
    <w:name w:val="artBaseInfo_col_info"/>
    <w:basedOn w:val="Normal"/>
    <w:pPr>
      <w:spacing w:line="300" w:lineRule="atLeast"/>
    </w:pPr>
  </w:style>
  <w:style w:type="paragraph" w:customStyle="1" w:styleId="artibody">
    <w:name w:val="artibody"/>
    <w:basedOn w:val="Normal"/>
    <w:pPr>
      <w:spacing w:line="432" w:lineRule="auto"/>
    </w:pPr>
    <w:rPr>
      <w:rFonts w:ascii="Microsoft YaHei" w:eastAsia="Microsoft YaHei" w:hAnsi="Microsoft YaHei" w:cs="Microsoft YaHei"/>
      <w:b w:val="0"/>
      <w:bCs w:val="0"/>
      <w:i w:val="0"/>
      <w:iCs w:val="0"/>
      <w:smallCaps w:val="0"/>
      <w:color w:val="666666"/>
      <w:sz w:val="27"/>
      <w:szCs w:val="27"/>
    </w:rPr>
  </w:style>
  <w:style w:type="paragraph" w:customStyle="1" w:styleId="artibodyp">
    <w:name w:val="artibody_p"/>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www.rdfybk.com/qw?s0=3&amp;s1=&#25945;&#32946;&#21361;&#26426;" TargetMode="External" /><Relationship Id="rId11" Type="http://schemas.openxmlformats.org/officeDocument/2006/relationships/hyperlink" Target="http://www.rdfybk.com/qw?s0=3&amp;s1=&#20271;&#24681;&#26031;&#22374;" TargetMode="External" /><Relationship Id="rId12" Type="http://schemas.openxmlformats.org/officeDocument/2006/relationships/hyperlink" Target="http://www.rdfybk.com/qk/detail?DH=G1&amp;NF=2023&amp;QH=09" TargetMode="External" /><Relationship Id="rId13" Type="http://schemas.openxmlformats.org/officeDocument/2006/relationships/hyperlink" Target="https://d.book118.com/248015100116006036" TargetMode="External" /><Relationship Id="rId14" Type="http://schemas.openxmlformats.org/officeDocument/2006/relationships/theme" Target="theme/theme1.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www.rdfybk.com/qw?s0=2&amp;s1=&#21016;&#20113;&#26441;" TargetMode="External" /><Relationship Id="rId5" Type="http://schemas.openxmlformats.org/officeDocument/2006/relationships/hyperlink" Target="javascript:void(0);" TargetMode="External" /><Relationship Id="rId6" Type="http://schemas.openxmlformats.org/officeDocument/2006/relationships/hyperlink" Target="http://www.rdfybk.com/qw?s0=6&amp;s1=&#20013;&#22269;&#36828;&#31243;&#25945;&#32946;" TargetMode="External" /><Relationship Id="rId7" Type="http://schemas.openxmlformats.org/officeDocument/2006/relationships/hyperlink" Target="http://www.rdfybk.com/qw?s0=3&amp;s1=&#23398;&#20064;&#32773;&#20013;&#24515;" TargetMode="External" /><Relationship Id="rId8" Type="http://schemas.openxmlformats.org/officeDocument/2006/relationships/hyperlink" Target="http://www.rdfybk.com/qw?s0=3&amp;s1=" TargetMode="External" /><Relationship Id="rId9" Type="http://schemas.openxmlformats.org/officeDocument/2006/relationships/hyperlink" Target="http://www.rdfybk.com/qw?s0=3&amp;s1=&#35838;&#31243;&#25913;&#3876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