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2"/>
        </w:rPr>
        <w:t>绿色清洁材料应用</w: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spacing w:before="11"/>
        <w:ind w:left="0"/>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ind w:left="0"/>
        <w:rPr>
          <w:rFonts w:ascii="Microsoft JhengHei"/>
          <w:b/>
          <w:sz w:val="14"/>
        </w:rPr>
      </w:pPr>
    </w:p>
    <w:sdt>
      <w:sdtPr>
        <w:id w:val="175226902"/>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绿色清洁材料的定义与分</w:t>
            </w:r>
            <w:r>
              <w:rPr>
                <w:spacing w:val="-10"/>
              </w:rPr>
              <w:t>类</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生物可降解性材料的研究进</w:t>
            </w:r>
            <w:r>
              <w:rPr>
                <w:spacing w:val="-10"/>
              </w:rPr>
              <w:t>展</w:t>
            </w:r>
            <w:r>
              <w:rPr>
                <w:rFonts w:ascii="Times New Roman" w:eastAsia="Times New Roman"/>
              </w:rPr>
              <w:tab/>
            </w:r>
            <w:r>
              <w:rPr>
                <w:rFonts w:ascii="Times New Roman" w:eastAsia="Times New Roman"/>
                <w:spacing w:val="-10"/>
              </w:rPr>
              <w:t>4</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环境友好型清洁剂的应用分</w:t>
            </w:r>
            <w:r>
              <w:rPr>
                <w:spacing w:val="-10"/>
              </w:rPr>
              <w:t>析</w:t>
            </w:r>
            <w:r>
              <w:rPr>
                <w:rFonts w:ascii="Times New Roman" w:eastAsia="Times New Roman"/>
              </w:rPr>
              <w:tab/>
            </w:r>
            <w:r>
              <w:rPr>
                <w:rFonts w:ascii="Times New Roman" w:eastAsia="Times New Roman"/>
                <w:spacing w:val="-10"/>
              </w:rPr>
              <w:t>7</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纳米技术在绿色清洁中的应</w:t>
            </w:r>
            <w:r>
              <w:rPr>
                <w:spacing w:val="-10"/>
              </w:rPr>
              <w:t>用</w:t>
            </w:r>
            <w:r>
              <w:rPr>
                <w:rFonts w:ascii="Times New Roman" w:eastAsia="Times New Roman"/>
              </w:rPr>
              <w:tab/>
            </w:r>
            <w:r>
              <w:rPr>
                <w:rFonts w:ascii="Times New Roman" w:eastAsia="Times New Roman"/>
                <w:spacing w:val="-5"/>
              </w:rPr>
              <w:t>10</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绿色清洁材料的安全性与标</w:t>
            </w:r>
            <w:r>
              <w:rPr>
                <w:spacing w:val="-10"/>
              </w:rPr>
              <w:t>准</w:t>
            </w:r>
            <w:r>
              <w:rPr>
                <w:rFonts w:ascii="Times New Roman" w:eastAsia="Times New Roman"/>
              </w:rPr>
              <w:tab/>
            </w:r>
            <w:r>
              <w:rPr>
                <w:rFonts w:ascii="Times New Roman" w:eastAsia="Times New Roman"/>
                <w:spacing w:val="-5"/>
              </w:rPr>
              <w:t>13</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绿色清洁材料的市场发展趋</w:t>
            </w:r>
            <w:r>
              <w:rPr>
                <w:spacing w:val="-10"/>
              </w:rPr>
              <w:t>势</w:t>
            </w:r>
            <w:r>
              <w:rPr>
                <w:rFonts w:ascii="Times New Roman" w:eastAsia="Times New Roman"/>
              </w:rPr>
              <w:tab/>
            </w:r>
            <w:r>
              <w:rPr>
                <w:rFonts w:ascii="Times New Roman" w:eastAsia="Times New Roman"/>
                <w:spacing w:val="-5"/>
              </w:rPr>
              <w:t>16</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绿色清洁材料在工业领域的应</w:t>
            </w:r>
            <w:r>
              <w:rPr>
                <w:spacing w:val="-10"/>
              </w:rPr>
              <w:t>用</w:t>
            </w:r>
            <w:r>
              <w:rPr>
                <w:rFonts w:ascii="Times New Roman" w:eastAsia="Times New Roman"/>
              </w:rPr>
              <w:tab/>
            </w:r>
            <w:r>
              <w:rPr>
                <w:rFonts w:ascii="Times New Roman" w:eastAsia="Times New Roman"/>
                <w:spacing w:val="-5"/>
              </w:rPr>
              <w:t>17</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绿色清洁材料的可持续发展策</w:t>
            </w:r>
            <w:r>
              <w:rPr>
                <w:spacing w:val="-10"/>
              </w:rPr>
              <w:t>略</w:t>
            </w:r>
            <w:r>
              <w:rPr>
                <w:rFonts w:ascii="Times New Roman" w:eastAsia="Times New Roman"/>
              </w:rPr>
              <w:tab/>
            </w:r>
            <w:r>
              <w:rPr>
                <w:rFonts w:ascii="Times New Roman" w:eastAsia="Times New Roman"/>
                <w:spacing w:val="-5"/>
              </w:rPr>
              <w:t>20</w:t>
            </w:r>
          </w:hyperlink>
        </w:p>
        <w:p>
          <w:r>
            <w:fldChar w:fldCharType="end"/>
          </w:r>
        </w:p>
      </w:sdtContent>
    </w:sdt>
    <w:p>
      <w:pPr>
        <w:spacing w:after="0"/>
        <w:sectPr>
          <w:footerReference w:type="default" r:id="rId5"/>
          <w:type w:val="continuous"/>
          <w:pgSz w:w="11910" w:h="16840"/>
          <w:pgMar w:top="1480" w:right="1280" w:bottom="1380" w:left="1680" w:header="0" w:footer="1198"/>
          <w:pgNumType w:start="1"/>
          <w:cols w:space="708"/>
        </w:sectPr>
      </w:pPr>
    </w:p>
    <w:p>
      <w:pPr>
        <w:pStyle w:val="Heading1"/>
        <w:tabs>
          <w:tab w:val="left" w:pos="1725"/>
        </w:tabs>
        <w:spacing w:before="0" w:line="514" w:lineRule="exact"/>
        <w:jc w:val="left"/>
      </w:pPr>
      <w:bookmarkStart w:id="0" w:name="_bookmark0"/>
      <w:bookmarkEnd w:id="0"/>
      <w:r>
        <w:t>第</w:t>
      </w:r>
      <w:r>
        <w:t>一</w:t>
      </w:r>
      <w:r>
        <w:t>部</w:t>
      </w:r>
      <w:r>
        <w:rPr>
          <w:spacing w:val="-10"/>
        </w:rPr>
        <w:t>分</w:t>
      </w:r>
      <w:r>
        <w:tab/>
        <w:t>绿</w:t>
      </w:r>
      <w:r>
        <w:t>色</w:t>
      </w:r>
      <w:r>
        <w:t>清</w:t>
      </w:r>
      <w:r>
        <w:t>洁</w:t>
      </w:r>
      <w:r>
        <w:t>材</w:t>
      </w:r>
      <w:r>
        <w:t>料</w:t>
      </w:r>
      <w:r>
        <w:t>的</w:t>
      </w:r>
      <w:r>
        <w:t>定</w:t>
      </w:r>
      <w:r>
        <w:t>义</w:t>
      </w:r>
      <w:r>
        <w:t>与</w:t>
      </w:r>
      <w:r>
        <w:t>分</w:t>
      </w:r>
      <w:r>
        <w:rPr>
          <w:spacing w:val="-10"/>
        </w:rPr>
        <w:t>类</w:t>
      </w:r>
    </w:p>
    <w:p>
      <w:pPr>
        <w:pStyle w:val="BodyText"/>
        <w:spacing w:before="15" w:after="1"/>
        <w:ind w:left="0"/>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7"/>
        <w:gridCol w:w="551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7" w:type="dxa"/>
          </w:tcPr>
          <w:p>
            <w:pPr>
              <w:pStyle w:val="TableParagraph"/>
              <w:spacing w:before="23"/>
              <w:rPr>
                <w:sz w:val="21"/>
              </w:rPr>
            </w:pPr>
            <w:r>
              <w:rPr>
                <w:spacing w:val="-4"/>
                <w:sz w:val="21"/>
              </w:rPr>
              <w:t>关键词</w:t>
            </w:r>
          </w:p>
        </w:tc>
        <w:tc>
          <w:tcPr>
            <w:tcW w:w="5519"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4367"/>
          <w:jc w:val="left"/>
        </w:trPr>
        <w:tc>
          <w:tcPr>
            <w:tcW w:w="2777" w:type="dxa"/>
          </w:tcPr>
          <w:p>
            <w:pPr>
              <w:pStyle w:val="TableParagraph"/>
              <w:spacing w:before="23" w:line="278" w:lineRule="auto"/>
              <w:ind w:right="96"/>
              <w:rPr>
                <w:sz w:val="21"/>
              </w:rPr>
            </w:pPr>
            <w:r>
              <w:rPr>
                <w:spacing w:val="-2"/>
                <w:sz w:val="21"/>
              </w:rPr>
              <w:t>【绿色清洁材料的定义与分</w:t>
            </w:r>
            <w:r>
              <w:rPr>
                <w:spacing w:val="-4"/>
                <w:sz w:val="21"/>
              </w:rPr>
              <w:t>类】：</w:t>
            </w:r>
          </w:p>
        </w:tc>
        <w:tc>
          <w:tcPr>
            <w:tcW w:w="5519" w:type="dxa"/>
          </w:tcPr>
          <w:p>
            <w:pPr>
              <w:pStyle w:val="TableParagraph"/>
              <w:spacing w:before="4"/>
              <w:ind w:left="0"/>
              <w:rPr>
                <w:rFonts w:ascii="Microsoft JhengHei"/>
                <w:b/>
                <w:sz w:val="18"/>
              </w:rPr>
            </w:pPr>
          </w:p>
          <w:p>
            <w:pPr>
              <w:pStyle w:val="TableParagraph"/>
              <w:numPr>
                <w:ilvl w:val="0"/>
                <w:numId w:val="20"/>
              </w:numPr>
              <w:tabs>
                <w:tab w:val="left" w:pos="371"/>
              </w:tabs>
              <w:spacing w:before="0" w:after="0" w:line="278" w:lineRule="auto"/>
              <w:ind w:left="108" w:right="-15" w:firstLine="0"/>
              <w:jc w:val="left"/>
              <w:rPr>
                <w:sz w:val="21"/>
              </w:rPr>
            </w:pPr>
            <w:r>
              <w:rPr>
                <w:sz w:val="21"/>
              </w:rPr>
              <w:t>定义：绿色清洁材料是指在生产、使用及废弃处理过程</w:t>
            </w:r>
            <w:r>
              <w:rPr>
                <w:spacing w:val="1"/>
                <w:sz w:val="21"/>
              </w:rPr>
              <w:t>中对环境影响最小，对人体健康无害或低害，且资源利用</w:t>
            </w:r>
            <w:r>
              <w:rPr>
                <w:spacing w:val="-7"/>
                <w:sz w:val="21"/>
              </w:rPr>
              <w:t>率高的清洁用品。它们通常来源于可再生或可循环的资源，</w:t>
            </w:r>
            <w:r>
              <w:rPr>
                <w:sz w:val="21"/>
              </w:rPr>
              <w:t>并具有生物降解性。</w:t>
            </w:r>
          </w:p>
          <w:p>
            <w:pPr>
              <w:pStyle w:val="TableParagraph"/>
              <w:numPr>
                <w:ilvl w:val="0"/>
                <w:numId w:val="20"/>
              </w:numPr>
              <w:tabs>
                <w:tab w:val="left" w:pos="371"/>
              </w:tabs>
              <w:spacing w:before="0" w:after="0" w:line="278" w:lineRule="auto"/>
              <w:ind w:left="108" w:right="96" w:firstLine="0"/>
              <w:jc w:val="both"/>
              <w:rPr>
                <w:sz w:val="21"/>
              </w:rPr>
            </w:pPr>
            <w:r>
              <w:rPr>
                <w:spacing w:val="-2"/>
                <w:sz w:val="21"/>
              </w:rPr>
              <w:t>分类：根据来源和性质，绿色清洁材料可以分为生物基</w:t>
            </w:r>
            <w:r>
              <w:rPr>
                <w:spacing w:val="-2"/>
                <w:sz w:val="21"/>
              </w:rPr>
              <w:t>材料（如植物提取物</w:t>
            </w:r>
            <w:r>
              <w:rPr>
                <w:spacing w:val="-103"/>
                <w:sz w:val="21"/>
              </w:rPr>
              <w:t>）</w:t>
            </w:r>
            <w:r>
              <w:rPr>
                <w:spacing w:val="-2"/>
                <w:sz w:val="21"/>
              </w:rPr>
              <w:t>、矿物基材料（如硅藻土</w:t>
            </w:r>
            <w:r>
              <w:rPr>
                <w:spacing w:val="-103"/>
                <w:sz w:val="21"/>
              </w:rPr>
              <w:t>）</w:t>
            </w:r>
            <w:r>
              <w:rPr>
                <w:spacing w:val="-2"/>
                <w:sz w:val="21"/>
              </w:rPr>
              <w:t>、海洋基</w:t>
            </w:r>
            <w:r>
              <w:rPr>
                <w:spacing w:val="-2"/>
                <w:sz w:val="21"/>
              </w:rPr>
              <w:t>材料（如甲壳素）以及合成生物材料（如酶制剂</w:t>
            </w:r>
            <w:r>
              <w:rPr>
                <w:spacing w:val="-105"/>
                <w:sz w:val="21"/>
              </w:rPr>
              <w:t>）</w:t>
            </w:r>
            <w:r>
              <w:rPr>
                <w:spacing w:val="-2"/>
                <w:sz w:val="21"/>
              </w:rPr>
              <w:t>。</w:t>
            </w:r>
          </w:p>
          <w:p>
            <w:pPr>
              <w:pStyle w:val="TableParagraph"/>
              <w:numPr>
                <w:ilvl w:val="0"/>
                <w:numId w:val="20"/>
              </w:numPr>
              <w:tabs>
                <w:tab w:val="left" w:pos="371"/>
              </w:tabs>
              <w:spacing w:before="0" w:after="0" w:line="278" w:lineRule="auto"/>
              <w:ind w:left="108" w:right="96" w:firstLine="0"/>
              <w:jc w:val="both"/>
              <w:rPr>
                <w:sz w:val="21"/>
              </w:rPr>
            </w:pPr>
            <w:r>
              <w:rPr>
                <w:spacing w:val="-2"/>
                <w:sz w:val="21"/>
              </w:rPr>
              <w:t>发展趋势：随着环保意识的增强和科技的进步，绿色清</w:t>
            </w:r>
            <w:r>
              <w:rPr>
                <w:spacing w:val="-2"/>
                <w:sz w:val="21"/>
              </w:rPr>
              <w:t>洁材料正逐渐替代传统化学清洁剂，成为市场的新宠。未</w:t>
            </w:r>
            <w:r>
              <w:rPr>
                <w:spacing w:val="-2"/>
                <w:sz w:val="21"/>
              </w:rPr>
              <w:t>来的研究将更侧重于提高材料的性能、降低成本以及开发</w:t>
            </w:r>
            <w:r>
              <w:rPr>
                <w:spacing w:val="-2"/>
                <w:sz w:val="21"/>
              </w:rPr>
              <w:t>多功能复合产品。</w:t>
            </w:r>
          </w:p>
          <w:p>
            <w:pPr>
              <w:pStyle w:val="TableParagraph"/>
              <w:spacing w:line="269" w:lineRule="exact"/>
              <w:rPr>
                <w:sz w:val="21"/>
              </w:rPr>
            </w:pPr>
            <w:r>
              <w:rPr>
                <w:spacing w:val="-1"/>
                <w:sz w:val="21"/>
              </w:rPr>
              <w:t>【生物基清洁材料】：</w:t>
            </w:r>
          </w:p>
        </w:tc>
      </w:tr>
    </w:tbl>
    <w:p>
      <w:pPr>
        <w:pStyle w:val="BodyText"/>
        <w:spacing w:before="136" w:line="417" w:lineRule="auto"/>
        <w:ind w:right="238" w:firstLine="560"/>
      </w:pPr>
      <w:r>
        <w:rPr>
          <w:spacing w:val="-2"/>
        </w:rPr>
        <w:t>绿色清洁材料是指在生产、使用及废弃过程中对环境影响最小，</w:t>
      </w:r>
      <w:r>
        <w:rPr>
          <w:spacing w:val="-7"/>
        </w:rPr>
        <w:t>且对人体健康无害或危害极小的清洁用品。这类材料通常来源于可再</w:t>
      </w:r>
      <w:r>
        <w:rPr>
          <w:spacing w:val="-2"/>
        </w:rPr>
        <w:t xml:space="preserve"> </w:t>
      </w:r>
      <w:r>
        <w:rPr>
          <w:spacing w:val="-2"/>
        </w:rPr>
        <w:t>生资源，具有良好的生物降解性，并且在使用过程中不产生有毒有害</w:t>
      </w:r>
      <w:r>
        <w:rPr>
          <w:spacing w:val="-2"/>
        </w:rPr>
        <w:t xml:space="preserve"> </w:t>
      </w:r>
      <w:r>
        <w:rPr>
          <w:spacing w:val="-4"/>
        </w:rPr>
        <w:t>物质。</w:t>
      </w:r>
    </w:p>
    <w:p>
      <w:pPr>
        <w:pStyle w:val="BodyText"/>
        <w:spacing w:line="417" w:lineRule="auto"/>
        <w:ind w:left="260" w:right="7145" w:hanging="140"/>
      </w:pPr>
      <w:r>
        <w:rPr>
          <w:spacing w:val="-6"/>
        </w:rPr>
        <w:t># 定义与分类</w:t>
      </w:r>
      <w:r>
        <w:rPr>
          <w:spacing w:val="-6"/>
        </w:rPr>
        <w:t>定义</w:t>
      </w:r>
    </w:p>
    <w:p>
      <w:pPr>
        <w:pStyle w:val="BodyText"/>
        <w:spacing w:line="417" w:lineRule="auto"/>
        <w:ind w:right="518"/>
      </w:pPr>
      <w:r>
        <w:rPr>
          <w:spacing w:val="-8"/>
        </w:rPr>
        <w:t>绿色清洁材料是一种环保型清洁产品，其设计理念和制造过程都旨在</w:t>
      </w:r>
      <w:r>
        <w:rPr>
          <w:spacing w:val="-2"/>
        </w:rPr>
        <w:t>减少对环境的负面影响。这些材料应满足以下标准：</w:t>
      </w:r>
    </w:p>
    <w:p>
      <w:pPr>
        <w:pStyle w:val="ListParagraph"/>
        <w:numPr>
          <w:ilvl w:val="0"/>
          <w:numId w:val="19"/>
        </w:numPr>
        <w:tabs>
          <w:tab w:val="left" w:pos="540"/>
        </w:tabs>
        <w:spacing w:before="0" w:after="0" w:line="358" w:lineRule="exact"/>
        <w:ind w:left="540" w:right="0" w:hanging="420"/>
        <w:jc w:val="left"/>
        <w:rPr>
          <w:sz w:val="28"/>
        </w:rPr>
      </w:pPr>
      <w:r>
        <w:rPr>
          <w:spacing w:val="-1"/>
          <w:sz w:val="28"/>
        </w:rPr>
        <w:t>可再生性：原材料应来自可持续发展的可再生资源。</w:t>
      </w:r>
    </w:p>
    <w:p>
      <w:pPr>
        <w:pStyle w:val="BodyText"/>
        <w:spacing w:before="7"/>
        <w:ind w:left="0"/>
        <w:rPr>
          <w:sz w:val="20"/>
        </w:rPr>
      </w:pPr>
    </w:p>
    <w:p>
      <w:pPr>
        <w:pStyle w:val="ListParagraph"/>
        <w:numPr>
          <w:ilvl w:val="0"/>
          <w:numId w:val="19"/>
        </w:numPr>
        <w:tabs>
          <w:tab w:val="left" w:pos="542"/>
        </w:tabs>
        <w:spacing w:before="0" w:after="0" w:line="417" w:lineRule="auto"/>
        <w:ind w:left="120" w:right="518" w:firstLine="0"/>
        <w:jc w:val="left"/>
        <w:rPr>
          <w:sz w:val="28"/>
        </w:rPr>
      </w:pPr>
      <w:r>
        <w:rPr>
          <w:spacing w:val="-2"/>
          <w:sz w:val="28"/>
        </w:rPr>
        <w:t>可降解性：使用后能够被环境中的微生物分解，不会造成长期的</w:t>
      </w:r>
      <w:r>
        <w:rPr>
          <w:spacing w:val="-2"/>
          <w:sz w:val="28"/>
        </w:rPr>
        <w:t>环境污染。</w:t>
      </w:r>
    </w:p>
    <w:p>
      <w:pPr>
        <w:pStyle w:val="ListParagraph"/>
        <w:numPr>
          <w:ilvl w:val="0"/>
          <w:numId w:val="19"/>
        </w:numPr>
        <w:tabs>
          <w:tab w:val="left" w:pos="542"/>
        </w:tabs>
        <w:spacing w:before="0" w:after="0" w:line="417" w:lineRule="auto"/>
        <w:ind w:left="120" w:right="518" w:firstLine="0"/>
        <w:jc w:val="left"/>
        <w:rPr>
          <w:sz w:val="28"/>
        </w:rPr>
      </w:pPr>
      <w:r>
        <w:rPr>
          <w:spacing w:val="-2"/>
          <w:sz w:val="28"/>
        </w:rPr>
        <w:t>低毒性：在使用过程中不应释放有害化学物质，确保人体健康和</w:t>
      </w:r>
      <w:r>
        <w:rPr>
          <w:spacing w:val="-2"/>
          <w:sz w:val="28"/>
        </w:rPr>
        <w:t>生态环境安全。</w:t>
      </w:r>
    </w:p>
    <w:p>
      <w:pPr>
        <w:spacing w:after="0" w:line="417" w:lineRule="auto"/>
        <w:jc w:val="left"/>
        <w:rPr>
          <w:sz w:val="28"/>
        </w:rPr>
        <w:sectPr>
          <w:footerReference w:type="default" r:id="rId6"/>
          <w:pgSz w:w="11910" w:h="16840"/>
          <w:pgMar w:top="1500" w:right="1280" w:bottom="1380" w:left="1680" w:header="0" w:footer="1198"/>
          <w:pgNumType w:start="2"/>
          <w:cols w:space="708"/>
        </w:sectPr>
      </w:pPr>
    </w:p>
    <w:p>
      <w:pPr>
        <w:pStyle w:val="ListParagraph"/>
        <w:numPr>
          <w:ilvl w:val="0"/>
          <w:numId w:val="19"/>
        </w:numPr>
        <w:tabs>
          <w:tab w:val="left" w:pos="540"/>
        </w:tabs>
        <w:spacing w:before="37" w:after="0" w:line="240" w:lineRule="auto"/>
        <w:ind w:left="540" w:right="0" w:hanging="420"/>
        <w:jc w:val="left"/>
        <w:rPr>
          <w:sz w:val="28"/>
        </w:rPr>
      </w:pPr>
      <w:r>
        <w:rPr>
          <w:spacing w:val="-1"/>
          <w:sz w:val="28"/>
        </w:rPr>
        <w:t>高效性：具备优良的清洁效果，减少化学物质的用量。</w:t>
      </w:r>
    </w:p>
    <w:p>
      <w:pPr>
        <w:pStyle w:val="BodyText"/>
        <w:spacing w:before="8"/>
        <w:ind w:left="0"/>
        <w:rPr>
          <w:sz w:val="20"/>
        </w:rPr>
      </w:pPr>
    </w:p>
    <w:p>
      <w:pPr>
        <w:pStyle w:val="ListParagraph"/>
        <w:numPr>
          <w:ilvl w:val="0"/>
          <w:numId w:val="19"/>
        </w:numPr>
        <w:tabs>
          <w:tab w:val="left" w:pos="542"/>
        </w:tabs>
        <w:spacing w:before="1" w:after="0" w:line="417" w:lineRule="auto"/>
        <w:ind w:left="120" w:right="518" w:firstLine="0"/>
        <w:jc w:val="left"/>
        <w:rPr>
          <w:sz w:val="28"/>
        </w:rPr>
      </w:pPr>
      <w:r>
        <w:rPr>
          <w:spacing w:val="-2"/>
          <w:sz w:val="28"/>
        </w:rPr>
        <w:t>安全性：产品在使用、储存和处理过程中安全可靠，不对使用者</w:t>
      </w:r>
      <w:r>
        <w:rPr>
          <w:spacing w:val="-2"/>
          <w:sz w:val="28"/>
        </w:rPr>
        <w:t>构成威胁。</w:t>
      </w:r>
    </w:p>
    <w:p>
      <w:pPr>
        <w:pStyle w:val="BodyText"/>
        <w:spacing w:line="358" w:lineRule="exact"/>
        <w:ind w:left="260"/>
      </w:pPr>
      <w:r>
        <w:rPr>
          <w:spacing w:val="-5"/>
        </w:rPr>
        <w:t>分类</w:t>
      </w:r>
    </w:p>
    <w:p>
      <w:pPr>
        <w:pStyle w:val="BodyText"/>
        <w:spacing w:before="8"/>
        <w:ind w:left="0"/>
        <w:rPr>
          <w:sz w:val="20"/>
        </w:rPr>
      </w:pPr>
    </w:p>
    <w:p>
      <w:pPr>
        <w:pStyle w:val="BodyText"/>
        <w:spacing w:before="1"/>
      </w:pPr>
      <w:r>
        <w:rPr>
          <w:spacing w:val="-1"/>
        </w:rPr>
        <w:t>根据不同的属性，绿色清洁材料可以划分为以下几类：</w:t>
      </w:r>
    </w:p>
    <w:p>
      <w:pPr>
        <w:pStyle w:val="BodyText"/>
        <w:spacing w:before="8"/>
        <w:ind w:left="0"/>
        <w:rPr>
          <w:sz w:val="20"/>
        </w:rPr>
      </w:pPr>
    </w:p>
    <w:p>
      <w:pPr>
        <w:pStyle w:val="ListParagraph"/>
        <w:numPr>
          <w:ilvl w:val="0"/>
          <w:numId w:val="18"/>
        </w:numPr>
        <w:tabs>
          <w:tab w:val="left" w:pos="542"/>
        </w:tabs>
        <w:spacing w:before="1" w:after="0" w:line="417" w:lineRule="auto"/>
        <w:ind w:left="120" w:right="518" w:firstLine="0"/>
        <w:jc w:val="left"/>
        <w:rPr>
          <w:sz w:val="28"/>
        </w:rPr>
      </w:pPr>
      <w:r>
        <w:rPr>
          <w:spacing w:val="-2"/>
          <w:sz w:val="28"/>
        </w:rPr>
        <w:t>生物基材料：主要来源于植物、动物和微生物等生物质资源，如</w:t>
      </w:r>
      <w:r>
        <w:rPr>
          <w:spacing w:val="-2"/>
          <w:sz w:val="28"/>
        </w:rPr>
        <w:t>植物油、动物脂肪和微生物发酵产物。</w:t>
      </w:r>
    </w:p>
    <w:p>
      <w:pPr>
        <w:pStyle w:val="ListParagraph"/>
        <w:numPr>
          <w:ilvl w:val="0"/>
          <w:numId w:val="18"/>
        </w:numPr>
        <w:tabs>
          <w:tab w:val="left" w:pos="542"/>
        </w:tabs>
        <w:spacing w:before="0" w:after="0" w:line="417" w:lineRule="auto"/>
        <w:ind w:left="120" w:right="518" w:firstLine="0"/>
        <w:jc w:val="left"/>
        <w:rPr>
          <w:sz w:val="28"/>
        </w:rPr>
      </w:pPr>
      <w:r>
        <w:rPr>
          <w:spacing w:val="-2"/>
          <w:sz w:val="28"/>
        </w:rPr>
        <w:t>可生物降解材料：能够在自然环境中被微生物分解的材料，如聚</w:t>
      </w:r>
      <w:r>
        <w:rPr>
          <w:spacing w:val="-2"/>
          <w:sz w:val="28"/>
        </w:rPr>
        <w:t>乳酸（PLA）和聚羟基脂肪酸酯</w:t>
      </w:r>
      <w:r>
        <w:rPr>
          <w:spacing w:val="21"/>
          <w:sz w:val="28"/>
        </w:rPr>
        <w:t>（PHAs</w:t>
      </w:r>
      <w:r>
        <w:rPr>
          <w:spacing w:val="-119"/>
          <w:sz w:val="28"/>
        </w:rPr>
        <w:t>）</w:t>
      </w:r>
      <w:r>
        <w:rPr>
          <w:spacing w:val="-2"/>
          <w:sz w:val="28"/>
        </w:rPr>
        <w:t>。</w:t>
      </w:r>
    </w:p>
    <w:p>
      <w:pPr>
        <w:pStyle w:val="ListParagraph"/>
        <w:numPr>
          <w:ilvl w:val="0"/>
          <w:numId w:val="18"/>
        </w:numPr>
        <w:tabs>
          <w:tab w:val="left" w:pos="542"/>
        </w:tabs>
        <w:spacing w:before="0" w:after="0" w:line="417" w:lineRule="auto"/>
        <w:ind w:left="120" w:right="518" w:firstLine="0"/>
        <w:jc w:val="left"/>
        <w:rPr>
          <w:sz w:val="28"/>
        </w:rPr>
      </w:pPr>
      <w:r>
        <w:rPr>
          <w:spacing w:val="-2"/>
          <w:sz w:val="28"/>
        </w:rPr>
        <w:t>无毒害材料：在生产和使用过程中不含有毒有害物质，对人体和</w:t>
      </w:r>
      <w:r>
        <w:rPr>
          <w:spacing w:val="-2"/>
          <w:sz w:val="28"/>
        </w:rPr>
        <w:t>环境友好，如食品级清洁剂。</w:t>
      </w:r>
    </w:p>
    <w:p>
      <w:pPr>
        <w:pStyle w:val="ListParagraph"/>
        <w:numPr>
          <w:ilvl w:val="0"/>
          <w:numId w:val="18"/>
        </w:numPr>
        <w:tabs>
          <w:tab w:val="left" w:pos="542"/>
        </w:tabs>
        <w:spacing w:before="0" w:after="0" w:line="417" w:lineRule="auto"/>
        <w:ind w:left="120" w:right="518" w:firstLine="0"/>
        <w:jc w:val="left"/>
        <w:rPr>
          <w:sz w:val="28"/>
        </w:rPr>
      </w:pPr>
      <w:r>
        <w:rPr>
          <w:spacing w:val="-2"/>
          <w:sz w:val="28"/>
        </w:rPr>
        <w:t>环境友好型表面活性剂：具有良好生物降解性和低生态毒性的表</w:t>
      </w:r>
      <w:r>
        <w:rPr>
          <w:spacing w:val="-2"/>
          <w:sz w:val="28"/>
        </w:rPr>
        <w:t>面活性剂，如烷基糖苷（APG）和氨基酸表面活性剂。</w:t>
      </w:r>
    </w:p>
    <w:p>
      <w:pPr>
        <w:pStyle w:val="BodyText"/>
        <w:spacing w:line="358" w:lineRule="exact"/>
      </w:pPr>
      <w:r>
        <w:rPr>
          <w:spacing w:val="-2"/>
        </w:rPr>
        <w:t># 应用领域</w:t>
      </w:r>
    </w:p>
    <w:p>
      <w:pPr>
        <w:pStyle w:val="BodyText"/>
        <w:spacing w:before="7"/>
        <w:ind w:left="0"/>
        <w:rPr>
          <w:sz w:val="20"/>
        </w:rPr>
      </w:pPr>
    </w:p>
    <w:p>
      <w:pPr>
        <w:pStyle w:val="BodyText"/>
        <w:spacing w:line="417" w:lineRule="auto"/>
        <w:ind w:right="518"/>
      </w:pPr>
      <w:r>
        <w:rPr>
          <w:spacing w:val="-4"/>
        </w:rPr>
        <w:t>绿色清洁材料广泛应用于家庭清洁、工业清洗、农业植保和医疗卫生</w:t>
      </w:r>
      <w:r>
        <w:rPr>
          <w:spacing w:val="-4"/>
        </w:rPr>
        <w:t>等领域。</w:t>
      </w:r>
    </w:p>
    <w:p>
      <w:pPr>
        <w:pStyle w:val="ListParagraph"/>
        <w:numPr>
          <w:ilvl w:val="1"/>
          <w:numId w:val="18"/>
        </w:numPr>
        <w:tabs>
          <w:tab w:val="left" w:pos="400"/>
        </w:tabs>
        <w:spacing w:before="0" w:after="0" w:line="358" w:lineRule="exact"/>
        <w:ind w:left="400" w:right="0" w:hanging="280"/>
        <w:jc w:val="left"/>
        <w:rPr>
          <w:sz w:val="28"/>
        </w:rPr>
      </w:pPr>
      <w:r>
        <w:rPr>
          <w:spacing w:val="-1"/>
          <w:sz w:val="28"/>
        </w:rPr>
        <w:t>家庭清洁：包括洗衣液、洗洁精、洗手液等日常用品。</w:t>
      </w:r>
    </w:p>
    <w:p>
      <w:pPr>
        <w:pStyle w:val="BodyText"/>
        <w:spacing w:before="9"/>
        <w:ind w:left="0"/>
        <w:rPr>
          <w:sz w:val="20"/>
        </w:rPr>
      </w:pPr>
    </w:p>
    <w:p>
      <w:pPr>
        <w:pStyle w:val="ListParagraph"/>
        <w:numPr>
          <w:ilvl w:val="1"/>
          <w:numId w:val="18"/>
        </w:numPr>
        <w:tabs>
          <w:tab w:val="left" w:pos="400"/>
        </w:tabs>
        <w:spacing w:before="0" w:after="0" w:line="417" w:lineRule="auto"/>
        <w:ind w:left="120" w:right="518" w:firstLine="0"/>
        <w:jc w:val="left"/>
        <w:rPr>
          <w:sz w:val="28"/>
        </w:rPr>
      </w:pPr>
      <w:r>
        <w:rPr>
          <w:spacing w:val="-4"/>
          <w:sz w:val="28"/>
        </w:rPr>
        <w:t>工业清洗：用于机械零件、设备表面和工具的清洗，以减少对环境</w:t>
      </w:r>
      <w:r>
        <w:rPr>
          <w:spacing w:val="-2"/>
          <w:sz w:val="28"/>
        </w:rPr>
        <w:t>和操作人员的危害。</w:t>
      </w:r>
    </w:p>
    <w:p>
      <w:pPr>
        <w:pStyle w:val="ListParagraph"/>
        <w:numPr>
          <w:ilvl w:val="1"/>
          <w:numId w:val="18"/>
        </w:numPr>
        <w:tabs>
          <w:tab w:val="left" w:pos="400"/>
        </w:tabs>
        <w:spacing w:before="0" w:after="0" w:line="417" w:lineRule="auto"/>
        <w:ind w:left="120" w:right="518" w:firstLine="0"/>
        <w:jc w:val="left"/>
        <w:rPr>
          <w:sz w:val="28"/>
        </w:rPr>
      </w:pPr>
      <w:r>
        <w:rPr>
          <w:spacing w:val="-4"/>
          <w:sz w:val="28"/>
        </w:rPr>
        <w:t>农业植保：开发无公害的生物农药和生物肥料，保护土壤和水源不</w:t>
      </w:r>
      <w:r>
        <w:rPr>
          <w:spacing w:val="-4"/>
          <w:sz w:val="28"/>
        </w:rPr>
        <w:t>受污染。</w:t>
      </w:r>
    </w:p>
    <w:p>
      <w:pPr>
        <w:pStyle w:val="ListParagraph"/>
        <w:numPr>
          <w:ilvl w:val="1"/>
          <w:numId w:val="18"/>
        </w:numPr>
        <w:tabs>
          <w:tab w:val="left" w:pos="400"/>
        </w:tabs>
        <w:spacing w:before="0" w:after="0" w:line="358" w:lineRule="exact"/>
        <w:ind w:left="400" w:right="0" w:hanging="280"/>
        <w:jc w:val="left"/>
        <w:rPr>
          <w:sz w:val="28"/>
        </w:rPr>
      </w:pPr>
      <w:r>
        <w:rPr>
          <w:spacing w:val="-5"/>
          <w:sz w:val="28"/>
        </w:rPr>
        <w:t>医疗卫生：生产医用消毒剂、手术器械清洁剂等，确保医疗环境的</w:t>
      </w:r>
    </w:p>
    <w:p>
      <w:pPr>
        <w:spacing w:after="0" w:line="358" w:lineRule="exact"/>
        <w:jc w:val="left"/>
        <w:rPr>
          <w:sz w:val="28"/>
        </w:rPr>
        <w:sectPr>
          <w:footerReference w:type="default" r:id="rId7"/>
          <w:pgSz w:w="11910" w:h="16840"/>
          <w:pgMar w:top="1520" w:right="1280" w:bottom="1380" w:left="1680" w:header="0" w:footer="1198"/>
          <w:pgNumType w:start="3"/>
          <w:cols w:space="708"/>
        </w:sectPr>
      </w:pPr>
    </w:p>
    <w:p>
      <w:pPr>
        <w:pStyle w:val="BodyText"/>
        <w:spacing w:before="37"/>
      </w:pPr>
      <w:r>
        <w:rPr>
          <w:spacing w:val="-2"/>
        </w:rPr>
        <w:t>安全卫生。</w:t>
      </w:r>
    </w:p>
    <w:p>
      <w:pPr>
        <w:pStyle w:val="BodyText"/>
        <w:spacing w:before="8"/>
        <w:ind w:left="0"/>
        <w:rPr>
          <w:sz w:val="20"/>
        </w:rPr>
      </w:pPr>
    </w:p>
    <w:p>
      <w:pPr>
        <w:pStyle w:val="BodyText"/>
        <w:spacing w:before="1"/>
        <w:jc w:val="both"/>
      </w:pPr>
      <w:r>
        <w:rPr>
          <w:spacing w:val="-2"/>
        </w:rPr>
        <w:t># 发展趋势</w:t>
      </w:r>
    </w:p>
    <w:p>
      <w:pPr>
        <w:pStyle w:val="BodyText"/>
        <w:spacing w:before="8"/>
        <w:ind w:left="0"/>
        <w:rPr>
          <w:sz w:val="20"/>
        </w:rPr>
      </w:pPr>
    </w:p>
    <w:p>
      <w:pPr>
        <w:pStyle w:val="BodyText"/>
        <w:spacing w:before="1" w:line="417" w:lineRule="auto"/>
        <w:ind w:right="518"/>
        <w:jc w:val="both"/>
      </w:pPr>
      <w:r>
        <w:rPr>
          <w:spacing w:val="-6"/>
        </w:rPr>
        <w:t>随着人们对环境保护和健康生活的重视程度不断提高，绿色清洁材料</w:t>
      </w:r>
      <w:r>
        <w:rPr>
          <w:spacing w:val="-4"/>
        </w:rPr>
        <w:t>的研究和应用正逐渐成为热点。未来，绿色清洁材料的发展趋势将集</w:t>
      </w:r>
      <w:r>
        <w:rPr>
          <w:spacing w:val="-2"/>
        </w:rPr>
        <w:t>中在以下几个方面：</w:t>
      </w:r>
    </w:p>
    <w:p>
      <w:pPr>
        <w:pStyle w:val="ListParagraph"/>
        <w:numPr>
          <w:ilvl w:val="0"/>
          <w:numId w:val="17"/>
        </w:numPr>
        <w:tabs>
          <w:tab w:val="left" w:pos="542"/>
        </w:tabs>
        <w:spacing w:before="0" w:after="0" w:line="417" w:lineRule="auto"/>
        <w:ind w:left="120" w:right="518" w:firstLine="0"/>
        <w:jc w:val="left"/>
        <w:rPr>
          <w:sz w:val="28"/>
        </w:rPr>
      </w:pPr>
      <w:r>
        <w:rPr>
          <w:spacing w:val="-2"/>
          <w:sz w:val="28"/>
        </w:rPr>
        <w:t>原料来源多样化：探索更多种类的生物质资源，提高原料的可再</w:t>
      </w:r>
      <w:r>
        <w:rPr>
          <w:spacing w:val="-2"/>
          <w:sz w:val="28"/>
        </w:rPr>
        <w:t>生性和经济性。</w:t>
      </w:r>
    </w:p>
    <w:p>
      <w:pPr>
        <w:pStyle w:val="ListParagraph"/>
        <w:numPr>
          <w:ilvl w:val="0"/>
          <w:numId w:val="17"/>
        </w:numPr>
        <w:tabs>
          <w:tab w:val="left" w:pos="542"/>
        </w:tabs>
        <w:spacing w:before="0" w:after="0" w:line="417" w:lineRule="auto"/>
        <w:ind w:left="120" w:right="238" w:firstLine="0"/>
        <w:jc w:val="left"/>
        <w:rPr>
          <w:sz w:val="28"/>
        </w:rPr>
      </w:pPr>
      <w:r>
        <w:rPr>
          <w:spacing w:val="-2"/>
          <w:sz w:val="28"/>
        </w:rPr>
        <w:t>生产工艺创新：采用更环保的生产技术，降低能耗和废弃物排放，</w:t>
      </w:r>
      <w:r>
        <w:rPr>
          <w:spacing w:val="-2"/>
          <w:sz w:val="28"/>
        </w:rPr>
        <w:t>提高生产效率。</w:t>
      </w:r>
    </w:p>
    <w:p>
      <w:pPr>
        <w:pStyle w:val="ListParagraph"/>
        <w:numPr>
          <w:ilvl w:val="0"/>
          <w:numId w:val="17"/>
        </w:numPr>
        <w:tabs>
          <w:tab w:val="left" w:pos="542"/>
        </w:tabs>
        <w:spacing w:before="0" w:after="0" w:line="417" w:lineRule="auto"/>
        <w:ind w:left="120" w:right="518" w:firstLine="0"/>
        <w:jc w:val="left"/>
        <w:rPr>
          <w:sz w:val="28"/>
        </w:rPr>
      </w:pPr>
      <w:r>
        <w:rPr>
          <w:spacing w:val="-2"/>
          <w:sz w:val="28"/>
        </w:rPr>
        <w:t>产品性能优化：在保证环境友好的前提下，提升产品的清洁效果</w:t>
      </w:r>
      <w:r>
        <w:rPr>
          <w:spacing w:val="-2"/>
          <w:sz w:val="28"/>
        </w:rPr>
        <w:t>和使用体验。</w:t>
      </w:r>
    </w:p>
    <w:p>
      <w:pPr>
        <w:pStyle w:val="ListParagraph"/>
        <w:numPr>
          <w:ilvl w:val="0"/>
          <w:numId w:val="17"/>
        </w:numPr>
        <w:tabs>
          <w:tab w:val="left" w:pos="542"/>
        </w:tabs>
        <w:spacing w:before="0" w:after="0" w:line="417" w:lineRule="auto"/>
        <w:ind w:left="120" w:right="518" w:firstLine="0"/>
        <w:jc w:val="left"/>
        <w:rPr>
          <w:sz w:val="28"/>
        </w:rPr>
      </w:pPr>
      <w:r>
        <w:rPr>
          <w:spacing w:val="-2"/>
          <w:sz w:val="28"/>
        </w:rPr>
        <w:t>市场推广普及：加强绿色清洁材料的宣传和普及工作，提高消费</w:t>
      </w:r>
      <w:r>
        <w:rPr>
          <w:spacing w:val="-2"/>
          <w:sz w:val="28"/>
        </w:rPr>
        <w:t>者认知度和接受度。</w:t>
      </w:r>
    </w:p>
    <w:p>
      <w:pPr>
        <w:pStyle w:val="BodyText"/>
        <w:spacing w:line="417" w:lineRule="auto"/>
        <w:ind w:right="518"/>
        <w:jc w:val="both"/>
      </w:pPr>
      <w:r>
        <w:rPr>
          <w:spacing w:val="-4"/>
        </w:rPr>
        <w:t>综上所述，绿色清洁材料作为一种新型环保产品，对于推动可持续发</w:t>
      </w:r>
      <w:r>
        <w:rPr>
          <w:spacing w:val="-4"/>
        </w:rPr>
        <w:t>展具有重要意义。通过不断研发和创新，绿色清洁材料将在未来的清</w:t>
      </w:r>
      <w:r>
        <w:rPr>
          <w:spacing w:val="-2"/>
        </w:rPr>
        <w:t>洁行业中扮演越来越重要的角色。</w:t>
      </w:r>
    </w:p>
    <w:p>
      <w:pPr>
        <w:pStyle w:val="BodyText"/>
        <w:ind w:left="0"/>
      </w:pPr>
    </w:p>
    <w:p>
      <w:pPr>
        <w:pStyle w:val="Heading1"/>
        <w:spacing w:before="235"/>
      </w:pPr>
      <w:bookmarkStart w:id="1" w:name="_TOC_250006"/>
      <w:r>
        <w:t>第二部分</w:t>
      </w:r>
      <w:r>
        <w:rPr>
          <w:spacing w:val="216"/>
          <w:w w:val="150"/>
        </w:rPr>
        <w:t xml:space="preserve"> </w:t>
      </w:r>
      <w:bookmarkEnd w:id="1"/>
      <w:r>
        <w:rPr>
          <w:spacing w:val="-1"/>
        </w:rPr>
        <w:t>生物可降解性材料的研究进展</w:t>
      </w:r>
    </w:p>
    <w:p>
      <w:pPr>
        <w:pStyle w:val="BodyText"/>
        <w:spacing w:before="15" w:after="1"/>
        <w:ind w:left="0"/>
        <w:rPr>
          <w:rFonts w:ascii="Microsoft JhengHei"/>
          <w:b/>
          <w:sz w:val="15"/>
        </w:r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8"/>
        <w:gridCol w:w="5528"/>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8" w:type="dxa"/>
          </w:tcPr>
          <w:p>
            <w:pPr>
              <w:pStyle w:val="TableParagraph"/>
              <w:spacing w:before="23"/>
              <w:rPr>
                <w:sz w:val="21"/>
              </w:rPr>
            </w:pPr>
            <w:r>
              <w:rPr>
                <w:spacing w:val="-4"/>
                <w:sz w:val="21"/>
              </w:rPr>
              <w:t>关键词</w:t>
            </w:r>
          </w:p>
        </w:tc>
        <w:tc>
          <w:tcPr>
            <w:tcW w:w="5528" w:type="dxa"/>
          </w:tcPr>
          <w:p>
            <w:pPr>
              <w:pStyle w:val="TableParagraph"/>
              <w:spacing w:before="23"/>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8" w:type="dxa"/>
          </w:tcPr>
          <w:p>
            <w:pPr>
              <w:pStyle w:val="TableParagraph"/>
              <w:spacing w:before="23" w:line="278" w:lineRule="auto"/>
              <w:ind w:right="96"/>
              <w:rPr>
                <w:sz w:val="21"/>
              </w:rPr>
            </w:pPr>
            <w:r>
              <w:rPr>
                <w:spacing w:val="-2"/>
                <w:sz w:val="21"/>
              </w:rPr>
              <w:t>【生物可降解性材料的研究</w:t>
            </w:r>
            <w:r>
              <w:rPr>
                <w:spacing w:val="-4"/>
                <w:sz w:val="21"/>
              </w:rPr>
              <w:t>进展】</w:t>
            </w:r>
          </w:p>
        </w:tc>
        <w:tc>
          <w:tcPr>
            <w:tcW w:w="5528" w:type="dxa"/>
          </w:tcPr>
          <w:p>
            <w:pPr>
              <w:pStyle w:val="TableParagraph"/>
              <w:spacing w:before="18"/>
              <w:ind w:left="0"/>
              <w:rPr>
                <w:rFonts w:ascii="Microsoft JhengHei"/>
                <w:b/>
                <w:sz w:val="15"/>
              </w:rPr>
            </w:pPr>
          </w:p>
          <w:p>
            <w:pPr>
              <w:pStyle w:val="TableParagraph"/>
              <w:spacing w:line="310" w:lineRule="atLeast"/>
              <w:ind w:left="107" w:right="96"/>
              <w:jc w:val="both"/>
              <w:rPr>
                <w:sz w:val="21"/>
              </w:rPr>
            </w:pPr>
            <w:r>
              <w:rPr>
                <w:rFonts w:ascii="Times New Roman" w:eastAsia="Times New Roman"/>
                <w:sz w:val="21"/>
              </w:rPr>
              <w:t xml:space="preserve">1. </w:t>
            </w:r>
            <w:r>
              <w:rPr>
                <w:sz w:val="21"/>
              </w:rPr>
              <w:t>生物可降解材料的定义与分类：生物可降解材料是指在</w:t>
            </w:r>
            <w:r>
              <w:rPr>
                <w:spacing w:val="-2"/>
                <w:sz w:val="21"/>
              </w:rPr>
              <w:t>一定条件下可以被微生物分解的材料，通常分为生物基可降解材料和石油基可降解材料两大类。这些材料在自然环境中可以完全降解为水、二氧化碳和生物质，对环境影响</w:t>
            </w:r>
            <w:r>
              <w:rPr>
                <w:spacing w:val="-4"/>
                <w:sz w:val="21"/>
              </w:rPr>
              <w:t>较小。</w:t>
            </w:r>
          </w:p>
        </w:tc>
      </w:tr>
    </w:tbl>
    <w:p>
      <w:pPr>
        <w:spacing w:after="0" w:line="310" w:lineRule="atLeast"/>
        <w:jc w:val="both"/>
        <w:rPr>
          <w:sz w:val="21"/>
        </w:rPr>
        <w:sectPr>
          <w:footerReference w:type="default" r:id="rId8"/>
          <w:pgSz w:w="11910" w:h="16840"/>
          <w:pgMar w:top="1520" w:right="1280" w:bottom="1380" w:left="1680" w:header="0" w:footer="1198"/>
          <w:pgNumType w:start="4"/>
          <w:cols w:space="708"/>
        </w:sect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8"/>
        <w:gridCol w:w="5528"/>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7175"/>
          <w:jc w:val="left"/>
        </w:trPr>
        <w:tc>
          <w:tcPr>
            <w:tcW w:w="2768" w:type="dxa"/>
          </w:tcPr>
          <w:p>
            <w:pPr>
              <w:pStyle w:val="TableParagraph"/>
              <w:ind w:left="0"/>
              <w:rPr>
                <w:rFonts w:ascii="Times New Roman"/>
                <w:sz w:val="22"/>
              </w:rPr>
            </w:pPr>
          </w:p>
        </w:tc>
        <w:tc>
          <w:tcPr>
            <w:tcW w:w="5528" w:type="dxa"/>
          </w:tcPr>
          <w:p>
            <w:pPr>
              <w:pStyle w:val="TableParagraph"/>
              <w:numPr>
                <w:ilvl w:val="0"/>
                <w:numId w:val="16"/>
              </w:numPr>
              <w:tabs>
                <w:tab w:val="left" w:pos="371"/>
              </w:tabs>
              <w:spacing w:before="23" w:after="0" w:line="278" w:lineRule="auto"/>
              <w:ind w:left="107" w:right="96" w:firstLine="0"/>
              <w:jc w:val="both"/>
              <w:rPr>
                <w:sz w:val="21"/>
              </w:rPr>
            </w:pPr>
            <w:r>
              <w:rPr>
                <w:spacing w:val="-2"/>
                <w:sz w:val="21"/>
              </w:rPr>
              <w:t>生物可降解材料的发展历程：从早期的淀粉基塑料到聚</w:t>
            </w:r>
            <w:r>
              <w:rPr>
                <w:spacing w:val="-8"/>
                <w:sz w:val="21"/>
              </w:rPr>
              <w:t>乳酸</w:t>
            </w:r>
            <w:r>
              <w:rPr>
                <w:spacing w:val="13"/>
                <w:sz w:val="21"/>
              </w:rPr>
              <w:t>（</w:t>
            </w:r>
            <w:r>
              <w:rPr>
                <w:rFonts w:ascii="Times New Roman" w:eastAsia="Times New Roman"/>
                <w:spacing w:val="12"/>
                <w:sz w:val="21"/>
              </w:rPr>
              <w:t>PLA</w:t>
            </w:r>
            <w:r>
              <w:rPr>
                <w:spacing w:val="-92"/>
                <w:sz w:val="21"/>
              </w:rPr>
              <w:t>）</w:t>
            </w:r>
            <w:r>
              <w:rPr>
                <w:spacing w:val="-8"/>
                <w:sz w:val="21"/>
              </w:rPr>
              <w:t>、聚羟基脂肪酸酯（</w:t>
            </w:r>
            <w:r>
              <w:rPr>
                <w:rFonts w:ascii="Times New Roman" w:eastAsia="Times New Roman"/>
                <w:spacing w:val="-8"/>
                <w:sz w:val="21"/>
              </w:rPr>
              <w:t>PHAs</w:t>
            </w:r>
            <w:r>
              <w:rPr>
                <w:spacing w:val="-8"/>
                <w:sz w:val="21"/>
              </w:rPr>
              <w:t>）等，生物可降解材</w:t>
            </w:r>
            <w:r>
              <w:rPr>
                <w:spacing w:val="-2"/>
                <w:sz w:val="21"/>
              </w:rPr>
              <w:t>料经历了从实验室研究到商业化应用的转变。近年来，随着环保意识的提高和可持续发展战略的实施，生物可降解</w:t>
            </w:r>
            <w:r>
              <w:rPr>
                <w:spacing w:val="-2"/>
                <w:sz w:val="21"/>
              </w:rPr>
              <w:t>材料得到了广泛关注和发展。</w:t>
            </w:r>
          </w:p>
          <w:p>
            <w:pPr>
              <w:pStyle w:val="TableParagraph"/>
              <w:numPr>
                <w:ilvl w:val="0"/>
                <w:numId w:val="16"/>
              </w:numPr>
              <w:tabs>
                <w:tab w:val="left" w:pos="371"/>
              </w:tabs>
              <w:spacing w:before="0" w:after="0" w:line="278" w:lineRule="auto"/>
              <w:ind w:left="107" w:right="-15" w:firstLine="0"/>
              <w:jc w:val="left"/>
              <w:rPr>
                <w:sz w:val="21"/>
              </w:rPr>
            </w:pPr>
            <w:r>
              <w:rPr>
                <w:sz w:val="21"/>
              </w:rPr>
              <w:t>生物可降解材料的应用领域：生物可降解材料广泛应用</w:t>
            </w:r>
            <w:r>
              <w:rPr>
                <w:spacing w:val="1"/>
                <w:sz w:val="21"/>
              </w:rPr>
              <w:t>于包装、农业、医疗等领域。例如，在包装领域，生物可降解材料可以减少塑料垃圾的产生；在农业领域，生物可</w:t>
            </w:r>
            <w:r>
              <w:rPr>
                <w:spacing w:val="-4"/>
                <w:sz w:val="21"/>
              </w:rPr>
              <w:t>降解材料可以作为生物肥料，促进作物生长；在医疗领域，</w:t>
            </w:r>
            <w:r>
              <w:rPr>
                <w:sz w:val="21"/>
              </w:rPr>
              <w:t>生物可降解材料可以用于制造手术器械和药物载体。</w:t>
            </w:r>
          </w:p>
          <w:p>
            <w:pPr>
              <w:pStyle w:val="TableParagraph"/>
              <w:numPr>
                <w:ilvl w:val="0"/>
                <w:numId w:val="16"/>
              </w:numPr>
              <w:tabs>
                <w:tab w:val="left" w:pos="371"/>
              </w:tabs>
              <w:spacing w:before="0" w:after="0" w:line="278" w:lineRule="auto"/>
              <w:ind w:left="107" w:right="-15" w:firstLine="0"/>
              <w:jc w:val="left"/>
              <w:rPr>
                <w:sz w:val="21"/>
              </w:rPr>
            </w:pPr>
            <w:r>
              <w:rPr>
                <w:sz w:val="21"/>
              </w:rPr>
              <w:t>生物可降解材料的研究热点：当前，生物可降解材料的</w:t>
            </w:r>
            <w:r>
              <w:rPr>
                <w:spacing w:val="-4"/>
                <w:sz w:val="21"/>
              </w:rPr>
              <w:t>研究热点包括提高材料的力学性能、改善材料的加工性能、</w:t>
            </w:r>
            <w:r>
              <w:rPr>
                <w:spacing w:val="1"/>
                <w:sz w:val="21"/>
              </w:rPr>
              <w:t>降低材料的成本等。此外，如何通过分子设计和合成策略来优化材料的生物可降解性和功能特性也是研究的重点。</w:t>
            </w:r>
          </w:p>
          <w:p>
            <w:pPr>
              <w:pStyle w:val="TableParagraph"/>
              <w:numPr>
                <w:ilvl w:val="0"/>
                <w:numId w:val="16"/>
              </w:numPr>
              <w:tabs>
                <w:tab w:val="left" w:pos="371"/>
              </w:tabs>
              <w:spacing w:before="0" w:after="0" w:line="278" w:lineRule="auto"/>
              <w:ind w:left="107" w:right="-15" w:firstLine="0"/>
              <w:jc w:val="left"/>
              <w:rPr>
                <w:sz w:val="21"/>
              </w:rPr>
            </w:pPr>
            <w:r>
              <w:rPr>
                <w:sz w:val="21"/>
              </w:rPr>
              <w:t>生物可降解材料面临的挑战：尽管生物可降解材料具有</w:t>
            </w:r>
            <w:r>
              <w:rPr>
                <w:spacing w:val="1"/>
                <w:sz w:val="21"/>
              </w:rPr>
              <w:t>诸多优点，但其在大规模生产和应用过程中仍面临一些挑</w:t>
            </w:r>
            <w:r>
              <w:rPr>
                <w:spacing w:val="-6"/>
                <w:sz w:val="21"/>
              </w:rPr>
              <w:t>战，如成本较高、性能相对较差、降解时间较长等。因此，</w:t>
            </w:r>
            <w:r>
              <w:rPr>
                <w:spacing w:val="1"/>
                <w:sz w:val="21"/>
              </w:rPr>
              <w:t>如何克服这些挑战，推动生物可降解材料的发展，是当前科研工作者和企业需要关注的问题。</w:t>
            </w:r>
          </w:p>
          <w:p>
            <w:pPr>
              <w:pStyle w:val="TableParagraph"/>
              <w:numPr>
                <w:ilvl w:val="0"/>
                <w:numId w:val="16"/>
              </w:numPr>
              <w:tabs>
                <w:tab w:val="left" w:pos="371"/>
              </w:tabs>
              <w:spacing w:before="0" w:after="0" w:line="278" w:lineRule="auto"/>
              <w:ind w:left="107" w:right="96" w:firstLine="0"/>
              <w:jc w:val="both"/>
              <w:rPr>
                <w:sz w:val="21"/>
              </w:rPr>
            </w:pPr>
            <w:r>
              <w:rPr>
                <w:spacing w:val="-2"/>
                <w:sz w:val="21"/>
              </w:rPr>
              <w:t>生物可降解材料的前景展望：随着科技的不断进步和环</w:t>
            </w:r>
            <w:r>
              <w:rPr>
                <w:spacing w:val="-2"/>
                <w:sz w:val="21"/>
              </w:rPr>
              <w:t>保意识的提高，生物可降解材料有望在未来得到更广泛的应用。通过进一步研究和开发，生物可降解材料有望在减</w:t>
            </w:r>
          </w:p>
          <w:p>
            <w:pPr>
              <w:pStyle w:val="TableParagraph"/>
              <w:spacing w:line="269" w:lineRule="exact"/>
              <w:ind w:left="107"/>
              <w:rPr>
                <w:sz w:val="21"/>
              </w:rPr>
            </w:pPr>
            <w:r>
              <w:rPr>
                <w:spacing w:val="-1"/>
                <w:sz w:val="21"/>
              </w:rPr>
              <w:t>少环境污染、实现可持续发展等方面发挥重要作用。</w:t>
            </w:r>
          </w:p>
        </w:tc>
      </w:tr>
    </w:tbl>
    <w:p>
      <w:pPr>
        <w:pStyle w:val="BodyText"/>
        <w:spacing w:before="5"/>
        <w:ind w:left="0"/>
        <w:rPr>
          <w:rFonts w:ascii="Microsoft JhengHei"/>
          <w:b/>
          <w:sz w:val="5"/>
        </w:rPr>
      </w:pPr>
    </w:p>
    <w:p>
      <w:pPr>
        <w:pStyle w:val="BodyText"/>
        <w:spacing w:before="61"/>
        <w:ind w:left="680"/>
      </w:pPr>
      <w:r>
        <w:rPr>
          <w:spacing w:val="-1"/>
        </w:rPr>
        <w:t># 绿色清洁材料应用</w:t>
      </w:r>
    </w:p>
    <w:p>
      <w:pPr>
        <w:pStyle w:val="BodyText"/>
        <w:spacing w:before="8"/>
        <w:ind w:left="0"/>
        <w:rPr>
          <w:sz w:val="20"/>
        </w:rPr>
      </w:pPr>
    </w:p>
    <w:p>
      <w:pPr>
        <w:pStyle w:val="BodyText"/>
        <w:spacing w:before="1"/>
        <w:ind w:left="260"/>
      </w:pPr>
      <w:r>
        <w:rPr>
          <w:spacing w:val="-1"/>
        </w:rPr>
        <w:t>生物可降解性材料的研究进展</w:t>
      </w:r>
    </w:p>
    <w:p>
      <w:pPr>
        <w:pStyle w:val="BodyText"/>
        <w:spacing w:before="8"/>
        <w:ind w:left="0"/>
        <w:rPr>
          <w:sz w:val="20"/>
        </w:rPr>
      </w:pPr>
    </w:p>
    <w:p>
      <w:pPr>
        <w:pStyle w:val="BodyText"/>
        <w:spacing w:before="1" w:line="417" w:lineRule="auto"/>
        <w:ind w:right="518"/>
        <w:jc w:val="both"/>
      </w:pPr>
      <w:r>
        <w:rPr>
          <w:spacing w:val="-9"/>
        </w:rPr>
        <w:t>随着全球对环境保护意识的增强，生物可降解性材料因其能够减少环</w:t>
      </w:r>
      <w:r>
        <w:rPr>
          <w:spacing w:val="-8"/>
        </w:rPr>
        <w:t>境污染并降低生态负担而受到广泛关注。本文将概述生物可降解性材</w:t>
      </w:r>
      <w:r>
        <w:rPr>
          <w:spacing w:val="-4"/>
        </w:rPr>
        <w:t>料的研究进展，包括其分类、合成方法、降解机制以及在实际应用中</w:t>
      </w:r>
      <w:r>
        <w:rPr>
          <w:spacing w:val="-2"/>
        </w:rPr>
        <w:t>的挑战与前景。</w:t>
      </w:r>
    </w:p>
    <w:p>
      <w:pPr>
        <w:pStyle w:val="BodyText"/>
        <w:spacing w:line="358" w:lineRule="exact"/>
      </w:pPr>
      <w:r>
        <w:rPr>
          <w:spacing w:val="-1"/>
        </w:rPr>
        <w:t># 生物可降解性材料的分类</w:t>
      </w:r>
    </w:p>
    <w:p>
      <w:pPr>
        <w:pStyle w:val="BodyText"/>
        <w:spacing w:before="4" w:line="620" w:lineRule="atLeast"/>
        <w:ind w:right="238"/>
      </w:pPr>
      <w:r>
        <w:rPr>
          <w:spacing w:val="-7"/>
        </w:rPr>
        <w:t>生物可降解性材料通常分为天然高分子材料、合成高分子材料和生物</w:t>
      </w:r>
      <w:r>
        <w:rPr>
          <w:spacing w:val="-2"/>
        </w:rPr>
        <w:t xml:space="preserve"> </w:t>
      </w:r>
      <w:r>
        <w:rPr>
          <w:spacing w:val="-2"/>
        </w:rPr>
        <w:t>基材料三类。天然高分子材料如淀粉、纤维素等来源于植物或动物，</w:t>
      </w:r>
      <w:r>
        <w:rPr>
          <w:spacing w:val="-2"/>
        </w:rPr>
        <w:t>具有可再生性和生物可降解性；合成高分子材料如聚乳酸</w:t>
      </w:r>
      <w:r>
        <w:rPr>
          <w:spacing w:val="26"/>
        </w:rPr>
        <w:t>（PLA</w:t>
      </w:r>
      <w:r>
        <w:rPr>
          <w:spacing w:val="-114"/>
        </w:rPr>
        <w:t>）</w:t>
      </w:r>
      <w:r>
        <w:rPr>
          <w:spacing w:val="-2"/>
        </w:rPr>
        <w:t>、聚</w:t>
      </w:r>
      <w:r>
        <w:rPr>
          <w:spacing w:val="-2"/>
        </w:rPr>
        <w:t xml:space="preserve"> </w:t>
      </w:r>
      <w:r>
        <w:rPr>
          <w:spacing w:val="-2"/>
        </w:rPr>
        <w:t>羟基脂肪酸酯（PHAs）等是通过化学合成得到的，具有良好的机械性</w:t>
      </w:r>
    </w:p>
    <w:p>
      <w:pPr>
        <w:spacing w:after="0" w:line="620" w:lineRule="atLeast"/>
        <w:sectPr>
          <w:footerReference w:type="default" r:id="rId9"/>
          <w:type w:val="continuous"/>
          <w:pgSz w:w="11910" w:h="16840"/>
          <w:pgMar w:top="1400" w:right="1280" w:bottom="1380" w:left="1680" w:header="0" w:footer="1198"/>
          <w:pgNumType w:start="5"/>
          <w:cols w:space="708"/>
        </w:sectPr>
      </w:pPr>
    </w:p>
    <w:p>
      <w:pPr>
        <w:pStyle w:val="BodyText"/>
        <w:spacing w:before="37" w:line="417" w:lineRule="auto"/>
        <w:ind w:right="518"/>
      </w:pPr>
      <w:r>
        <w:rPr>
          <w:spacing w:val="-4"/>
        </w:rPr>
        <w:t>能和生物可降解性；生物基材料则是以生物质资源为基础，通过化学</w:t>
      </w:r>
      <w:r>
        <w:rPr>
          <w:spacing w:val="11"/>
        </w:rPr>
        <w:t>或生物转化制备而成，例如聚乙烯醇</w:t>
      </w:r>
      <w:r>
        <w:rPr>
          <w:spacing w:val="38"/>
        </w:rPr>
        <w:t>（</w:t>
      </w:r>
      <w:r>
        <w:rPr>
          <w:spacing w:val="21"/>
        </w:rPr>
        <w:t>PVA</w:t>
      </w:r>
      <w:r>
        <w:rPr>
          <w:spacing w:val="-102"/>
        </w:rPr>
        <w:t>）</w:t>
      </w:r>
      <w:r>
        <w:rPr>
          <w:spacing w:val="8"/>
        </w:rPr>
        <w:t>、聚丁二酸丁二醇酯</w:t>
      </w:r>
    </w:p>
    <w:p>
      <w:pPr>
        <w:pStyle w:val="BodyText"/>
        <w:spacing w:line="358" w:lineRule="exact"/>
      </w:pPr>
      <w:r>
        <w:t>（PBS）</w:t>
      </w:r>
      <w:r>
        <w:rPr>
          <w:spacing w:val="-5"/>
        </w:rPr>
        <w:t>等。</w:t>
      </w:r>
    </w:p>
    <w:p>
      <w:pPr>
        <w:pStyle w:val="BodyText"/>
        <w:spacing w:before="8"/>
        <w:ind w:left="0"/>
        <w:rPr>
          <w:sz w:val="20"/>
        </w:rPr>
      </w:pPr>
    </w:p>
    <w:p>
      <w:pPr>
        <w:pStyle w:val="BodyText"/>
        <w:spacing w:before="1"/>
      </w:pPr>
      <w:r>
        <w:rPr>
          <w:spacing w:val="-2"/>
        </w:rPr>
        <w:t># 合成方法</w:t>
      </w:r>
    </w:p>
    <w:p>
      <w:pPr>
        <w:pStyle w:val="BodyText"/>
        <w:spacing w:before="8"/>
        <w:ind w:left="0"/>
        <w:rPr>
          <w:sz w:val="20"/>
        </w:rPr>
      </w:pPr>
    </w:p>
    <w:p>
      <w:pPr>
        <w:pStyle w:val="BodyText"/>
        <w:spacing w:before="1" w:line="417" w:lineRule="auto"/>
        <w:ind w:right="378"/>
      </w:pPr>
      <w:r>
        <w:rPr>
          <w:spacing w:val="-7"/>
        </w:rPr>
        <w:t>生物可降解材料的合成方法主要包括生物发酵法、直接聚合法和开环</w:t>
      </w:r>
      <w:r>
        <w:rPr>
          <w:spacing w:val="-2"/>
        </w:rPr>
        <w:t>聚合法等。生物发酵法是利用微生物的生物合成能力，将简单碳源转</w:t>
      </w:r>
      <w:r>
        <w:rPr>
          <w:spacing w:val="-12"/>
        </w:rPr>
        <w:t>化为高分子量的生物可降解材料，如聚羟基脂肪酸酯</w:t>
      </w:r>
      <w:r>
        <w:rPr>
          <w:spacing w:val="-4"/>
        </w:rPr>
        <w:t>（PHAs）的合成。</w:t>
      </w:r>
      <w:r>
        <w:rPr>
          <w:spacing w:val="-6"/>
        </w:rPr>
        <w:t>直接聚合法则是指通过化学反应直接将单体聚合为高分子材料，如聚</w:t>
      </w:r>
      <w:r>
        <w:rPr>
          <w:spacing w:val="-2"/>
        </w:rPr>
        <w:t>乳酸（PLA）的合成。开环聚合法则适用于含有环状结构的单体的聚</w:t>
      </w:r>
      <w:r>
        <w:rPr>
          <w:spacing w:val="-2"/>
        </w:rPr>
        <w:t>合反应，如己内酯的开环聚合。</w:t>
      </w:r>
    </w:p>
    <w:p>
      <w:pPr>
        <w:pStyle w:val="BodyText"/>
        <w:spacing w:line="357" w:lineRule="exact"/>
      </w:pPr>
      <w:r>
        <w:rPr>
          <w:spacing w:val="-2"/>
        </w:rPr>
        <w:t># 降解机制</w:t>
      </w:r>
    </w:p>
    <w:p>
      <w:pPr>
        <w:pStyle w:val="BodyText"/>
        <w:spacing w:before="8"/>
        <w:ind w:left="0"/>
        <w:rPr>
          <w:sz w:val="20"/>
        </w:rPr>
      </w:pPr>
    </w:p>
    <w:p>
      <w:pPr>
        <w:pStyle w:val="BodyText"/>
        <w:spacing w:before="1" w:line="417" w:lineRule="auto"/>
        <w:ind w:right="285"/>
      </w:pPr>
      <w:r>
        <w:rPr>
          <w:spacing w:val="-10"/>
        </w:rPr>
        <w:t>生物可降解材料的降解过程主要涉及水解、酶解和微生物降解等机制。</w:t>
      </w:r>
      <w:r>
        <w:rPr>
          <w:spacing w:val="-2"/>
        </w:rPr>
        <w:t>水解是指材料在高湿度或水中发生分子链断裂的过程；酶解是指特定</w:t>
      </w:r>
      <w:r>
        <w:rPr>
          <w:spacing w:val="-2"/>
        </w:rPr>
        <w:t>酶作用于材料，加速其分解的过程；微生物降解则是微生物分泌的酶</w:t>
      </w:r>
      <w:r>
        <w:rPr>
          <w:spacing w:val="-2"/>
        </w:rPr>
        <w:t>将材料分解成小分子，最终完全矿化为二氧化碳和水。</w:t>
      </w:r>
    </w:p>
    <w:p>
      <w:pPr>
        <w:pStyle w:val="BodyText"/>
        <w:spacing w:line="358" w:lineRule="exact"/>
      </w:pPr>
      <w:r>
        <w:rPr>
          <w:spacing w:val="-2"/>
        </w:rPr>
        <w:t># 研究进展</w:t>
      </w:r>
    </w:p>
    <w:p>
      <w:pPr>
        <w:pStyle w:val="BodyText"/>
        <w:spacing w:before="8"/>
        <w:ind w:left="0"/>
        <w:rPr>
          <w:sz w:val="20"/>
        </w:rPr>
      </w:pPr>
    </w:p>
    <w:p>
      <w:pPr>
        <w:pStyle w:val="BodyText"/>
        <w:spacing w:before="1" w:line="417" w:lineRule="auto"/>
        <w:ind w:right="518"/>
      </w:pPr>
      <w:r>
        <w:rPr>
          <w:spacing w:val="-4"/>
        </w:rPr>
        <w:t>近年来，生物可降解材料的研究取得了显著进展。一方面，新型生物</w:t>
      </w:r>
      <w:r>
        <w:rPr>
          <w:spacing w:val="-4"/>
        </w:rPr>
        <w:t>可降解材料的开发不断涌现，如聚氨基酸、聚酯酰胺等，这些材料不</w:t>
      </w:r>
      <w:r>
        <w:rPr>
          <w:spacing w:val="-4"/>
        </w:rPr>
        <w:t>仅具有良好的生物可降解性，还具有优异的力学性能和热稳定性。另</w:t>
      </w:r>
      <w:r>
        <w:rPr>
          <w:spacing w:val="-4"/>
        </w:rPr>
        <w:t>一方面，研究者通过对现有材料的改性，提高了其生物可降解性和应</w:t>
      </w:r>
      <w:r>
        <w:rPr>
          <w:spacing w:val="-2"/>
        </w:rPr>
        <w:t>用性能，例如通过共聚、交联等方法改善聚乳酸的韧性和耐热性。</w:t>
      </w:r>
      <w:r>
        <w:rPr>
          <w:spacing w:val="40"/>
        </w:rPr>
        <w:t xml:space="preserve"> </w:t>
      </w:r>
      <w:r>
        <w:t># 实际应用中的挑战与前景</w:t>
      </w:r>
    </w:p>
    <w:p>
      <w:pPr>
        <w:spacing w:after="0" w:line="417" w:lineRule="auto"/>
        <w:sectPr>
          <w:footerReference w:type="default" r:id="rId10"/>
          <w:pgSz w:w="11910" w:h="16840"/>
          <w:pgMar w:top="1520" w:right="1280" w:bottom="1380" w:left="1680" w:header="0" w:footer="1198"/>
          <w:pgNumType w:start="6"/>
          <w:cols w:space="708"/>
        </w:sectPr>
      </w:pPr>
    </w:p>
    <w:p>
      <w:pPr>
        <w:pStyle w:val="BodyText"/>
        <w:spacing w:before="37" w:line="417" w:lineRule="auto"/>
        <w:ind w:right="98"/>
      </w:pPr>
      <w:r>
        <w:rPr>
          <w:spacing w:val="-11"/>
        </w:rPr>
        <w:t>尽管生物可降解材料具有诸多优点，但在实际应用中仍面临一些挑战。</w:t>
      </w:r>
      <w:r>
        <w:rPr>
          <w:spacing w:val="-2"/>
        </w:rPr>
        <w:t>首先，与传统塑料相比，生物可降解材料的生产成本相对较高，这在</w:t>
      </w:r>
    </w:p>
    <w:p>
      <w:pPr>
        <w:pStyle w:val="BodyText"/>
        <w:spacing w:line="417" w:lineRule="auto"/>
        <w:ind w:right="518"/>
        <w:jc w:val="both"/>
      </w:pPr>
      <w:r>
        <w:rPr>
          <w:spacing w:val="-4"/>
        </w:rPr>
        <w:t>一定程度上限制了其在市场上的广泛应用。其次，生物可降解材料的</w:t>
      </w:r>
      <w:r>
        <w:rPr>
          <w:spacing w:val="-4"/>
        </w:rPr>
        <w:t>降解速率受环境条件影响较大，如温度、湿度和微生物活性等，这可</w:t>
      </w:r>
      <w:r>
        <w:rPr>
          <w:spacing w:val="-4"/>
        </w:rPr>
        <w:t>能导致其在某些条件下降解不完全。最后，生物可降解材料的回收再</w:t>
      </w:r>
      <w:r>
        <w:rPr>
          <w:spacing w:val="-2"/>
        </w:rPr>
        <w:t>利用技术尚不完善，需要进一步研究和开发。</w:t>
      </w:r>
    </w:p>
    <w:p>
      <w:pPr>
        <w:pStyle w:val="BodyText"/>
        <w:spacing w:line="417" w:lineRule="auto"/>
        <w:ind w:right="378"/>
      </w:pPr>
      <w:r>
        <w:rPr>
          <w:spacing w:val="-2"/>
        </w:rPr>
        <w:t>尽管如此，随着技术的进步和环保意识的提高，生物可降解材料的发</w:t>
      </w:r>
      <w:r>
        <w:rPr>
          <w:spacing w:val="-2"/>
        </w:rPr>
        <w:t>展前景仍然广阔。未来，通过优化合成工艺、降低成本、提高降解速</w:t>
      </w:r>
      <w:r>
        <w:rPr>
          <w:spacing w:val="-14"/>
        </w:rPr>
        <w:t>率和完善回收再利用技术等措施，生物可降解材料有望在包装、医疗、</w:t>
      </w:r>
      <w:r>
        <w:rPr>
          <w:spacing w:val="-2"/>
        </w:rPr>
        <w:t>农业等多个领域得到更广泛的应用，为实现可持续发展做出贡献。</w:t>
      </w:r>
    </w:p>
    <w:p>
      <w:pPr>
        <w:pStyle w:val="BodyText"/>
        <w:ind w:left="0"/>
      </w:pPr>
    </w:p>
    <w:p>
      <w:pPr>
        <w:pStyle w:val="Heading1"/>
        <w:spacing w:before="236"/>
      </w:pPr>
      <w:bookmarkStart w:id="2" w:name="_TOC_250005"/>
      <w:r>
        <w:t>第三部分</w:t>
      </w:r>
      <w:r>
        <w:rPr>
          <w:spacing w:val="216"/>
          <w:w w:val="150"/>
        </w:rPr>
        <w:t xml:space="preserve"> </w:t>
      </w:r>
      <w:bookmarkEnd w:id="2"/>
      <w:r>
        <w:rPr>
          <w:spacing w:val="-1"/>
        </w:rPr>
        <w:t>环境友好型清洁剂的应用分析</w:t>
      </w:r>
    </w:p>
    <w:p>
      <w:pPr>
        <w:pStyle w:val="BodyText"/>
        <w:spacing w:before="15"/>
        <w:ind w:left="0"/>
        <w:rPr>
          <w:rFonts w:ascii="Microsoft JhengHei"/>
          <w:b/>
          <w:sz w:val="15"/>
        </w:r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5"/>
        <w:gridCol w:w="5521"/>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5" w:type="dxa"/>
          </w:tcPr>
          <w:p>
            <w:pPr>
              <w:pStyle w:val="TableParagraph"/>
              <w:spacing w:before="23"/>
              <w:rPr>
                <w:sz w:val="21"/>
              </w:rPr>
            </w:pPr>
            <w:r>
              <w:rPr>
                <w:spacing w:val="-4"/>
                <w:sz w:val="21"/>
              </w:rPr>
              <w:t>关键词</w:t>
            </w:r>
          </w:p>
        </w:tc>
        <w:tc>
          <w:tcPr>
            <w:tcW w:w="5521"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4056"/>
          <w:jc w:val="left"/>
        </w:trPr>
        <w:tc>
          <w:tcPr>
            <w:tcW w:w="2775" w:type="dxa"/>
          </w:tcPr>
          <w:p>
            <w:pPr>
              <w:pStyle w:val="TableParagraph"/>
              <w:spacing w:before="23" w:line="278" w:lineRule="auto"/>
              <w:ind w:right="96"/>
              <w:rPr>
                <w:sz w:val="21"/>
              </w:rPr>
            </w:pPr>
            <w:r>
              <w:rPr>
                <w:spacing w:val="-2"/>
                <w:sz w:val="21"/>
              </w:rPr>
              <w:t>【环境友好型清洁剂的应用</w:t>
            </w:r>
            <w:r>
              <w:rPr>
                <w:spacing w:val="-4"/>
                <w:sz w:val="21"/>
              </w:rPr>
              <w:t>分析】</w:t>
            </w:r>
          </w:p>
        </w:tc>
        <w:tc>
          <w:tcPr>
            <w:tcW w:w="5521" w:type="dxa"/>
          </w:tcPr>
          <w:p>
            <w:pPr>
              <w:pStyle w:val="TableParagraph"/>
              <w:spacing w:before="4"/>
              <w:ind w:left="0"/>
              <w:rPr>
                <w:rFonts w:ascii="Microsoft JhengHei"/>
                <w:b/>
                <w:sz w:val="18"/>
              </w:rPr>
            </w:pPr>
          </w:p>
          <w:p>
            <w:pPr>
              <w:pStyle w:val="TableParagraph"/>
              <w:numPr>
                <w:ilvl w:val="0"/>
                <w:numId w:val="15"/>
              </w:numPr>
              <w:tabs>
                <w:tab w:val="left" w:pos="371"/>
              </w:tabs>
              <w:spacing w:before="0" w:after="0" w:line="278" w:lineRule="auto"/>
              <w:ind w:left="108" w:right="96" w:firstLine="0"/>
              <w:jc w:val="both"/>
              <w:rPr>
                <w:sz w:val="21"/>
              </w:rPr>
            </w:pPr>
            <w:r>
              <w:rPr>
                <w:spacing w:val="-2"/>
                <w:sz w:val="21"/>
              </w:rPr>
              <w:t>生物可降解成分的使用：环境友好型清洁剂通常含有可</w:t>
            </w:r>
            <w:r>
              <w:rPr>
                <w:spacing w:val="-2"/>
                <w:sz w:val="21"/>
              </w:rPr>
              <w:t>被自然界微生物分解的成分，如植物提取物、酶和其他天</w:t>
            </w:r>
            <w:r>
              <w:rPr>
                <w:spacing w:val="-2"/>
                <w:sz w:val="21"/>
              </w:rPr>
              <w:t>然化合物。这些成分不仅对环境无害，而且可以减少化学</w:t>
            </w:r>
            <w:r>
              <w:rPr>
                <w:spacing w:val="-2"/>
                <w:sz w:val="21"/>
              </w:rPr>
              <w:t>残留物对土壤和水源的影响。</w:t>
            </w:r>
          </w:p>
          <w:p>
            <w:pPr>
              <w:pStyle w:val="TableParagraph"/>
              <w:numPr>
                <w:ilvl w:val="0"/>
                <w:numId w:val="15"/>
              </w:numPr>
              <w:tabs>
                <w:tab w:val="left" w:pos="371"/>
              </w:tabs>
              <w:spacing w:before="0" w:after="0" w:line="278" w:lineRule="auto"/>
              <w:ind w:left="108" w:right="96" w:firstLine="0"/>
              <w:jc w:val="both"/>
              <w:rPr>
                <w:sz w:val="21"/>
              </w:rPr>
            </w:pPr>
            <w:r>
              <w:rPr>
                <w:spacing w:val="-2"/>
                <w:sz w:val="21"/>
              </w:rPr>
              <w:t>低毒性与安全性：这类清洁剂对人类和动物具有较低的</w:t>
            </w:r>
            <w:r>
              <w:rPr>
                <w:spacing w:val="-2"/>
                <w:sz w:val="21"/>
              </w:rPr>
              <w:t>毒性，减少了因误接触或吸入而引起的伤害风险。同时，</w:t>
            </w:r>
            <w:r>
              <w:rPr>
                <w:spacing w:val="-2"/>
                <w:sz w:val="21"/>
              </w:rPr>
              <w:t>它们不会破坏生态系统的平衡，有助于保护生物多样性。</w:t>
            </w:r>
          </w:p>
          <w:p>
            <w:pPr>
              <w:pStyle w:val="TableParagraph"/>
              <w:numPr>
                <w:ilvl w:val="0"/>
                <w:numId w:val="15"/>
              </w:numPr>
              <w:tabs>
                <w:tab w:val="left" w:pos="371"/>
              </w:tabs>
              <w:spacing w:before="0" w:after="0" w:line="278" w:lineRule="auto"/>
              <w:ind w:left="108" w:right="96" w:firstLine="0"/>
              <w:jc w:val="both"/>
              <w:rPr>
                <w:sz w:val="21"/>
              </w:rPr>
            </w:pPr>
            <w:r>
              <w:rPr>
                <w:spacing w:val="-2"/>
                <w:sz w:val="21"/>
              </w:rPr>
              <w:t>减少污染排放：环境友好型清洁剂在生产和使用过程中</w:t>
            </w:r>
            <w:r>
              <w:rPr>
                <w:spacing w:val="-2"/>
                <w:sz w:val="21"/>
              </w:rPr>
              <w:t>产生的废料较少，降低了向大气、水体和土壤中的污染物</w:t>
            </w:r>
            <w:r>
              <w:rPr>
                <w:spacing w:val="-2"/>
                <w:sz w:val="21"/>
              </w:rPr>
              <w:t>排放。这有助于减轻全球气候变化和环境退化的压力。</w:t>
            </w:r>
          </w:p>
          <w:p>
            <w:pPr>
              <w:pStyle w:val="TableParagraph"/>
              <w:spacing w:line="269" w:lineRule="exact"/>
              <w:rPr>
                <w:sz w:val="21"/>
              </w:rPr>
            </w:pPr>
            <w:r>
              <w:rPr>
                <w:spacing w:val="-1"/>
                <w:sz w:val="21"/>
              </w:rPr>
              <w:t>【绿色包装材料的应用】</w:t>
            </w:r>
          </w:p>
        </w:tc>
      </w:tr>
    </w:tbl>
    <w:p>
      <w:pPr>
        <w:pStyle w:val="BodyText"/>
        <w:ind w:left="0"/>
        <w:rPr>
          <w:rFonts w:ascii="Microsoft JhengHei"/>
          <w:b/>
          <w:sz w:val="4"/>
        </w:rPr>
      </w:pPr>
    </w:p>
    <w:p>
      <w:pPr>
        <w:pStyle w:val="BodyText"/>
        <w:spacing w:before="61" w:line="417" w:lineRule="auto"/>
        <w:ind w:right="518" w:firstLine="560"/>
      </w:pPr>
      <w:r>
        <w:rPr>
          <w:spacing w:val="-9"/>
        </w:rPr>
        <w:t>绿色清洁材料是指那些在生产、使用及废弃过程中对环境影响最</w:t>
      </w:r>
      <w:r>
        <w:rPr>
          <w:spacing w:val="-5"/>
        </w:rPr>
        <w:t>小化的清洁产品。随着环保意识的增强，环境友好型清洁剂逐渐受到</w:t>
      </w:r>
    </w:p>
    <w:p>
      <w:pPr>
        <w:spacing w:after="0" w:line="417" w:lineRule="auto"/>
        <w:sectPr>
          <w:footerReference w:type="default" r:id="rId11"/>
          <w:pgSz w:w="11910" w:h="16840"/>
          <w:pgMar w:top="1520" w:right="1280" w:bottom="1380" w:left="1680" w:header="0" w:footer="1198"/>
          <w:pgNumType w:start="7"/>
          <w:cols w:space="708"/>
        </w:sectPr>
      </w:pPr>
    </w:p>
    <w:p>
      <w:pPr>
        <w:pStyle w:val="BodyText"/>
        <w:spacing w:before="37" w:line="417" w:lineRule="auto"/>
        <w:ind w:right="518"/>
      </w:pPr>
      <w:r>
        <w:rPr>
          <w:spacing w:val="-4"/>
        </w:rPr>
        <w:t>重视，并在多个领域得到广泛应用。本文将分析环境友好型清洁剂的</w:t>
      </w:r>
      <w:r>
        <w:rPr>
          <w:spacing w:val="-2"/>
        </w:rPr>
        <w:t>主要类型及其在不同领域的应用情况。</w:t>
      </w:r>
    </w:p>
    <w:p>
      <w:pPr>
        <w:pStyle w:val="BodyText"/>
        <w:spacing w:line="417" w:lineRule="auto"/>
        <w:ind w:left="260" w:right="4905" w:hanging="140"/>
      </w:pPr>
      <w:r>
        <w:rPr>
          <w:spacing w:val="-6"/>
        </w:rPr>
        <w:t># 主要类型的环境友好型清洁剂</w:t>
      </w:r>
      <w:r>
        <w:rPr>
          <w:spacing w:val="-2"/>
        </w:rPr>
        <w:t>生物可降解清洁剂</w:t>
      </w:r>
    </w:p>
    <w:p>
      <w:pPr>
        <w:pStyle w:val="BodyText"/>
        <w:spacing w:line="417" w:lineRule="auto"/>
        <w:ind w:right="238"/>
        <w:jc w:val="both"/>
      </w:pPr>
      <w:r>
        <w:rPr>
          <w:spacing w:val="-2"/>
        </w:rPr>
        <w:t>生物可降解清洁剂是一种能在自然环境中被微生物分解的清洁产品。</w:t>
      </w:r>
      <w:r>
        <w:rPr>
          <w:spacing w:val="-2"/>
        </w:rPr>
        <w:t>这类清洁剂通常由天然来源的成分制成，如植物提取物、植物油等。</w:t>
      </w:r>
      <w:r>
        <w:rPr>
          <w:spacing w:val="-2"/>
        </w:rPr>
        <w:t>它们对水体生态系统的破坏较小，不会造成长期的环境污染。</w:t>
      </w:r>
    </w:p>
    <w:p>
      <w:pPr>
        <w:pStyle w:val="BodyText"/>
        <w:spacing w:line="358" w:lineRule="exact"/>
        <w:ind w:left="260"/>
      </w:pPr>
      <w:r>
        <w:rPr>
          <w:spacing w:val="-2"/>
        </w:rPr>
        <w:t>无毒或低毒清洁剂</w:t>
      </w:r>
    </w:p>
    <w:p>
      <w:pPr>
        <w:pStyle w:val="BodyText"/>
        <w:spacing w:before="7"/>
        <w:ind w:left="0"/>
        <w:rPr>
          <w:sz w:val="20"/>
        </w:rPr>
      </w:pPr>
    </w:p>
    <w:p>
      <w:pPr>
        <w:pStyle w:val="BodyText"/>
        <w:spacing w:before="1" w:line="417" w:lineRule="auto"/>
        <w:ind w:right="518"/>
      </w:pPr>
      <w:r>
        <w:rPr>
          <w:spacing w:val="-6"/>
        </w:rPr>
        <w:t>无毒或低毒清洁剂指的是那些对人体和环境危害较小的清洁产品。这</w:t>
      </w:r>
      <w:r>
        <w:rPr>
          <w:spacing w:val="-1"/>
        </w:rPr>
        <w:t>些清洁剂通常不含或仅含少量有害化学物质，如挥发性有机化合物</w:t>
      </w:r>
    </w:p>
    <w:p>
      <w:pPr>
        <w:pStyle w:val="BodyText"/>
        <w:spacing w:line="417" w:lineRule="auto"/>
        <w:ind w:right="238"/>
      </w:pPr>
      <w:r>
        <w:rPr>
          <w:spacing w:val="-2"/>
        </w:rPr>
        <w:t>（VOCs）和重金属。它们在使用过程中对操作人员的健康影响较小，</w:t>
      </w:r>
      <w:r>
        <w:rPr>
          <w:spacing w:val="-2"/>
        </w:rPr>
        <w:t>同时减少了对环境的潜在风险。</w:t>
      </w:r>
    </w:p>
    <w:p>
      <w:pPr>
        <w:pStyle w:val="BodyText"/>
        <w:spacing w:line="417" w:lineRule="auto"/>
        <w:ind w:left="260" w:right="4905" w:hanging="140"/>
      </w:pPr>
      <w:r>
        <w:rPr>
          <w:spacing w:val="-6"/>
        </w:rPr>
        <w:t># 环境友好型清洁剂的应用分析</w:t>
      </w:r>
      <w:r>
        <w:rPr>
          <w:spacing w:val="-4"/>
        </w:rPr>
        <w:t>家庭清洁</w:t>
      </w:r>
    </w:p>
    <w:p>
      <w:pPr>
        <w:pStyle w:val="BodyText"/>
        <w:spacing w:line="417" w:lineRule="auto"/>
        <w:ind w:right="518"/>
        <w:jc w:val="both"/>
      </w:pPr>
      <w:r>
        <w:rPr>
          <w:spacing w:val="-12"/>
        </w:rPr>
        <w:t>在家庭清洁领域，环境友好型清洁剂因其安全性和环保性而受到消费</w:t>
      </w:r>
      <w:r>
        <w:rPr>
          <w:spacing w:val="-4"/>
        </w:rPr>
        <w:t>者的青睐。生物可降解洗涤剂、无磷洗衣粉和无毒地板清洁剂等产品</w:t>
      </w:r>
      <w:r>
        <w:rPr>
          <w:spacing w:val="-4"/>
        </w:rPr>
        <w:t>在市场上越来越流行。据市场研究数据显示，近年来，全球家庭清洁</w:t>
      </w:r>
      <w:r>
        <w:rPr>
          <w:spacing w:val="-2"/>
        </w:rPr>
        <w:t>市场中环境友好型产品的市场份额持续增长。</w:t>
      </w:r>
    </w:p>
    <w:p>
      <w:pPr>
        <w:pStyle w:val="BodyText"/>
        <w:spacing w:line="358" w:lineRule="exact"/>
        <w:ind w:left="260"/>
      </w:pPr>
      <w:r>
        <w:rPr>
          <w:spacing w:val="-3"/>
        </w:rPr>
        <w:t>工业清洗</w:t>
      </w:r>
    </w:p>
    <w:p>
      <w:pPr>
        <w:pStyle w:val="BodyText"/>
        <w:spacing w:before="7"/>
        <w:ind w:left="0"/>
        <w:rPr>
          <w:sz w:val="20"/>
        </w:rPr>
      </w:pPr>
    </w:p>
    <w:p>
      <w:pPr>
        <w:pStyle w:val="BodyText"/>
        <w:spacing w:line="417" w:lineRule="auto"/>
        <w:ind w:right="518"/>
        <w:jc w:val="both"/>
      </w:pPr>
      <w:r>
        <w:rPr>
          <w:spacing w:val="-4"/>
        </w:rPr>
        <w:t>在工业领域，环境友好型清洁剂主要用于设备维护和生产线清洁。无</w:t>
      </w:r>
      <w:r>
        <w:rPr>
          <w:spacing w:val="-12"/>
        </w:rPr>
        <w:t>毒或低毒的溶剂、脱脂剂和金属表面处理剂等替代了传统的有害化学</w:t>
      </w:r>
      <w:r>
        <w:rPr>
          <w:spacing w:val="-5"/>
        </w:rPr>
        <w:t>品。例如，采用生物降解的乳化剂进行油水分离，可以减少对水体的</w:t>
      </w:r>
    </w:p>
    <w:p>
      <w:pPr>
        <w:spacing w:after="0" w:line="417" w:lineRule="auto"/>
        <w:jc w:val="both"/>
        <w:sectPr>
          <w:footerReference w:type="default" r:id="rId12"/>
          <w:pgSz w:w="11910" w:h="16840"/>
          <w:pgMar w:top="1520" w:right="1280" w:bottom="1380" w:left="1680" w:header="0" w:footer="1198"/>
          <w:pgNumType w:start="8"/>
          <w:cols w:space="708"/>
        </w:sectPr>
      </w:pPr>
    </w:p>
    <w:p>
      <w:pPr>
        <w:pStyle w:val="BodyText"/>
        <w:spacing w:before="37" w:line="417" w:lineRule="auto"/>
        <w:ind w:right="518"/>
      </w:pPr>
      <w:r>
        <w:rPr>
          <w:spacing w:val="-4"/>
        </w:rPr>
        <w:t>污染。此外，工业清洗过程中产生的废液可以通过生物处理或物理方</w:t>
      </w:r>
      <w:r>
        <w:rPr>
          <w:spacing w:val="-2"/>
        </w:rPr>
        <w:t>法回收，进一步降低环境影响。</w:t>
      </w:r>
    </w:p>
    <w:p>
      <w:pPr>
        <w:pStyle w:val="BodyText"/>
        <w:spacing w:line="358" w:lineRule="exact"/>
        <w:ind w:left="260"/>
      </w:pPr>
      <w:r>
        <w:rPr>
          <w:spacing w:val="-2"/>
        </w:rPr>
        <w:t>公共设施清洁</w:t>
      </w:r>
    </w:p>
    <w:p>
      <w:pPr>
        <w:pStyle w:val="BodyText"/>
        <w:spacing w:before="8"/>
        <w:ind w:left="0"/>
        <w:rPr>
          <w:sz w:val="20"/>
        </w:rPr>
      </w:pPr>
    </w:p>
    <w:p>
      <w:pPr>
        <w:pStyle w:val="BodyText"/>
        <w:spacing w:before="1" w:line="417" w:lineRule="auto"/>
        <w:ind w:right="518"/>
        <w:jc w:val="both"/>
      </w:pPr>
      <w:r>
        <w:rPr>
          <w:spacing w:val="-12"/>
        </w:rPr>
        <w:t>公共设施如学校、医院和政府机关等场所也广泛采用环境友好型清洁</w:t>
      </w:r>
      <w:r>
        <w:rPr>
          <w:spacing w:val="-4"/>
        </w:rPr>
        <w:t>剂。这些场所需要频繁清洁和消毒，但同时也必须考虑工作人员和公</w:t>
      </w:r>
      <w:r>
        <w:rPr>
          <w:spacing w:val="-4"/>
        </w:rPr>
        <w:t>众的健康。因此，使用无毒或低毒的消毒剂、去污剂和除臭剂是最佳</w:t>
      </w:r>
      <w:r>
        <w:rPr>
          <w:spacing w:val="-4"/>
        </w:rPr>
        <w:t>选择。这些产品不仅降低了化学暴露的风险，还减少了有害物质的排</w:t>
      </w:r>
      <w:r>
        <w:rPr>
          <w:spacing w:val="-6"/>
        </w:rPr>
        <w:t>放。</w:t>
      </w:r>
    </w:p>
    <w:p>
      <w:pPr>
        <w:pStyle w:val="BodyText"/>
        <w:spacing w:line="358" w:lineRule="exact"/>
        <w:ind w:left="260"/>
      </w:pPr>
      <w:r>
        <w:rPr>
          <w:spacing w:val="-2"/>
        </w:rPr>
        <w:t>农业和园艺</w:t>
      </w:r>
    </w:p>
    <w:p>
      <w:pPr>
        <w:pStyle w:val="BodyText"/>
        <w:spacing w:before="8"/>
        <w:ind w:left="0"/>
        <w:rPr>
          <w:sz w:val="20"/>
        </w:rPr>
      </w:pPr>
    </w:p>
    <w:p>
      <w:pPr>
        <w:pStyle w:val="BodyText"/>
        <w:spacing w:before="1" w:line="417" w:lineRule="auto"/>
        <w:ind w:right="378"/>
      </w:pPr>
      <w:r>
        <w:rPr>
          <w:spacing w:val="-2"/>
        </w:rPr>
        <w:t>在农业和园艺领域，环境友好型清洁剂用于土壤改良、病虫害控制和</w:t>
      </w:r>
      <w:r>
        <w:rPr>
          <w:spacing w:val="-2"/>
        </w:rPr>
        <w:t>作物清洁。生物农药、有机肥料和生物降解地膜等产品有助于提高作</w:t>
      </w:r>
      <w:r>
        <w:rPr>
          <w:spacing w:val="-18"/>
        </w:rPr>
        <w:t>物的产量和质量，同时减少对环境和人类健康的负面影响。研究表明，</w:t>
      </w:r>
      <w:r>
        <w:rPr>
          <w:spacing w:val="-2"/>
        </w:rPr>
        <w:t>采用这些清洁材料可以显著降低化学残留物和温室气体排放量。</w:t>
      </w:r>
    </w:p>
    <w:p>
      <w:pPr>
        <w:pStyle w:val="BodyText"/>
        <w:spacing w:line="358" w:lineRule="exact"/>
        <w:ind w:left="260"/>
      </w:pPr>
      <w:r>
        <w:rPr>
          <w:spacing w:val="-3"/>
        </w:rPr>
        <w:t>汽车护理</w:t>
      </w:r>
    </w:p>
    <w:p>
      <w:pPr>
        <w:pStyle w:val="BodyText"/>
        <w:spacing w:before="8"/>
        <w:ind w:left="0"/>
        <w:rPr>
          <w:sz w:val="20"/>
        </w:rPr>
      </w:pPr>
    </w:p>
    <w:p>
      <w:pPr>
        <w:pStyle w:val="BodyText"/>
        <w:spacing w:before="1" w:line="417" w:lineRule="auto"/>
        <w:ind w:right="518"/>
        <w:jc w:val="both"/>
      </w:pPr>
      <w:r>
        <w:rPr>
          <w:spacing w:val="-7"/>
        </w:rPr>
        <w:t>汽车护理行业也在转向使用环境友好型清洁剂。生物可降解的汽车洗</w:t>
      </w:r>
      <w:r>
        <w:rPr>
          <w:spacing w:val="-7"/>
        </w:rPr>
        <w:t>涤剂和发动机清洁剂不仅可以有效去除污垢和积碳，还能减少对水质</w:t>
      </w:r>
      <w:r>
        <w:rPr>
          <w:spacing w:val="-4"/>
        </w:rPr>
        <w:t>的影响。此外，采用无害的抛光剂和防护剂也有助于保护汽车漆面和</w:t>
      </w:r>
      <w:r>
        <w:rPr>
          <w:spacing w:val="-2"/>
        </w:rPr>
        <w:t>内饰，延长车辆使用寿命。</w:t>
      </w:r>
    </w:p>
    <w:p>
      <w:pPr>
        <w:pStyle w:val="BodyText"/>
        <w:spacing w:line="358" w:lineRule="exact"/>
        <w:jc w:val="both"/>
      </w:pPr>
      <w:r>
        <w:rPr>
          <w:spacing w:val="-3"/>
        </w:rPr>
        <w:t># 结论</w:t>
      </w:r>
    </w:p>
    <w:p>
      <w:pPr>
        <w:pStyle w:val="BodyText"/>
        <w:spacing w:before="8"/>
        <w:ind w:left="0"/>
        <w:rPr>
          <w:sz w:val="20"/>
        </w:rPr>
      </w:pPr>
    </w:p>
    <w:p>
      <w:pPr>
        <w:pStyle w:val="BodyText"/>
        <w:spacing w:before="1" w:line="417" w:lineRule="auto"/>
        <w:ind w:right="518"/>
        <w:jc w:val="both"/>
      </w:pPr>
      <w:r>
        <w:rPr>
          <w:spacing w:val="-7"/>
        </w:rPr>
        <w:t>环境友好型清洁剂在多个领域得到了广泛应用，并显示出良好的市场</w:t>
      </w:r>
      <w:r>
        <w:rPr>
          <w:spacing w:val="-4"/>
        </w:rPr>
        <w:t>增长趋势。这些清洁产品不仅提高了清洁效率，还降低了环境污染和</w:t>
      </w:r>
      <w:r>
        <w:rPr>
          <w:spacing w:val="-5"/>
        </w:rPr>
        <w:t>健康风险。然而，为了进一步推动其发展，还需要加强相关技术的研</w:t>
      </w:r>
    </w:p>
    <w:p>
      <w:pPr>
        <w:spacing w:after="0" w:line="417"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https://d.book118.com/248035040023006045</w:t>
        </w:r>
      </w:hyperlink>
    </w:p>
    <w:p>
      <w:pPr>
        <w:spacing w:after="0" w:line="417" w:lineRule="auto"/>
        <w:jc w:val="both"/>
      </w:pPr>
    </w:p>
    <w:sectPr>
      <w:footerReference w:type="default" r:id="rId14"/>
      <w:pgSz w:w="11910" w:h="16840"/>
      <w:pgMar w:top="1520" w:right="1280" w:bottom="1380" w:left="1680" w:header="0" w:footer="1198"/>
      <w:pgNumType w:start="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10</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10</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10</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10</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10</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10</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10</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10</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10</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7577E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2" w:hanging="263"/>
      </w:pPr>
      <w:rPr>
        <w:rFonts w:hint="default"/>
        <w:lang w:val="en-US" w:eastAsia="zh-CN" w:bidi="ar-SA"/>
      </w:rPr>
    </w:lvl>
    <w:lvl w:ilvl="3">
      <w:start w:val="0"/>
      <w:numFmt w:val="bullet"/>
      <w:lvlText w:val="•"/>
      <w:lvlJc w:val="left"/>
      <w:pPr>
        <w:ind w:left="1723" w:hanging="263"/>
      </w:pPr>
      <w:rPr>
        <w:rFonts w:hint="default"/>
        <w:lang w:val="en-US" w:eastAsia="zh-CN" w:bidi="ar-SA"/>
      </w:rPr>
    </w:lvl>
    <w:lvl w:ilvl="4">
      <w:start w:val="0"/>
      <w:numFmt w:val="bullet"/>
      <w:lvlText w:val="•"/>
      <w:lvlJc w:val="left"/>
      <w:pPr>
        <w:ind w:left="2264" w:hanging="263"/>
      </w:pPr>
      <w:rPr>
        <w:rFonts w:hint="default"/>
        <w:lang w:val="en-US" w:eastAsia="zh-CN" w:bidi="ar-SA"/>
      </w:rPr>
    </w:lvl>
    <w:lvl w:ilvl="5">
      <w:start w:val="0"/>
      <w:numFmt w:val="bullet"/>
      <w:lvlText w:val="•"/>
      <w:lvlJc w:val="left"/>
      <w:pPr>
        <w:ind w:left="2805" w:hanging="263"/>
      </w:pPr>
      <w:rPr>
        <w:rFonts w:hint="default"/>
        <w:lang w:val="en-US" w:eastAsia="zh-CN" w:bidi="ar-SA"/>
      </w:rPr>
    </w:lvl>
    <w:lvl w:ilvl="6">
      <w:start w:val="0"/>
      <w:numFmt w:val="bullet"/>
      <w:lvlText w:val="•"/>
      <w:lvlJc w:val="left"/>
      <w:pPr>
        <w:ind w:left="3346" w:hanging="263"/>
      </w:pPr>
      <w:rPr>
        <w:rFonts w:hint="default"/>
        <w:lang w:val="en-US" w:eastAsia="zh-CN" w:bidi="ar-SA"/>
      </w:rPr>
    </w:lvl>
    <w:lvl w:ilvl="7">
      <w:start w:val="0"/>
      <w:numFmt w:val="bullet"/>
      <w:lvlText w:val="•"/>
      <w:lvlJc w:val="left"/>
      <w:pPr>
        <w:ind w:left="3887" w:hanging="263"/>
      </w:pPr>
      <w:rPr>
        <w:rFonts w:hint="default"/>
        <w:lang w:val="en-US" w:eastAsia="zh-CN" w:bidi="ar-SA"/>
      </w:rPr>
    </w:lvl>
    <w:lvl w:ilvl="8">
      <w:start w:val="0"/>
      <w:numFmt w:val="bullet"/>
      <w:lvlText w:val="•"/>
      <w:lvlJc w:val="left"/>
      <w:pPr>
        <w:ind w:left="4428" w:hanging="263"/>
      </w:pPr>
      <w:rPr>
        <w:rFonts w:hint="default"/>
        <w:lang w:val="en-US" w:eastAsia="zh-CN" w:bidi="ar-SA"/>
      </w:rPr>
    </w:lvl>
  </w:abstractNum>
  <w:abstractNum w:abstractNumId="1">
    <w:nsid w:val="02C9BFC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2">
    <w:nsid w:val="0ECEAEA3"/>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3">
    <w:nsid w:val="10C23A07"/>
    <w:multiLevelType w:val="hybridMultilevel"/>
    <w:tmpl w:val="00000000"/>
    <w:lvl w:ilvl="0">
      <w:start w:val="2"/>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4"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7" w:hanging="263"/>
      </w:pPr>
      <w:rPr>
        <w:rFonts w:hint="default"/>
        <w:lang w:val="en-US" w:eastAsia="zh-CN" w:bidi="ar-SA"/>
      </w:rPr>
    </w:lvl>
    <w:lvl w:ilvl="6">
      <w:start w:val="0"/>
      <w:numFmt w:val="bullet"/>
      <w:lvlText w:val="•"/>
      <w:lvlJc w:val="left"/>
      <w:pPr>
        <w:ind w:left="3349" w:hanging="263"/>
      </w:pPr>
      <w:rPr>
        <w:rFonts w:hint="default"/>
        <w:lang w:val="en-US" w:eastAsia="zh-CN" w:bidi="ar-SA"/>
      </w:rPr>
    </w:lvl>
    <w:lvl w:ilvl="7">
      <w:start w:val="0"/>
      <w:numFmt w:val="bullet"/>
      <w:lvlText w:val="•"/>
      <w:lvlJc w:val="left"/>
      <w:pPr>
        <w:ind w:left="3890" w:hanging="263"/>
      </w:pPr>
      <w:rPr>
        <w:rFonts w:hint="default"/>
        <w:lang w:val="en-US" w:eastAsia="zh-CN" w:bidi="ar-SA"/>
      </w:rPr>
    </w:lvl>
    <w:lvl w:ilvl="8">
      <w:start w:val="0"/>
      <w:numFmt w:val="bullet"/>
      <w:lvlText w:val="•"/>
      <w:lvlJc w:val="left"/>
      <w:pPr>
        <w:ind w:left="4432" w:hanging="263"/>
      </w:pPr>
      <w:rPr>
        <w:rFonts w:hint="default"/>
        <w:lang w:val="en-US" w:eastAsia="zh-CN" w:bidi="ar-SA"/>
      </w:rPr>
    </w:lvl>
  </w:abstractNum>
  <w:abstractNum w:abstractNumId="4">
    <w:nsid w:val="13C7719F"/>
    <w:multiLevelType w:val="hybridMultilevel"/>
    <w:tmpl w:val="00000000"/>
    <w:lvl w:ilvl="0">
      <w:start w:val="2"/>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2" w:hanging="263"/>
      </w:pPr>
      <w:rPr>
        <w:rFonts w:hint="default"/>
        <w:lang w:val="en-US" w:eastAsia="zh-CN" w:bidi="ar-SA"/>
      </w:rPr>
    </w:lvl>
    <w:lvl w:ilvl="3">
      <w:start w:val="0"/>
      <w:numFmt w:val="bullet"/>
      <w:lvlText w:val="•"/>
      <w:lvlJc w:val="left"/>
      <w:pPr>
        <w:ind w:left="1723" w:hanging="263"/>
      </w:pPr>
      <w:rPr>
        <w:rFonts w:hint="default"/>
        <w:lang w:val="en-US" w:eastAsia="zh-CN" w:bidi="ar-SA"/>
      </w:rPr>
    </w:lvl>
    <w:lvl w:ilvl="4">
      <w:start w:val="0"/>
      <w:numFmt w:val="bullet"/>
      <w:lvlText w:val="•"/>
      <w:lvlJc w:val="left"/>
      <w:pPr>
        <w:ind w:left="2265" w:hanging="263"/>
      </w:pPr>
      <w:rPr>
        <w:rFonts w:hint="default"/>
        <w:lang w:val="en-US" w:eastAsia="zh-CN" w:bidi="ar-SA"/>
      </w:rPr>
    </w:lvl>
    <w:lvl w:ilvl="5">
      <w:start w:val="0"/>
      <w:numFmt w:val="bullet"/>
      <w:lvlText w:val="•"/>
      <w:lvlJc w:val="left"/>
      <w:pPr>
        <w:ind w:left="2806" w:hanging="263"/>
      </w:pPr>
      <w:rPr>
        <w:rFonts w:hint="default"/>
        <w:lang w:val="en-US" w:eastAsia="zh-CN" w:bidi="ar-SA"/>
      </w:rPr>
    </w:lvl>
    <w:lvl w:ilvl="6">
      <w:start w:val="0"/>
      <w:numFmt w:val="bullet"/>
      <w:lvlText w:val="•"/>
      <w:lvlJc w:val="left"/>
      <w:pPr>
        <w:ind w:left="3347" w:hanging="263"/>
      </w:pPr>
      <w:rPr>
        <w:rFonts w:hint="default"/>
        <w:lang w:val="en-US" w:eastAsia="zh-CN" w:bidi="ar-SA"/>
      </w:rPr>
    </w:lvl>
    <w:lvl w:ilvl="7">
      <w:start w:val="0"/>
      <w:numFmt w:val="bullet"/>
      <w:lvlText w:val="•"/>
      <w:lvlJc w:val="left"/>
      <w:pPr>
        <w:ind w:left="3889" w:hanging="263"/>
      </w:pPr>
      <w:rPr>
        <w:rFonts w:hint="default"/>
        <w:lang w:val="en-US" w:eastAsia="zh-CN" w:bidi="ar-SA"/>
      </w:rPr>
    </w:lvl>
    <w:lvl w:ilvl="8">
      <w:start w:val="0"/>
      <w:numFmt w:val="bullet"/>
      <w:lvlText w:val="•"/>
      <w:lvlJc w:val="left"/>
      <w:pPr>
        <w:ind w:left="4430" w:hanging="263"/>
      </w:pPr>
      <w:rPr>
        <w:rFonts w:hint="default"/>
        <w:lang w:val="en-US" w:eastAsia="zh-CN" w:bidi="ar-SA"/>
      </w:rPr>
    </w:lvl>
  </w:abstractNum>
  <w:abstractNum w:abstractNumId="5">
    <w:nsid w:val="18A0514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6">
    <w:nsid w:val="1E540C4B"/>
    <w:multiLevelType w:val="hybridMultilevel"/>
    <w:tmpl w:val="00000000"/>
    <w:lvl w:ilvl="0">
      <w:start w:val="1"/>
      <w:numFmt w:val="decimal"/>
      <w:lvlText w:val="%1."/>
      <w:lvlJc w:val="left"/>
      <w:pPr>
        <w:ind w:left="120" w:hanging="43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30"/>
      </w:pPr>
      <w:rPr>
        <w:rFonts w:hint="default"/>
        <w:lang w:val="en-US" w:eastAsia="zh-CN" w:bidi="ar-SA"/>
      </w:rPr>
    </w:lvl>
    <w:lvl w:ilvl="2">
      <w:start w:val="0"/>
      <w:numFmt w:val="bullet"/>
      <w:lvlText w:val="•"/>
      <w:lvlJc w:val="left"/>
      <w:pPr>
        <w:ind w:left="1885" w:hanging="430"/>
      </w:pPr>
      <w:rPr>
        <w:rFonts w:hint="default"/>
        <w:lang w:val="en-US" w:eastAsia="zh-CN" w:bidi="ar-SA"/>
      </w:rPr>
    </w:lvl>
    <w:lvl w:ilvl="3">
      <w:start w:val="0"/>
      <w:numFmt w:val="bullet"/>
      <w:lvlText w:val="•"/>
      <w:lvlJc w:val="left"/>
      <w:pPr>
        <w:ind w:left="2767" w:hanging="430"/>
      </w:pPr>
      <w:rPr>
        <w:rFonts w:hint="default"/>
        <w:lang w:val="en-US" w:eastAsia="zh-CN" w:bidi="ar-SA"/>
      </w:rPr>
    </w:lvl>
    <w:lvl w:ilvl="4">
      <w:start w:val="0"/>
      <w:numFmt w:val="bullet"/>
      <w:lvlText w:val="•"/>
      <w:lvlJc w:val="left"/>
      <w:pPr>
        <w:ind w:left="3650" w:hanging="430"/>
      </w:pPr>
      <w:rPr>
        <w:rFonts w:hint="default"/>
        <w:lang w:val="en-US" w:eastAsia="zh-CN" w:bidi="ar-SA"/>
      </w:rPr>
    </w:lvl>
    <w:lvl w:ilvl="5">
      <w:start w:val="0"/>
      <w:numFmt w:val="bullet"/>
      <w:lvlText w:val="•"/>
      <w:lvlJc w:val="left"/>
      <w:pPr>
        <w:ind w:left="4533" w:hanging="430"/>
      </w:pPr>
      <w:rPr>
        <w:rFonts w:hint="default"/>
        <w:lang w:val="en-US" w:eastAsia="zh-CN" w:bidi="ar-SA"/>
      </w:rPr>
    </w:lvl>
    <w:lvl w:ilvl="6">
      <w:start w:val="0"/>
      <w:numFmt w:val="bullet"/>
      <w:lvlText w:val="•"/>
      <w:lvlJc w:val="left"/>
      <w:pPr>
        <w:ind w:left="5415" w:hanging="430"/>
      </w:pPr>
      <w:rPr>
        <w:rFonts w:hint="default"/>
        <w:lang w:val="en-US" w:eastAsia="zh-CN" w:bidi="ar-SA"/>
      </w:rPr>
    </w:lvl>
    <w:lvl w:ilvl="7">
      <w:start w:val="0"/>
      <w:numFmt w:val="bullet"/>
      <w:lvlText w:val="•"/>
      <w:lvlJc w:val="left"/>
      <w:pPr>
        <w:ind w:left="6298" w:hanging="430"/>
      </w:pPr>
      <w:rPr>
        <w:rFonts w:hint="default"/>
        <w:lang w:val="en-US" w:eastAsia="zh-CN" w:bidi="ar-SA"/>
      </w:rPr>
    </w:lvl>
    <w:lvl w:ilvl="8">
      <w:start w:val="0"/>
      <w:numFmt w:val="bullet"/>
      <w:lvlText w:val="•"/>
      <w:lvlJc w:val="left"/>
      <w:pPr>
        <w:ind w:left="7180" w:hanging="430"/>
      </w:pPr>
      <w:rPr>
        <w:rFonts w:hint="default"/>
        <w:lang w:val="en-US" w:eastAsia="zh-CN" w:bidi="ar-SA"/>
      </w:rPr>
    </w:lvl>
  </w:abstractNum>
  <w:abstractNum w:abstractNumId="7">
    <w:nsid w:val="26BFB16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8">
    <w:nsid w:val="3188F85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5" w:hanging="263"/>
      </w:pPr>
      <w:rPr>
        <w:rFonts w:hint="default"/>
        <w:lang w:val="en-US" w:eastAsia="zh-CN" w:bidi="ar-SA"/>
      </w:rPr>
    </w:lvl>
    <w:lvl w:ilvl="7">
      <w:start w:val="0"/>
      <w:numFmt w:val="bullet"/>
      <w:lvlText w:val="•"/>
      <w:lvlJc w:val="left"/>
      <w:pPr>
        <w:ind w:left="3886" w:hanging="263"/>
      </w:pPr>
      <w:rPr>
        <w:rFonts w:hint="default"/>
        <w:lang w:val="en-US" w:eastAsia="zh-CN" w:bidi="ar-SA"/>
      </w:rPr>
    </w:lvl>
    <w:lvl w:ilvl="8">
      <w:start w:val="0"/>
      <w:numFmt w:val="bullet"/>
      <w:lvlText w:val="•"/>
      <w:lvlJc w:val="left"/>
      <w:pPr>
        <w:ind w:left="4427" w:hanging="263"/>
      </w:pPr>
      <w:rPr>
        <w:rFonts w:hint="default"/>
        <w:lang w:val="en-US" w:eastAsia="zh-CN" w:bidi="ar-SA"/>
      </w:rPr>
    </w:lvl>
  </w:abstractNum>
  <w:abstractNum w:abstractNumId="9">
    <w:nsid w:val="318D22BE"/>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10">
    <w:nsid w:val="3F7C7D3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11">
    <w:nsid w:val="4AA19BF0"/>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12">
    <w:nsid w:val="4B030032"/>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20" w:hanging="280"/>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1885" w:hanging="280"/>
      </w:pPr>
      <w:rPr>
        <w:rFonts w:hint="default"/>
        <w:lang w:val="en-US" w:eastAsia="zh-CN" w:bidi="ar-SA"/>
      </w:rPr>
    </w:lvl>
    <w:lvl w:ilvl="3">
      <w:start w:val="0"/>
      <w:numFmt w:val="bullet"/>
      <w:lvlText w:val="•"/>
      <w:lvlJc w:val="left"/>
      <w:pPr>
        <w:ind w:left="2767" w:hanging="280"/>
      </w:pPr>
      <w:rPr>
        <w:rFonts w:hint="default"/>
        <w:lang w:val="en-US" w:eastAsia="zh-CN" w:bidi="ar-SA"/>
      </w:rPr>
    </w:lvl>
    <w:lvl w:ilvl="4">
      <w:start w:val="0"/>
      <w:numFmt w:val="bullet"/>
      <w:lvlText w:val="•"/>
      <w:lvlJc w:val="left"/>
      <w:pPr>
        <w:ind w:left="3650" w:hanging="280"/>
      </w:pPr>
      <w:rPr>
        <w:rFonts w:hint="default"/>
        <w:lang w:val="en-US" w:eastAsia="zh-CN" w:bidi="ar-SA"/>
      </w:rPr>
    </w:lvl>
    <w:lvl w:ilvl="5">
      <w:start w:val="0"/>
      <w:numFmt w:val="bullet"/>
      <w:lvlText w:val="•"/>
      <w:lvlJc w:val="left"/>
      <w:pPr>
        <w:ind w:left="4533" w:hanging="280"/>
      </w:pPr>
      <w:rPr>
        <w:rFonts w:hint="default"/>
        <w:lang w:val="en-US" w:eastAsia="zh-CN" w:bidi="ar-SA"/>
      </w:rPr>
    </w:lvl>
    <w:lvl w:ilvl="6">
      <w:start w:val="0"/>
      <w:numFmt w:val="bullet"/>
      <w:lvlText w:val="•"/>
      <w:lvlJc w:val="left"/>
      <w:pPr>
        <w:ind w:left="5415" w:hanging="280"/>
      </w:pPr>
      <w:rPr>
        <w:rFonts w:hint="default"/>
        <w:lang w:val="en-US" w:eastAsia="zh-CN" w:bidi="ar-SA"/>
      </w:rPr>
    </w:lvl>
    <w:lvl w:ilvl="7">
      <w:start w:val="0"/>
      <w:numFmt w:val="bullet"/>
      <w:lvlText w:val="•"/>
      <w:lvlJc w:val="left"/>
      <w:pPr>
        <w:ind w:left="6298" w:hanging="280"/>
      </w:pPr>
      <w:rPr>
        <w:rFonts w:hint="default"/>
        <w:lang w:val="en-US" w:eastAsia="zh-CN" w:bidi="ar-SA"/>
      </w:rPr>
    </w:lvl>
    <w:lvl w:ilvl="8">
      <w:start w:val="0"/>
      <w:numFmt w:val="bullet"/>
      <w:lvlText w:val="•"/>
      <w:lvlJc w:val="left"/>
      <w:pPr>
        <w:ind w:left="7180" w:hanging="280"/>
      </w:pPr>
      <w:rPr>
        <w:rFonts w:hint="default"/>
        <w:lang w:val="en-US" w:eastAsia="zh-CN" w:bidi="ar-SA"/>
      </w:rPr>
    </w:lvl>
  </w:abstractNum>
  <w:abstractNum w:abstractNumId="13">
    <w:nsid w:val="4B23C2A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8" w:hanging="263"/>
      </w:pPr>
      <w:rPr>
        <w:rFonts w:hint="default"/>
        <w:lang w:val="en-US" w:eastAsia="zh-CN" w:bidi="ar-SA"/>
      </w:rPr>
    </w:lvl>
    <w:lvl w:ilvl="5">
      <w:start w:val="0"/>
      <w:numFmt w:val="bullet"/>
      <w:lvlText w:val="•"/>
      <w:lvlJc w:val="left"/>
      <w:pPr>
        <w:ind w:left="2810" w:hanging="263"/>
      </w:pPr>
      <w:rPr>
        <w:rFonts w:hint="default"/>
        <w:lang w:val="en-US" w:eastAsia="zh-CN" w:bidi="ar-SA"/>
      </w:rPr>
    </w:lvl>
    <w:lvl w:ilvl="6">
      <w:start w:val="0"/>
      <w:numFmt w:val="bullet"/>
      <w:lvlText w:val="•"/>
      <w:lvlJc w:val="left"/>
      <w:pPr>
        <w:ind w:left="3352" w:hanging="263"/>
      </w:pPr>
      <w:rPr>
        <w:rFonts w:hint="default"/>
        <w:lang w:val="en-US" w:eastAsia="zh-CN" w:bidi="ar-SA"/>
      </w:rPr>
    </w:lvl>
    <w:lvl w:ilvl="7">
      <w:start w:val="0"/>
      <w:numFmt w:val="bullet"/>
      <w:lvlText w:val="•"/>
      <w:lvlJc w:val="left"/>
      <w:pPr>
        <w:ind w:left="3894" w:hanging="263"/>
      </w:pPr>
      <w:rPr>
        <w:rFonts w:hint="default"/>
        <w:lang w:val="en-US" w:eastAsia="zh-CN" w:bidi="ar-SA"/>
      </w:rPr>
    </w:lvl>
    <w:lvl w:ilvl="8">
      <w:start w:val="0"/>
      <w:numFmt w:val="bullet"/>
      <w:lvlText w:val="•"/>
      <w:lvlJc w:val="left"/>
      <w:pPr>
        <w:ind w:left="4436" w:hanging="263"/>
      </w:pPr>
      <w:rPr>
        <w:rFonts w:hint="default"/>
        <w:lang w:val="en-US" w:eastAsia="zh-CN" w:bidi="ar-SA"/>
      </w:rPr>
    </w:lvl>
  </w:abstractNum>
  <w:abstractNum w:abstractNumId="14">
    <w:nsid w:val="4C8090A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5" w:hanging="263"/>
      </w:pPr>
      <w:rPr>
        <w:rFonts w:hint="default"/>
        <w:lang w:val="en-US" w:eastAsia="zh-CN" w:bidi="ar-SA"/>
      </w:rPr>
    </w:lvl>
    <w:lvl w:ilvl="7">
      <w:start w:val="0"/>
      <w:numFmt w:val="bullet"/>
      <w:lvlText w:val="•"/>
      <w:lvlJc w:val="left"/>
      <w:pPr>
        <w:ind w:left="3886" w:hanging="263"/>
      </w:pPr>
      <w:rPr>
        <w:rFonts w:hint="default"/>
        <w:lang w:val="en-US" w:eastAsia="zh-CN" w:bidi="ar-SA"/>
      </w:rPr>
    </w:lvl>
    <w:lvl w:ilvl="8">
      <w:start w:val="0"/>
      <w:numFmt w:val="bullet"/>
      <w:lvlText w:val="•"/>
      <w:lvlJc w:val="left"/>
      <w:pPr>
        <w:ind w:left="4427" w:hanging="263"/>
      </w:pPr>
      <w:rPr>
        <w:rFonts w:hint="default"/>
        <w:lang w:val="en-US" w:eastAsia="zh-CN" w:bidi="ar-SA"/>
      </w:rPr>
    </w:lvl>
  </w:abstractNum>
  <w:abstractNum w:abstractNumId="15">
    <w:nsid w:val="549F7391"/>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002" w:hanging="422"/>
      </w:pPr>
      <w:rPr>
        <w:rFonts w:hint="default"/>
        <w:lang w:val="en-US" w:eastAsia="zh-CN" w:bidi="ar-SA"/>
      </w:rPr>
    </w:lvl>
    <w:lvl w:ilvl="2">
      <w:start w:val="0"/>
      <w:numFmt w:val="bullet"/>
      <w:lvlText w:val="•"/>
      <w:lvlJc w:val="left"/>
      <w:pPr>
        <w:ind w:left="1885" w:hanging="422"/>
      </w:pPr>
      <w:rPr>
        <w:rFonts w:hint="default"/>
        <w:lang w:val="en-US" w:eastAsia="zh-CN" w:bidi="ar-SA"/>
      </w:rPr>
    </w:lvl>
    <w:lvl w:ilvl="3">
      <w:start w:val="0"/>
      <w:numFmt w:val="bullet"/>
      <w:lvlText w:val="•"/>
      <w:lvlJc w:val="left"/>
      <w:pPr>
        <w:ind w:left="2767" w:hanging="422"/>
      </w:pPr>
      <w:rPr>
        <w:rFonts w:hint="default"/>
        <w:lang w:val="en-US" w:eastAsia="zh-CN" w:bidi="ar-SA"/>
      </w:rPr>
    </w:lvl>
    <w:lvl w:ilvl="4">
      <w:start w:val="0"/>
      <w:numFmt w:val="bullet"/>
      <w:lvlText w:val="•"/>
      <w:lvlJc w:val="left"/>
      <w:pPr>
        <w:ind w:left="3650" w:hanging="422"/>
      </w:pPr>
      <w:rPr>
        <w:rFonts w:hint="default"/>
        <w:lang w:val="en-US" w:eastAsia="zh-CN" w:bidi="ar-SA"/>
      </w:rPr>
    </w:lvl>
    <w:lvl w:ilvl="5">
      <w:start w:val="0"/>
      <w:numFmt w:val="bullet"/>
      <w:lvlText w:val="•"/>
      <w:lvlJc w:val="left"/>
      <w:pPr>
        <w:ind w:left="4533" w:hanging="422"/>
      </w:pPr>
      <w:rPr>
        <w:rFonts w:hint="default"/>
        <w:lang w:val="en-US" w:eastAsia="zh-CN" w:bidi="ar-SA"/>
      </w:rPr>
    </w:lvl>
    <w:lvl w:ilvl="6">
      <w:start w:val="0"/>
      <w:numFmt w:val="bullet"/>
      <w:lvlText w:val="•"/>
      <w:lvlJc w:val="left"/>
      <w:pPr>
        <w:ind w:left="5415" w:hanging="422"/>
      </w:pPr>
      <w:rPr>
        <w:rFonts w:hint="default"/>
        <w:lang w:val="en-US" w:eastAsia="zh-CN" w:bidi="ar-SA"/>
      </w:rPr>
    </w:lvl>
    <w:lvl w:ilvl="7">
      <w:start w:val="0"/>
      <w:numFmt w:val="bullet"/>
      <w:lvlText w:val="•"/>
      <w:lvlJc w:val="left"/>
      <w:pPr>
        <w:ind w:left="6298" w:hanging="422"/>
      </w:pPr>
      <w:rPr>
        <w:rFonts w:hint="default"/>
        <w:lang w:val="en-US" w:eastAsia="zh-CN" w:bidi="ar-SA"/>
      </w:rPr>
    </w:lvl>
    <w:lvl w:ilvl="8">
      <w:start w:val="0"/>
      <w:numFmt w:val="bullet"/>
      <w:lvlText w:val="•"/>
      <w:lvlJc w:val="left"/>
      <w:pPr>
        <w:ind w:left="7180" w:hanging="422"/>
      </w:pPr>
      <w:rPr>
        <w:rFonts w:hint="default"/>
        <w:lang w:val="en-US" w:eastAsia="zh-CN" w:bidi="ar-SA"/>
      </w:rPr>
    </w:lvl>
  </w:abstractNum>
  <w:abstractNum w:abstractNumId="16">
    <w:nsid w:val="6BE4571F"/>
    <w:multiLevelType w:val="hybridMultilevel"/>
    <w:tmpl w:val="00000000"/>
    <w:lvl w:ilvl="0">
      <w:start w:val="2"/>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7" w:hanging="263"/>
      </w:pPr>
      <w:rPr>
        <w:rFonts w:hint="default"/>
        <w:lang w:val="en-US" w:eastAsia="zh-CN" w:bidi="ar-SA"/>
      </w:rPr>
    </w:lvl>
    <w:lvl w:ilvl="5">
      <w:start w:val="0"/>
      <w:numFmt w:val="bullet"/>
      <w:lvlText w:val="•"/>
      <w:lvlJc w:val="left"/>
      <w:pPr>
        <w:ind w:left="2809"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2" w:hanging="263"/>
      </w:pPr>
      <w:rPr>
        <w:rFonts w:hint="default"/>
        <w:lang w:val="en-US" w:eastAsia="zh-CN" w:bidi="ar-SA"/>
      </w:rPr>
    </w:lvl>
    <w:lvl w:ilvl="8">
      <w:start w:val="0"/>
      <w:numFmt w:val="bullet"/>
      <w:lvlText w:val="•"/>
      <w:lvlJc w:val="left"/>
      <w:pPr>
        <w:ind w:left="4434" w:hanging="263"/>
      </w:pPr>
      <w:rPr>
        <w:rFonts w:hint="default"/>
        <w:lang w:val="en-US" w:eastAsia="zh-CN" w:bidi="ar-SA"/>
      </w:rPr>
    </w:lvl>
  </w:abstractNum>
  <w:abstractNum w:abstractNumId="17">
    <w:nsid w:val="76008C98"/>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18">
    <w:nsid w:val="781A8A97"/>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80" w:hanging="420"/>
      </w:pPr>
      <w:rPr>
        <w:rFonts w:hint="default"/>
        <w:lang w:val="en-US" w:eastAsia="zh-CN" w:bidi="ar-SA"/>
      </w:rPr>
    </w:lvl>
    <w:lvl w:ilvl="2">
      <w:start w:val="0"/>
      <w:numFmt w:val="bullet"/>
      <w:lvlText w:val="•"/>
      <w:lvlJc w:val="left"/>
      <w:pPr>
        <w:ind w:left="2221" w:hanging="420"/>
      </w:pPr>
      <w:rPr>
        <w:rFonts w:hint="default"/>
        <w:lang w:val="en-US" w:eastAsia="zh-CN" w:bidi="ar-SA"/>
      </w:rPr>
    </w:lvl>
    <w:lvl w:ilvl="3">
      <w:start w:val="0"/>
      <w:numFmt w:val="bullet"/>
      <w:lvlText w:val="•"/>
      <w:lvlJc w:val="left"/>
      <w:pPr>
        <w:ind w:left="3061" w:hanging="420"/>
      </w:pPr>
      <w:rPr>
        <w:rFonts w:hint="default"/>
        <w:lang w:val="en-US" w:eastAsia="zh-CN" w:bidi="ar-SA"/>
      </w:rPr>
    </w:lvl>
    <w:lvl w:ilvl="4">
      <w:start w:val="0"/>
      <w:numFmt w:val="bullet"/>
      <w:lvlText w:val="•"/>
      <w:lvlJc w:val="left"/>
      <w:pPr>
        <w:ind w:left="3902" w:hanging="420"/>
      </w:pPr>
      <w:rPr>
        <w:rFonts w:hint="default"/>
        <w:lang w:val="en-US" w:eastAsia="zh-CN" w:bidi="ar-SA"/>
      </w:rPr>
    </w:lvl>
    <w:lvl w:ilvl="5">
      <w:start w:val="0"/>
      <w:numFmt w:val="bullet"/>
      <w:lvlText w:val="•"/>
      <w:lvlJc w:val="left"/>
      <w:pPr>
        <w:ind w:left="4743" w:hanging="420"/>
      </w:pPr>
      <w:rPr>
        <w:rFonts w:hint="default"/>
        <w:lang w:val="en-US" w:eastAsia="zh-CN" w:bidi="ar-SA"/>
      </w:rPr>
    </w:lvl>
    <w:lvl w:ilvl="6">
      <w:start w:val="0"/>
      <w:numFmt w:val="bullet"/>
      <w:lvlText w:val="•"/>
      <w:lvlJc w:val="left"/>
      <w:pPr>
        <w:ind w:left="5583" w:hanging="420"/>
      </w:pPr>
      <w:rPr>
        <w:rFonts w:hint="default"/>
        <w:lang w:val="en-US" w:eastAsia="zh-CN" w:bidi="ar-SA"/>
      </w:rPr>
    </w:lvl>
    <w:lvl w:ilvl="7">
      <w:start w:val="0"/>
      <w:numFmt w:val="bullet"/>
      <w:lvlText w:val="•"/>
      <w:lvlJc w:val="left"/>
      <w:pPr>
        <w:ind w:left="6424" w:hanging="420"/>
      </w:pPr>
      <w:rPr>
        <w:rFonts w:hint="default"/>
        <w:lang w:val="en-US" w:eastAsia="zh-CN" w:bidi="ar-SA"/>
      </w:rPr>
    </w:lvl>
    <w:lvl w:ilvl="8">
      <w:start w:val="0"/>
      <w:numFmt w:val="bullet"/>
      <w:lvlText w:val="•"/>
      <w:lvlJc w:val="left"/>
      <w:pPr>
        <w:ind w:left="7264" w:hanging="420"/>
      </w:pPr>
      <w:rPr>
        <w:rFonts w:hint="default"/>
        <w:lang w:val="en-US" w:eastAsia="zh-CN" w:bidi="ar-SA"/>
      </w:rPr>
    </w:lvl>
  </w:abstractNum>
  <w:abstractNum w:abstractNumId="19">
    <w:nsid w:val="7CA2ABF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2" w:hanging="263"/>
      </w:pPr>
      <w:rPr>
        <w:rFonts w:hint="default"/>
        <w:lang w:val="en-US" w:eastAsia="zh-CN" w:bidi="ar-SA"/>
      </w:rPr>
    </w:lvl>
    <w:lvl w:ilvl="3">
      <w:start w:val="0"/>
      <w:numFmt w:val="bullet"/>
      <w:lvlText w:val="•"/>
      <w:lvlJc w:val="left"/>
      <w:pPr>
        <w:ind w:left="1723" w:hanging="263"/>
      </w:pPr>
      <w:rPr>
        <w:rFonts w:hint="default"/>
        <w:lang w:val="en-US" w:eastAsia="zh-CN" w:bidi="ar-SA"/>
      </w:rPr>
    </w:lvl>
    <w:lvl w:ilvl="4">
      <w:start w:val="0"/>
      <w:numFmt w:val="bullet"/>
      <w:lvlText w:val="•"/>
      <w:lvlJc w:val="left"/>
      <w:pPr>
        <w:ind w:left="2264" w:hanging="263"/>
      </w:pPr>
      <w:rPr>
        <w:rFonts w:hint="default"/>
        <w:lang w:val="en-US" w:eastAsia="zh-CN" w:bidi="ar-SA"/>
      </w:rPr>
    </w:lvl>
    <w:lvl w:ilvl="5">
      <w:start w:val="0"/>
      <w:numFmt w:val="bullet"/>
      <w:lvlText w:val="•"/>
      <w:lvlJc w:val="left"/>
      <w:pPr>
        <w:ind w:left="2805" w:hanging="263"/>
      </w:pPr>
      <w:rPr>
        <w:rFonts w:hint="default"/>
        <w:lang w:val="en-US" w:eastAsia="zh-CN" w:bidi="ar-SA"/>
      </w:rPr>
    </w:lvl>
    <w:lvl w:ilvl="6">
      <w:start w:val="0"/>
      <w:numFmt w:val="bullet"/>
      <w:lvlText w:val="•"/>
      <w:lvlJc w:val="left"/>
      <w:pPr>
        <w:ind w:left="3346" w:hanging="263"/>
      </w:pPr>
      <w:rPr>
        <w:rFonts w:hint="default"/>
        <w:lang w:val="en-US" w:eastAsia="zh-CN" w:bidi="ar-SA"/>
      </w:rPr>
    </w:lvl>
    <w:lvl w:ilvl="7">
      <w:start w:val="0"/>
      <w:numFmt w:val="bullet"/>
      <w:lvlText w:val="•"/>
      <w:lvlJc w:val="left"/>
      <w:pPr>
        <w:ind w:left="3887" w:hanging="263"/>
      </w:pPr>
      <w:rPr>
        <w:rFonts w:hint="default"/>
        <w:lang w:val="en-US" w:eastAsia="zh-CN" w:bidi="ar-SA"/>
      </w:rPr>
    </w:lvl>
    <w:lvl w:ilvl="8">
      <w:start w:val="0"/>
      <w:numFmt w:val="bullet"/>
      <w:lvlText w:val="•"/>
      <w:lvlJc w:val="left"/>
      <w:pPr>
        <w:ind w:left="4428" w:hanging="263"/>
      </w:pPr>
      <w:rPr>
        <w:rFonts w:hint="default"/>
        <w:lang w:val="en-US" w:eastAsia="zh-CN" w:bidi="ar-SA"/>
      </w:rPr>
    </w:lvl>
  </w:abstractNum>
  <w:num w:numId="1">
    <w:abstractNumId w:val="14"/>
  </w:num>
  <w:num w:numId="2">
    <w:abstractNumId w:val="18"/>
  </w:num>
  <w:num w:numId="3">
    <w:abstractNumId w:val="11"/>
  </w:num>
  <w:num w:numId="4">
    <w:abstractNumId w:val="4"/>
  </w:num>
  <w:num w:numId="5">
    <w:abstractNumId w:val="19"/>
  </w:num>
  <w:num w:numId="6">
    <w:abstractNumId w:val="6"/>
  </w:num>
  <w:num w:numId="7">
    <w:abstractNumId w:val="15"/>
  </w:num>
  <w:num w:numId="8">
    <w:abstractNumId w:val="3"/>
  </w:num>
  <w:num w:numId="9">
    <w:abstractNumId w:val="1"/>
  </w:num>
  <w:num w:numId="10">
    <w:abstractNumId w:val="7"/>
  </w:num>
  <w:num w:numId="11">
    <w:abstractNumId w:val="13"/>
  </w:num>
  <w:num w:numId="12">
    <w:abstractNumId w:val="2"/>
  </w:num>
  <w:num w:numId="13">
    <w:abstractNumId w:val="10"/>
  </w:num>
  <w:num w:numId="14">
    <w:abstractNumId w:val="5"/>
  </w:num>
  <w:num w:numId="15">
    <w:abstractNumId w:val="0"/>
  </w:num>
  <w:num w:numId="16">
    <w:abstractNumId w:val="16"/>
  </w:num>
  <w:num w:numId="17">
    <w:abstractNumId w:val="9"/>
  </w:num>
  <w:num w:numId="18">
    <w:abstractNumId w:val="12"/>
  </w:num>
  <w:num w:numId="19">
    <w:abstractNumId w:val="17"/>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spacing w:before="237"/>
      <w:ind w:left="120"/>
      <w:jc w:val="both"/>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pPr>
      <w:ind w:left="120"/>
    </w:pPr>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2823" w:right="3222"/>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right="518"/>
    </w:pPr>
    <w:rPr>
      <w:rFonts w:ascii="仿宋" w:eastAsia="仿宋" w:hAnsi="仿宋" w:cs="仿宋"/>
      <w:lang w:val="en-US" w:eastAsia="zh-CN" w:bidi="ar-SA"/>
    </w:rPr>
  </w:style>
  <w:style w:type="paragraph" w:customStyle="1" w:styleId="TableParagraph">
    <w:name w:val="Table Paragraph"/>
    <w:basedOn w:val="Normal"/>
    <w:uiPriority w:val="1"/>
    <w:qFormat/>
    <w:pPr>
      <w:ind w:left="108"/>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hyperlink" Target="https://d.book118.com/248035040023006045" TargetMode="External" /><Relationship Id="rId14" Type="http://schemas.openxmlformats.org/officeDocument/2006/relationships/footer" Target="footer9.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2024-03-05T04:17:14Z</dcterms:created>
  <dcterms:modified xsi:type="dcterms:W3CDTF">2024-03-05T04:17:14Z</dcterms:modified>
</cp:coreProperties>
</file>