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83" w:line="221" w:lineRule="auto"/>
        <w:ind w:left="1053"/>
        <w:outlineLvl w:val="0"/>
      </w:pPr>
      <w:r>
        <w:rPr>
          <w:b/>
          <w:bCs/>
          <w:spacing w:val="10"/>
        </w:rPr>
        <w:t>2024遗传性视网膜变性外显子组测序的分子诊断率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</w:pPr>
      <w:r>
        <w:rPr>
          <w:spacing w:val="5"/>
        </w:rPr>
        <w:t>遗传性视网膜变性是临床和遗传异质性疾病,其特征是视</w:t>
      </w:r>
      <w:r>
        <w:rPr>
          <w:spacing w:val="4"/>
        </w:rPr>
        <w:t>力逐渐恶化。</w:t>
      </w:r>
    </w:p>
    <w:p>
      <w:pPr>
        <w:pStyle w:val="BodyText"/>
        <w:spacing w:before="293" w:line="423" w:lineRule="auto"/>
        <w:ind w:left="3"/>
        <w:jc w:val="both"/>
      </w:pPr>
      <w:r>
        <w:rPr>
          <w:b/>
          <w:bCs/>
          <w:spacing w:val="3"/>
        </w:rPr>
        <w:t>本研究旨在评估外显子组测序</w:t>
      </w:r>
      <w:r>
        <w:rPr>
          <w:rFonts w:ascii="SimSun" w:eastAsia="SimSun" w:hAnsi="SimSun" w:cs="SimSun"/>
          <w:b/>
          <w:bCs/>
          <w:spacing w:val="3"/>
        </w:rPr>
        <w:t>(</w:t>
      </w:r>
      <w:r>
        <w:rPr>
          <w:rFonts w:ascii="SimSun" w:eastAsia="SimSun" w:hAnsi="SimSun" w:cs="SimSun"/>
          <w:b/>
          <w:bCs/>
        </w:rPr>
        <w:t>ES</w:t>
      </w:r>
      <w:r>
        <w:rPr>
          <w:rFonts w:ascii="SimSun" w:eastAsia="SimSun" w:hAnsi="SimSun" w:cs="SimSun"/>
          <w:b/>
          <w:bCs/>
          <w:spacing w:val="3"/>
        </w:rPr>
        <w:t>)</w:t>
      </w:r>
      <w:r>
        <w:rPr>
          <w:rFonts w:ascii="SimSun" w:eastAsia="SimSun" w:hAnsi="SimSun" w:cs="SimSun"/>
          <w:spacing w:val="3"/>
        </w:rPr>
        <w:t xml:space="preserve">  </w:t>
      </w:r>
      <w:r>
        <w:rPr>
          <w:b/>
          <w:bCs/>
          <w:spacing w:val="3"/>
        </w:rPr>
        <w:t>对未经选择的遗传性</w:t>
      </w:r>
      <w:r>
        <w:rPr>
          <w:b/>
          <w:bCs/>
          <w:spacing w:val="2"/>
        </w:rPr>
        <w:t>视网膜疾病</w:t>
      </w:r>
      <w:r>
        <w:t xml:space="preserve">  </w:t>
      </w:r>
      <w:r>
        <w:rPr>
          <w:b/>
          <w:bCs/>
          <w:spacing w:val="7"/>
        </w:rPr>
        <w:t>患者队列的诊断率。本回顾性研究纳入了357</w:t>
      </w:r>
      <w:r>
        <w:rPr>
          <w:spacing w:val="7"/>
        </w:rPr>
        <w:t xml:space="preserve"> </w:t>
      </w:r>
      <w:r>
        <w:rPr>
          <w:b/>
          <w:bCs/>
          <w:spacing w:val="7"/>
        </w:rPr>
        <w:t>例无亲缘关系的患者，</w:t>
      </w:r>
      <w:r>
        <w:rPr>
          <w:spacing w:val="4"/>
        </w:rPr>
        <w:t xml:space="preserve"> </w:t>
      </w:r>
      <w:r>
        <w:rPr>
          <w:b/>
          <w:bCs/>
          <w:spacing w:val="-6"/>
        </w:rPr>
        <w:t>其被诊断为视网膜疾病，并进行了临床</w:t>
      </w:r>
      <w:r>
        <w:rPr>
          <w:spacing w:val="79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ES。</w:t>
      </w:r>
      <w:r>
        <w:rPr>
          <w:b/>
          <w:bCs/>
          <w:spacing w:val="-6"/>
        </w:rPr>
        <w:t>根据</w:t>
      </w:r>
      <w:r>
        <w:rPr>
          <w:spacing w:val="43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ACMG</w:t>
      </w:r>
      <w:r>
        <w:rPr>
          <w:rFonts w:ascii="SimSun" w:eastAsia="SimSun" w:hAnsi="SimSun" w:cs="SimSun"/>
          <w:spacing w:val="26"/>
        </w:rPr>
        <w:t xml:space="preserve">   </w:t>
      </w:r>
      <w:r>
        <w:rPr>
          <w:b/>
          <w:bCs/>
          <w:spacing w:val="-6"/>
        </w:rPr>
        <w:t>指南对</w:t>
      </w:r>
      <w:r>
        <w:rPr>
          <w:spacing w:val="44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ES</w:t>
      </w:r>
      <w:r>
        <w:rPr>
          <w:rFonts w:ascii="SimSun" w:eastAsia="SimSun" w:hAnsi="SimSun" w:cs="SimSun"/>
          <w:spacing w:val="-6"/>
        </w:rPr>
        <w:t xml:space="preserve">  </w:t>
      </w:r>
      <w:r>
        <w:rPr>
          <w:b/>
          <w:bCs/>
          <w:spacing w:val="3"/>
        </w:rPr>
        <w:t>变异进行过滤、优先排序和分类。个体临床诊断包括视杆视锥细胞营</w:t>
      </w:r>
      <w:r>
        <w:rPr>
          <w:spacing w:val="1"/>
        </w:rPr>
        <w:t xml:space="preserve">  </w:t>
      </w:r>
      <w:r>
        <w:rPr>
          <w:b/>
          <w:bCs/>
          <w:spacing w:val="28"/>
        </w:rPr>
        <w:t>养不良(60%)、黄斑细胞营养不良(20%)、视锥视杆细胞营养不</w:t>
      </w:r>
      <w:r>
        <w:rPr>
          <w:spacing w:val="1"/>
        </w:rPr>
        <w:t xml:space="preserve">  </w:t>
      </w:r>
      <w:r>
        <w:rPr>
          <w:b/>
          <w:bCs/>
          <w:spacing w:val="36"/>
        </w:rPr>
        <w:t>良(9%)、视锥细胞营养不良(4%)和其他表型(7%)。大多数病</w:t>
      </w:r>
      <w:r>
        <w:rPr>
          <w:spacing w:val="6"/>
        </w:rPr>
        <w:t xml:space="preserve">  </w:t>
      </w:r>
      <w:r>
        <w:rPr>
          <w:b/>
          <w:bCs/>
          <w:spacing w:val="27"/>
        </w:rPr>
        <w:t>例(74%)为单人，6%为一家三口。24%的病例获得分子诊</w:t>
      </w:r>
      <w:r>
        <w:rPr>
          <w:b/>
          <w:bCs/>
          <w:spacing w:val="26"/>
        </w:rPr>
        <w:t>断。6%</w:t>
      </w:r>
      <w:r>
        <w:t xml:space="preserve">  </w:t>
      </w:r>
      <w:r>
        <w:rPr>
          <w:b/>
          <w:bCs/>
          <w:spacing w:val="1"/>
        </w:rPr>
        <w:t>的病例检出两个致病性变异，相位无法确定，因此潜在分子诊断率约</w:t>
      </w:r>
      <w:r>
        <w:rPr>
          <w:spacing w:val="1"/>
        </w:rPr>
        <w:t xml:space="preserve">  </w:t>
      </w:r>
      <w:r>
        <w:rPr>
          <w:b/>
          <w:bCs/>
          <w:spacing w:val="22"/>
        </w:rPr>
        <w:t>为30%。包括意义不明的变异</w:t>
      </w:r>
      <w:r>
        <w:rPr>
          <w:rFonts w:ascii="SimSun" w:eastAsia="SimSun" w:hAnsi="SimSun" w:cs="SimSun"/>
          <w:b/>
          <w:bCs/>
          <w:spacing w:val="22"/>
        </w:rPr>
        <w:t>(</w:t>
      </w:r>
      <w:r>
        <w:rPr>
          <w:rFonts w:ascii="SimSun" w:eastAsia="SimSun" w:hAnsi="SimSun" w:cs="SimSun"/>
          <w:b/>
          <w:bCs/>
        </w:rPr>
        <w:t>VUS</w:t>
      </w:r>
      <w:r>
        <w:rPr>
          <w:rFonts w:ascii="SimSun" w:eastAsia="SimSun" w:hAnsi="SimSun" w:cs="SimSun"/>
          <w:b/>
          <w:bCs/>
          <w:spacing w:val="22"/>
        </w:rPr>
        <w:t>)</w:t>
      </w:r>
      <w:r>
        <w:rPr>
          <w:rFonts w:ascii="SimSun" w:eastAsia="SimSun" w:hAnsi="SimSun" w:cs="SimSun"/>
          <w:spacing w:val="62"/>
        </w:rPr>
        <w:t xml:space="preserve">  </w:t>
      </w:r>
      <w:r>
        <w:rPr>
          <w:b/>
          <w:bCs/>
          <w:spacing w:val="22"/>
        </w:rPr>
        <w:t>在内，57</w:t>
      </w:r>
      <w:r>
        <w:rPr>
          <w:b/>
          <w:bCs/>
          <w:spacing w:val="21"/>
        </w:rPr>
        <w:t>%的病例报告了潜</w:t>
      </w:r>
    </w:p>
    <w:p>
      <w:pPr>
        <w:pStyle w:val="BodyText"/>
        <w:spacing w:before="1" w:line="212" w:lineRule="auto"/>
        <w:jc w:val="right"/>
        <w:rPr>
          <w:rFonts w:ascii="SimSun" w:eastAsia="SimSun" w:hAnsi="SimSun" w:cs="SimSun"/>
        </w:rPr>
      </w:pPr>
      <w:r>
        <w:rPr>
          <w:b/>
          <w:bCs/>
          <w:spacing w:val="-7"/>
        </w:rPr>
        <w:t>在有意义的发现。在确认分子诊断的病例中，</w:t>
      </w:r>
      <w:r>
        <w:rPr>
          <w:rFonts w:ascii="Times New Roman" w:eastAsia="Times New Roman" w:hAnsi="Times New Roman" w:cs="Times New Roman"/>
          <w:b/>
          <w:bCs/>
          <w:spacing w:val="-7"/>
        </w:rPr>
        <w:t>E</w:t>
      </w:r>
      <w:r>
        <w:rPr>
          <w:rFonts w:ascii="Times New Roman" w:eastAsia="Times New Roman" w:hAnsi="Times New Roman" w:cs="Times New Roman"/>
          <w:b/>
          <w:bCs/>
          <w:spacing w:val="-8"/>
        </w:rPr>
        <w:t>YS</w:t>
      </w:r>
      <w:r>
        <w:rPr>
          <w:rFonts w:ascii="Times New Roman" w:eastAsia="Times New Roman" w:hAnsi="Times New Roman" w:cs="Times New Roman"/>
          <w:b/>
          <w:bCs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rFonts w:ascii="Times New Roman" w:eastAsia="Times New Roman" w:hAnsi="Times New Roman" w:cs="Times New Roman"/>
          <w:b/>
          <w:bCs/>
          <w:spacing w:val="-8"/>
        </w:rPr>
        <w:t>ABCA4</w:t>
      </w:r>
      <w:r>
        <w:rPr>
          <w:rFonts w:ascii="Times New Roman" w:eastAsia="Times New Roman" w:hAnsi="Times New Roman" w:cs="Times New Roman"/>
          <w:b/>
          <w:bCs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rFonts w:ascii="Times New Roman" w:eastAsia="Times New Roman" w:hAnsi="Times New Roman" w:cs="Times New Roman"/>
          <w:b/>
          <w:bCs/>
          <w:spacing w:val="-8"/>
        </w:rPr>
        <w:t>USH2A</w:t>
      </w:r>
      <w:r>
        <w:rPr>
          <w:rFonts w:ascii="SimSun" w:eastAsia="SimSun" w:hAnsi="SimSun" w:cs="SimSun"/>
          <w:b/>
          <w:bCs/>
          <w:spacing w:val="-8"/>
        </w:rPr>
        <w:t>、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87" w:line="190" w:lineRule="auto"/>
        <w:rPr>
          <w:rFonts w:ascii="SimSun" w:eastAsia="SimSun" w:hAnsi="SimSun" w:cs="SimSun"/>
          <w:sz w:val="27"/>
          <w:szCs w:val="27"/>
        </w:rPr>
      </w:pPr>
      <w:r>
        <w:rPr>
          <w:rFonts w:ascii="Arial" w:eastAsia="Arial" w:hAnsi="Arial" w:cs="Arial"/>
          <w:b/>
          <w:bCs/>
          <w:spacing w:val="-1"/>
          <w:sz w:val="27"/>
          <w:szCs w:val="27"/>
        </w:rPr>
        <w:t>KIZ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CERKL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DHDDS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PROM1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NR2E3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CNGB1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A</w:t>
      </w:r>
      <w:r>
        <w:rPr>
          <w:rFonts w:ascii="Arial" w:eastAsia="Arial" w:hAnsi="Arial" w:cs="Arial"/>
          <w:b/>
          <w:bCs/>
          <w:spacing w:val="-2"/>
          <w:sz w:val="27"/>
          <w:szCs w:val="27"/>
        </w:rPr>
        <w:t>BCC6</w:t>
      </w:r>
      <w:r>
        <w:rPr>
          <w:rFonts w:ascii="SimSun" w:eastAsia="SimSun" w:hAnsi="SimSun" w:cs="SimSun"/>
          <w:b/>
          <w:bCs/>
          <w:spacing w:val="-2"/>
          <w:sz w:val="27"/>
          <w:szCs w:val="27"/>
        </w:rPr>
        <w:t>、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88" w:line="190" w:lineRule="auto"/>
        <w:rPr>
          <w:rFonts w:ascii="SimSun" w:eastAsia="SimSun" w:hAnsi="SimSun" w:cs="SimSun"/>
          <w:sz w:val="27"/>
          <w:szCs w:val="27"/>
        </w:rPr>
      </w:pPr>
      <w:r>
        <w:rPr>
          <w:rFonts w:ascii="Arial" w:eastAsia="Arial" w:hAnsi="Arial" w:cs="Arial"/>
          <w:b/>
          <w:bCs/>
          <w:spacing w:val="-1"/>
          <w:sz w:val="27"/>
          <w:szCs w:val="27"/>
        </w:rPr>
        <w:t>PRPH2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RHO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PRPF31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PRPF8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SNRNP200</w:t>
      </w:r>
      <w:r>
        <w:rPr>
          <w:rFonts w:ascii="SimSun" w:eastAsia="SimSun" w:hAnsi="SimSun" w:cs="SimSun"/>
          <w:b/>
          <w:bCs/>
          <w:spacing w:val="-1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"/>
          <w:sz w:val="27"/>
          <w:szCs w:val="27"/>
        </w:rPr>
        <w:t>RP1</w:t>
      </w:r>
      <w:r>
        <w:rPr>
          <w:rFonts w:ascii="SimSun" w:eastAsia="SimSun" w:hAnsi="SimSun" w:cs="SimSun"/>
          <w:b/>
          <w:bCs/>
          <w:spacing w:val="-2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2"/>
          <w:sz w:val="27"/>
          <w:szCs w:val="27"/>
        </w:rPr>
        <w:t>CHM</w:t>
      </w:r>
      <w:r>
        <w:rPr>
          <w:rFonts w:ascii="SimSun" w:eastAsia="SimSun" w:hAnsi="SimSun" w:cs="SimSun"/>
          <w:b/>
          <w:bCs/>
          <w:spacing w:val="-2"/>
          <w:sz w:val="27"/>
          <w:szCs w:val="27"/>
        </w:rPr>
        <w:t>、</w:t>
      </w:r>
    </w:p>
    <w:p>
      <w:pPr>
        <w:pStyle w:val="BodyText"/>
        <w:spacing w:before="285" w:line="620" w:lineRule="exact"/>
        <w:ind w:left="3"/>
      </w:pPr>
      <w:r>
        <w:rPr>
          <w:rFonts w:ascii="SimSun" w:eastAsia="SimSun" w:hAnsi="SimSun" w:cs="SimSun"/>
          <w:b/>
          <w:bCs/>
          <w:position w:val="26"/>
        </w:rPr>
        <w:t>RPGR</w:t>
      </w:r>
      <w:r>
        <w:rPr>
          <w:rFonts w:ascii="SimSun" w:eastAsia="SimSun" w:hAnsi="SimSun" w:cs="SimSun"/>
          <w:spacing w:val="44"/>
          <w:position w:val="26"/>
        </w:rPr>
        <w:t xml:space="preserve">  </w:t>
      </w:r>
      <w:r>
        <w:rPr>
          <w:b/>
          <w:bCs/>
          <w:position w:val="26"/>
        </w:rPr>
        <w:t>变异在不止一个患者中发现。本研究</w:t>
      </w:r>
      <w:r>
        <w:rPr>
          <w:b/>
          <w:bCs/>
          <w:spacing w:val="-1"/>
          <w:position w:val="26"/>
        </w:rPr>
        <w:t>结果支持临床</w:t>
      </w:r>
      <w:r>
        <w:rPr>
          <w:spacing w:val="-1"/>
          <w:position w:val="26"/>
        </w:rPr>
        <w:t xml:space="preserve"> </w:t>
      </w:r>
      <w:r>
        <w:rPr>
          <w:rFonts w:ascii="SimSun" w:eastAsia="SimSun" w:hAnsi="SimSun" w:cs="SimSun"/>
          <w:b/>
          <w:bCs/>
          <w:spacing w:val="-1"/>
          <w:position w:val="26"/>
        </w:rPr>
        <w:t>ES</w:t>
      </w:r>
      <w:r>
        <w:rPr>
          <w:rFonts w:ascii="SimSun" w:eastAsia="SimSun" w:hAnsi="SimSun" w:cs="SimSun"/>
          <w:spacing w:val="-1"/>
          <w:position w:val="26"/>
        </w:rPr>
        <w:t xml:space="preserve"> </w:t>
      </w:r>
      <w:r>
        <w:rPr>
          <w:b/>
          <w:bCs/>
          <w:spacing w:val="-1"/>
          <w:position w:val="26"/>
        </w:rPr>
        <w:t>在遗传</w:t>
      </w:r>
    </w:p>
    <w:p>
      <w:pPr>
        <w:pStyle w:val="BodyText"/>
        <w:spacing w:before="1" w:line="220" w:lineRule="auto"/>
        <w:ind w:left="3"/>
      </w:pPr>
      <w:r>
        <w:rPr>
          <w:b/>
          <w:bCs/>
          <w:spacing w:val="-2"/>
        </w:rPr>
        <w:t>异质性视网膜疾病诊断中的效用。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9" w:line="221" w:lineRule="auto"/>
        <w:ind w:left="3"/>
      </w:pPr>
      <w:r>
        <w:rPr>
          <w:b/>
          <w:bCs/>
          <w:spacing w:val="3"/>
        </w:rPr>
        <w:t>研究背景</w:t>
      </w:r>
    </w:p>
    <w:p>
      <w:pPr>
        <w:pStyle w:val="BodyText"/>
        <w:spacing w:before="299" w:line="424" w:lineRule="auto"/>
        <w:ind w:right="36"/>
        <w:jc w:val="both"/>
      </w:pPr>
      <w:r>
        <w:rPr>
          <w:spacing w:val="14"/>
        </w:rPr>
        <w:t>视网膜疾病是一类临床和遗传异质性疾病。目前，已</w:t>
      </w:r>
      <w:r>
        <w:rPr>
          <w:spacing w:val="13"/>
        </w:rPr>
        <w:t>描述了300</w:t>
      </w:r>
      <w:r>
        <w:rPr>
          <w:spacing w:val="13"/>
        </w:rPr>
        <w:t xml:space="preserve"> </w:t>
      </w:r>
      <w:r>
        <w:rPr>
          <w:spacing w:val="13"/>
        </w:rPr>
        <w:t>多</w:t>
      </w:r>
      <w:r>
        <w:rPr>
          <w:spacing w:val="13"/>
        </w:rPr>
        <w:t xml:space="preserve"> </w:t>
      </w:r>
      <w:r>
        <w:rPr>
          <w:spacing w:val="5"/>
        </w:rPr>
        <w:t>个基因可引起非综合征性或综合征性视网膜变性,并且数</w:t>
      </w:r>
      <w:r>
        <w:rPr>
          <w:spacing w:val="4"/>
        </w:rPr>
        <w:t>量还在增加。</w:t>
      </w:r>
    </w:p>
    <w:p>
      <w:pPr>
        <w:pStyle w:val="BodyText"/>
        <w:spacing w:before="1" w:line="212" w:lineRule="auto"/>
      </w:pPr>
      <w:r>
        <w:rPr>
          <w:spacing w:val="6"/>
        </w:rPr>
        <w:t>分子诊断对于临床管理、预后评估很重要，更重要的是，遗传性视网</w:t>
      </w:r>
    </w:p>
    <w:p>
      <w:pPr>
        <w:spacing w:line="212" w:lineRule="auto"/>
        <w:sectPr>
          <w:pgSz w:w="11910" w:h="16840"/>
          <w:pgMar w:top="1431" w:right="1708" w:bottom="0" w:left="1779" w:header="0" w:footer="0" w:gutter="0"/>
          <w:cols w:space="708"/>
        </w:sectPr>
      </w:pPr>
    </w:p>
    <w:p>
      <w:pPr>
        <w:pStyle w:val="BodyText"/>
        <w:spacing w:before="175" w:line="213" w:lineRule="auto"/>
        <w:ind w:left="30"/>
        <w:rPr>
          <w:rFonts w:ascii="SimSun" w:eastAsia="SimSun" w:hAnsi="SimSun" w:cs="SimSun"/>
        </w:rPr>
      </w:pPr>
      <w:r>
        <w:rPr>
          <w:spacing w:val="6"/>
        </w:rPr>
        <w:t>膜变性</w:t>
      </w:r>
      <w:r>
        <w:rPr>
          <w:rFonts w:ascii="SimSun" w:eastAsia="SimSun" w:hAnsi="SimSun" w:cs="SimSun"/>
          <w:spacing w:val="6"/>
        </w:rPr>
        <w:t>(</w:t>
      </w:r>
      <w:r>
        <w:rPr>
          <w:rFonts w:ascii="SimSun" w:eastAsia="SimSun" w:hAnsi="SimSun" w:cs="SimSun"/>
        </w:rPr>
        <w:t>IRD</w:t>
      </w:r>
      <w:r>
        <w:rPr>
          <w:rFonts w:ascii="SimSun" w:eastAsia="SimSun" w:hAnsi="SimSun" w:cs="SimSun"/>
          <w:spacing w:val="6"/>
        </w:rPr>
        <w:t>)</w:t>
      </w:r>
      <w:r>
        <w:rPr>
          <w:rFonts w:ascii="SimSun" w:eastAsia="SimSun" w:hAnsi="SimSun" w:cs="SimSun"/>
          <w:spacing w:val="123"/>
        </w:rPr>
        <w:t xml:space="preserve"> </w:t>
      </w:r>
      <w:r>
        <w:rPr>
          <w:spacing w:val="6"/>
        </w:rPr>
        <w:t>的治疗前景(如基因疗法)越来越广阔，包括最近</w:t>
      </w:r>
      <w:r>
        <w:rPr>
          <w:spacing w:val="64"/>
        </w:rPr>
        <w:t xml:space="preserve"> </w:t>
      </w:r>
      <w:r>
        <w:rPr>
          <w:rFonts w:ascii="SimSun" w:eastAsia="SimSun" w:hAnsi="SimSun" w:cs="SimSun"/>
        </w:rPr>
        <w:t>FDA</w:t>
      </w:r>
    </w:p>
    <w:p>
      <w:pPr>
        <w:pStyle w:val="BodyText"/>
        <w:spacing w:before="244" w:line="368" w:lineRule="exact"/>
        <w:ind w:left="30"/>
      </w:pPr>
      <w:r>
        <w:rPr>
          <w:position w:val="3"/>
        </w:rPr>
        <w:t>批准</w:t>
      </w:r>
      <w:r>
        <w:rPr>
          <w:position w:val="3"/>
        </w:rPr>
        <w:t xml:space="preserve"> </w:t>
      </w:r>
      <w:r>
        <w:rPr>
          <w:rFonts w:ascii="Arial" w:eastAsia="Arial" w:hAnsi="Arial" w:cs="Arial"/>
          <w:position w:val="3"/>
        </w:rPr>
        <w:t>voretigene            nepa</w:t>
      </w:r>
      <w:r>
        <w:rPr>
          <w:rFonts w:ascii="Arial" w:eastAsia="Arial" w:hAnsi="Arial" w:cs="Arial"/>
          <w:spacing w:val="-1"/>
          <w:position w:val="3"/>
        </w:rPr>
        <w:t xml:space="preserve">rvovec-rzyl(Luxturna) </w:t>
      </w:r>
      <w:r>
        <w:rPr>
          <w:spacing w:val="-1"/>
          <w:position w:val="3"/>
        </w:rPr>
        <w:t>用于</w:t>
      </w:r>
      <w:r>
        <w:rPr>
          <w:spacing w:val="60"/>
          <w:position w:val="3"/>
        </w:rPr>
        <w:t xml:space="preserve"> </w:t>
      </w:r>
      <w:r>
        <w:rPr>
          <w:rFonts w:ascii="Arial" w:eastAsia="Arial" w:hAnsi="Arial" w:cs="Arial"/>
          <w:spacing w:val="-1"/>
          <w:position w:val="3"/>
        </w:rPr>
        <w:t xml:space="preserve">RPE65  </w:t>
      </w:r>
      <w:r>
        <w:rPr>
          <w:spacing w:val="-1"/>
          <w:position w:val="3"/>
        </w:rPr>
        <w:t>基因</w:t>
      </w:r>
    </w:p>
    <w:p>
      <w:pPr>
        <w:pStyle w:val="BodyText"/>
        <w:spacing w:before="326" w:line="424" w:lineRule="auto"/>
        <w:ind w:left="30" w:right="168"/>
        <w:jc w:val="both"/>
      </w:pPr>
      <w:r>
        <w:rPr>
          <w:spacing w:val="5"/>
        </w:rPr>
        <w:t>特异性</w:t>
      </w:r>
      <w:r>
        <w:rPr>
          <w:spacing w:val="55"/>
        </w:rPr>
        <w:t xml:space="preserve"> </w:t>
      </w:r>
      <w:r>
        <w:rPr>
          <w:rFonts w:ascii="SimSun" w:eastAsia="SimSun" w:hAnsi="SimSun" w:cs="SimSun"/>
        </w:rPr>
        <w:t>Leber</w:t>
      </w:r>
      <w:r>
        <w:rPr>
          <w:rFonts w:ascii="SimSun" w:eastAsia="SimSun" w:hAnsi="SimSun" w:cs="SimSun"/>
          <w:spacing w:val="58"/>
        </w:rPr>
        <w:t xml:space="preserve"> </w:t>
      </w:r>
      <w:r>
        <w:rPr>
          <w:spacing w:val="5"/>
        </w:rPr>
        <w:t>先天性黑矇</w:t>
      </w:r>
      <w:r>
        <w:rPr>
          <w:rFonts w:ascii="SimSun" w:eastAsia="SimSun" w:hAnsi="SimSun" w:cs="SimSun"/>
          <w:spacing w:val="5"/>
        </w:rPr>
        <w:t>(</w:t>
      </w:r>
      <w:r>
        <w:rPr>
          <w:rFonts w:ascii="SimSun" w:eastAsia="SimSun" w:hAnsi="SimSun" w:cs="SimSun"/>
        </w:rPr>
        <w:t>LCA</w:t>
      </w:r>
      <w:r>
        <w:rPr>
          <w:rFonts w:ascii="SimSun" w:eastAsia="SimSun" w:hAnsi="SimSun" w:cs="SimSun"/>
          <w:spacing w:val="5"/>
        </w:rPr>
        <w:t>),</w:t>
      </w:r>
      <w:r>
        <w:rPr>
          <w:rFonts w:ascii="SimSun" w:eastAsia="SimSun" w:hAnsi="SimSun" w:cs="SimSun"/>
          <w:spacing w:val="28"/>
        </w:rPr>
        <w:t xml:space="preserve">   </w:t>
      </w:r>
      <w:r>
        <w:rPr>
          <w:spacing w:val="5"/>
        </w:rPr>
        <w:t>其他几种</w:t>
      </w:r>
      <w:r>
        <w:rPr>
          <w:spacing w:val="-32"/>
        </w:rPr>
        <w:t xml:space="preserve"> </w:t>
      </w:r>
      <w:r>
        <w:rPr>
          <w:rFonts w:ascii="SimSun" w:eastAsia="SimSun" w:hAnsi="SimSun" w:cs="SimSun"/>
        </w:rPr>
        <w:t>IRD</w:t>
      </w:r>
      <w:r>
        <w:rPr>
          <w:rFonts w:ascii="SimSun" w:eastAsia="SimSun" w:hAnsi="SimSun" w:cs="SimSun"/>
          <w:spacing w:val="45"/>
        </w:rPr>
        <w:t xml:space="preserve"> </w:t>
      </w:r>
      <w:r>
        <w:rPr>
          <w:spacing w:val="5"/>
        </w:rPr>
        <w:t>基因疗法相关临</w:t>
      </w:r>
      <w:r>
        <w:t xml:space="preserve"> </w:t>
      </w:r>
      <w:r>
        <w:rPr>
          <w:spacing w:val="6"/>
        </w:rPr>
        <w:t>床试验正在进行中。在未来几年内，我们可能会看到基因特异性疗法</w:t>
      </w:r>
      <w:r>
        <w:rPr>
          <w:spacing w:val="2"/>
        </w:rPr>
        <w:t xml:space="preserve"> </w:t>
      </w:r>
      <w:r>
        <w:rPr>
          <w:spacing w:val="6"/>
        </w:rPr>
        <w:t>和视网膜疾病治疗的快速扩展。鉴于此，确定视网膜营养不良患</w:t>
      </w:r>
      <w:r>
        <w:rPr>
          <w:spacing w:val="5"/>
        </w:rPr>
        <w:t>者分</w:t>
      </w:r>
    </w:p>
    <w:p>
      <w:pPr>
        <w:pStyle w:val="BodyText"/>
        <w:spacing w:line="220" w:lineRule="auto"/>
        <w:ind w:left="30"/>
      </w:pPr>
      <w:r>
        <w:t>子诊断的紧迫性对于个体化医疗、患者管理和预防视力丧失至关重要。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30" w:right="170"/>
      </w:pPr>
      <w:r>
        <w:rPr>
          <w:spacing w:val="5"/>
        </w:rPr>
        <w:t>许多既往用于检测引起</w:t>
      </w:r>
      <w:r>
        <w:rPr>
          <w:rFonts w:ascii="SimSun" w:eastAsia="SimSun" w:hAnsi="SimSun" w:cs="SimSun"/>
        </w:rPr>
        <w:t>IRD</w:t>
      </w:r>
      <w:r>
        <w:rPr>
          <w:rFonts w:ascii="SimSun" w:eastAsia="SimSun" w:hAnsi="SimSun" w:cs="SimSun"/>
          <w:spacing w:val="54"/>
        </w:rPr>
        <w:t xml:space="preserve"> </w:t>
      </w:r>
      <w:r>
        <w:rPr>
          <w:spacing w:val="5"/>
        </w:rPr>
        <w:t>的遗传变异的方法，如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</w:rPr>
        <w:t>Sanger</w:t>
      </w:r>
      <w:r>
        <w:rPr>
          <w:rFonts w:ascii="SimSun" w:eastAsia="SimSun" w:hAnsi="SimSun" w:cs="SimSun"/>
          <w:spacing w:val="56"/>
        </w:rPr>
        <w:t xml:space="preserve"> </w:t>
      </w:r>
      <w:r>
        <w:rPr>
          <w:spacing w:val="5"/>
        </w:rPr>
        <w:t>测序、聚</w:t>
      </w:r>
      <w:r>
        <w:t xml:space="preserve"> </w:t>
      </w:r>
      <w:r>
        <w:rPr>
          <w:spacing w:val="8"/>
        </w:rPr>
        <w:t>合酶链式反应</w:t>
      </w:r>
      <w:r>
        <w:rPr>
          <w:rFonts w:ascii="SimSun" w:eastAsia="SimSun" w:hAnsi="SimSun" w:cs="SimSun"/>
          <w:spacing w:val="8"/>
        </w:rPr>
        <w:t>(</w:t>
      </w:r>
      <w:r>
        <w:rPr>
          <w:rFonts w:ascii="SimSun" w:eastAsia="SimSun" w:hAnsi="SimSun" w:cs="SimSun"/>
        </w:rPr>
        <w:t>PCR</w:t>
      </w:r>
      <w:r>
        <w:rPr>
          <w:rFonts w:ascii="SimSun" w:eastAsia="SimSun" w:hAnsi="SimSun" w:cs="SimSun"/>
          <w:spacing w:val="8"/>
        </w:rPr>
        <w:t>)</w:t>
      </w:r>
      <w:r>
        <w:rPr>
          <w:rFonts w:ascii="SimSun" w:eastAsia="SimSun" w:hAnsi="SimSun" w:cs="SimSun"/>
          <w:spacing w:val="51"/>
        </w:rPr>
        <w:t xml:space="preserve">  </w:t>
      </w:r>
      <w:r>
        <w:rPr>
          <w:spacing w:val="8"/>
        </w:rPr>
        <w:t>或基于阵列的方法，依赖</w:t>
      </w:r>
      <w:r>
        <w:rPr>
          <w:spacing w:val="7"/>
        </w:rPr>
        <w:t>于对已知是疾病致病</w:t>
      </w:r>
      <w:r>
        <w:rPr>
          <w:spacing w:val="1"/>
        </w:rPr>
        <w:t xml:space="preserve"> </w:t>
      </w:r>
      <w:r>
        <w:rPr>
          <w:spacing w:val="11"/>
        </w:rPr>
        <w:t>因素的少数基因(基因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</w:rPr>
        <w:t>panel</w:t>
      </w:r>
      <w:r>
        <w:rPr>
          <w:rFonts w:ascii="SimSun" w:eastAsia="SimSun" w:hAnsi="SimSun" w:cs="SimSun"/>
          <w:spacing w:val="11"/>
        </w:rPr>
        <w:t xml:space="preserve">) </w:t>
      </w:r>
      <w:r>
        <w:rPr>
          <w:spacing w:val="11"/>
        </w:rPr>
        <w:t>或变异进行靶向测序。这</w:t>
      </w:r>
      <w:r>
        <w:rPr>
          <w:spacing w:val="10"/>
        </w:rPr>
        <w:t>些方法针对</w:t>
      </w:r>
    </w:p>
    <w:p>
      <w:pPr>
        <w:pStyle w:val="BodyText"/>
        <w:spacing w:before="1" w:line="212" w:lineRule="auto"/>
        <w:ind w:left="30"/>
        <w:rPr>
          <w:rFonts w:ascii="SimSun" w:eastAsia="SimSun" w:hAnsi="SimSun" w:cs="SimSun"/>
        </w:rPr>
      </w:pPr>
      <w:r>
        <w:rPr>
          <w:spacing w:val="5"/>
        </w:rPr>
        <w:t>特定基因/变异，通量和分子诊断率较低。随着基于二代测序</w:t>
      </w:r>
      <w:r>
        <w:rPr>
          <w:rFonts w:ascii="SimSun" w:eastAsia="SimSun" w:hAnsi="SimSun" w:cs="SimSun"/>
          <w:spacing w:val="5"/>
        </w:rPr>
        <w:t>(</w:t>
      </w:r>
      <w:r>
        <w:rPr>
          <w:rFonts w:ascii="SimSun" w:eastAsia="SimSun" w:hAnsi="SimSun" w:cs="SimSun"/>
        </w:rPr>
        <w:t>NGS</w:t>
      </w:r>
      <w:r>
        <w:rPr>
          <w:rFonts w:ascii="SimSun" w:eastAsia="SimSun" w:hAnsi="SimSun" w:cs="SimSun"/>
          <w:spacing w:val="5"/>
        </w:rPr>
        <w:t>)</w:t>
      </w:r>
    </w:p>
    <w:p>
      <w:pPr>
        <w:pStyle w:val="BodyText"/>
        <w:spacing w:before="308" w:line="427" w:lineRule="auto"/>
        <w:ind w:left="30" w:right="161"/>
      </w:pPr>
      <w:r>
        <w:rPr>
          <w:spacing w:val="6"/>
        </w:rPr>
        <w:t>的方法的出现，以高通量方式分析整个人类基因组中的数百万个变异</w:t>
      </w:r>
      <w:r>
        <w:rPr>
          <w:spacing w:val="4"/>
        </w:rPr>
        <w:t xml:space="preserve"> </w:t>
      </w:r>
      <w:r>
        <w:rPr>
          <w:spacing w:val="6"/>
        </w:rPr>
        <w:t>成为可能。这彻底改变了疾病相关变异的检测，并迅速扩展了我们对</w:t>
      </w:r>
      <w:r>
        <w:t xml:space="preserve"> </w:t>
      </w:r>
      <w:r>
        <w:rPr>
          <w:spacing w:val="10"/>
        </w:rPr>
        <w:t>人类疾病(包括</w:t>
      </w:r>
      <w:r>
        <w:rPr>
          <w:spacing w:val="-43"/>
        </w:rPr>
        <w:t xml:space="preserve"> </w:t>
      </w:r>
      <w:r>
        <w:rPr>
          <w:rFonts w:ascii="SimSun" w:eastAsia="SimSun" w:hAnsi="SimSun" w:cs="SimSun"/>
        </w:rPr>
        <w:t>IRD</w:t>
      </w:r>
      <w:r>
        <w:rPr>
          <w:rFonts w:ascii="SimSun" w:eastAsia="SimSun" w:hAnsi="SimSun" w:cs="SimSun"/>
          <w:spacing w:val="10"/>
        </w:rPr>
        <w:t>)</w:t>
      </w:r>
      <w:r>
        <w:rPr>
          <w:rFonts w:ascii="SimSun" w:eastAsia="SimSun" w:hAnsi="SimSun" w:cs="SimSun"/>
          <w:spacing w:val="90"/>
        </w:rPr>
        <w:t xml:space="preserve"> </w:t>
      </w:r>
      <w:r>
        <w:rPr>
          <w:spacing w:val="10"/>
        </w:rPr>
        <w:t>分子原因的了解以及识别疾病特定分子原因的</w:t>
      </w:r>
    </w:p>
    <w:p>
      <w:pPr>
        <w:pStyle w:val="BodyText"/>
        <w:spacing w:line="221" w:lineRule="auto"/>
      </w:pPr>
      <w:r>
        <w:rPr>
          <w:spacing w:val="-12"/>
        </w:rPr>
        <w:t>能力。</w:t>
      </w:r>
    </w:p>
    <w:p>
      <w:pPr>
        <w:pStyle w:val="BodyText"/>
        <w:spacing w:before="312" w:line="427" w:lineRule="auto"/>
        <w:ind w:left="30" w:right="174"/>
        <w:jc w:val="both"/>
      </w:pPr>
      <w:r>
        <w:rPr>
          <w:spacing w:val="8"/>
        </w:rPr>
        <w:t>鉴于视网膜疾病的高度异质性，基于</w:t>
      </w:r>
      <w:r>
        <w:rPr>
          <w:spacing w:val="-12"/>
        </w:rPr>
        <w:t xml:space="preserve"> </w:t>
      </w:r>
      <w:r>
        <w:rPr>
          <w:rFonts w:ascii="SimSun" w:eastAsia="SimSun" w:hAnsi="SimSun" w:cs="SimSun"/>
        </w:rPr>
        <w:t>NGS</w:t>
      </w:r>
      <w:r>
        <w:rPr>
          <w:rFonts w:ascii="SimSun" w:eastAsia="SimSun" w:hAnsi="SimSun" w:cs="SimSun"/>
          <w:spacing w:val="112"/>
        </w:rPr>
        <w:t xml:space="preserve"> </w:t>
      </w:r>
      <w:r>
        <w:rPr>
          <w:spacing w:val="8"/>
        </w:rPr>
        <w:t>的方法(如靶向</w:t>
      </w:r>
      <w:r>
        <w:rPr>
          <w:spacing w:val="8"/>
        </w:rPr>
        <w:t xml:space="preserve"> </w:t>
      </w:r>
      <w:r>
        <w:rPr>
          <w:rFonts w:ascii="SimSun" w:eastAsia="SimSun" w:hAnsi="SimSun" w:cs="SimSun"/>
        </w:rPr>
        <w:t>panel</w:t>
      </w:r>
      <w:r>
        <w:rPr>
          <w:rFonts w:ascii="SimSun" w:eastAsia="SimSun" w:hAnsi="SimSun" w:cs="SimSun"/>
          <w:spacing w:val="8"/>
        </w:rPr>
        <w:t xml:space="preserve"> </w:t>
      </w:r>
      <w:r>
        <w:rPr>
          <w:spacing w:val="8"/>
        </w:rPr>
        <w:t>或</w:t>
      </w:r>
      <w:r>
        <w:t xml:space="preserve"> </w:t>
      </w:r>
      <w:r>
        <w:rPr>
          <w:spacing w:val="5"/>
        </w:rPr>
        <w:t>外显子组测序</w:t>
      </w:r>
      <w:r>
        <w:rPr>
          <w:spacing w:val="-51"/>
        </w:rPr>
        <w:t xml:space="preserve"> </w:t>
      </w:r>
      <w:r>
        <w:rPr>
          <w:rFonts w:ascii="Arial" w:eastAsia="Arial" w:hAnsi="Arial" w:cs="Arial"/>
          <w:spacing w:val="5"/>
        </w:rPr>
        <w:t>(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5"/>
        </w:rPr>
        <w:t xml:space="preserve">))     </w:t>
      </w:r>
      <w:r>
        <w:rPr>
          <w:spacing w:val="5"/>
        </w:rPr>
        <w:t>是鉴定与该疾病表型相关的潜在分子变异的理</w:t>
      </w:r>
      <w:r>
        <w:t xml:space="preserve"> </w:t>
      </w:r>
      <w:r>
        <w:t>想选择。</w:t>
      </w:r>
      <w:r>
        <w:rPr>
          <w:rFonts w:ascii="Times New Roman" w:eastAsia="Times New Roman" w:hAnsi="Times New Roman" w:cs="Times New Roman"/>
        </w:rPr>
        <w:t xml:space="preserve">ES </w:t>
      </w:r>
      <w:r>
        <w:t>靶向捕获或虚拟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</w:rPr>
        <w:t>panel</w:t>
      </w:r>
      <w:r>
        <w:rPr>
          <w:rFonts w:ascii="Times New Roman" w:eastAsia="Times New Roman" w:hAnsi="Times New Roman" w:cs="Times New Roman"/>
          <w:spacing w:val="30"/>
        </w:rPr>
        <w:t xml:space="preserve">  </w:t>
      </w:r>
      <w:r>
        <w:t>能够</w:t>
      </w:r>
      <w:r>
        <w:rPr>
          <w:spacing w:val="-1"/>
        </w:rPr>
        <w:t>识别已知与视网膜疾病相关的</w:t>
      </w:r>
    </w:p>
    <w:p>
      <w:pPr>
        <w:pStyle w:val="BodyText"/>
        <w:spacing w:before="1" w:line="220" w:lineRule="auto"/>
        <w:ind w:left="30"/>
      </w:pPr>
      <w:r>
        <w:rPr>
          <w:spacing w:val="-1"/>
        </w:rPr>
        <w:t>罕见特定基因变异。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8" w:line="702" w:lineRule="exact"/>
        <w:ind w:left="30"/>
      </w:pPr>
      <w:r>
        <w:rPr>
          <w:spacing w:val="1"/>
          <w:position w:val="29"/>
        </w:rPr>
        <w:t>目前，对于</w:t>
      </w:r>
      <w:r>
        <w:rPr>
          <w:rFonts w:ascii="Arial" w:eastAsia="Arial" w:hAnsi="Arial" w:cs="Arial"/>
          <w:position w:val="29"/>
        </w:rPr>
        <w:t>IRD</w:t>
      </w:r>
      <w:r>
        <w:rPr>
          <w:rFonts w:ascii="Arial" w:eastAsia="Arial" w:hAnsi="Arial" w:cs="Arial"/>
          <w:spacing w:val="1"/>
          <w:position w:val="29"/>
        </w:rPr>
        <w:t>,</w:t>
      </w:r>
      <w:r>
        <w:rPr>
          <w:rFonts w:ascii="Arial" w:eastAsia="Arial" w:hAnsi="Arial" w:cs="Arial"/>
          <w:spacing w:val="33"/>
          <w:position w:val="29"/>
        </w:rPr>
        <w:t xml:space="preserve">  </w:t>
      </w:r>
      <w:r>
        <w:rPr>
          <w:spacing w:val="1"/>
          <w:position w:val="29"/>
        </w:rPr>
        <w:t>靶向</w:t>
      </w:r>
      <w:r>
        <w:rPr>
          <w:spacing w:val="1"/>
          <w:position w:val="29"/>
        </w:rPr>
        <w:t xml:space="preserve"> </w:t>
      </w:r>
      <w:r>
        <w:rPr>
          <w:rFonts w:ascii="Arial" w:eastAsia="Arial" w:hAnsi="Arial" w:cs="Arial"/>
          <w:position w:val="29"/>
        </w:rPr>
        <w:t>panel</w:t>
      </w:r>
      <w:r>
        <w:rPr>
          <w:rFonts w:ascii="Arial" w:eastAsia="Arial" w:hAnsi="Arial" w:cs="Arial"/>
          <w:spacing w:val="1"/>
          <w:position w:val="29"/>
        </w:rPr>
        <w:t xml:space="preserve">  </w:t>
      </w:r>
      <w:r>
        <w:rPr>
          <w:spacing w:val="1"/>
          <w:position w:val="29"/>
        </w:rPr>
        <w:t>和</w:t>
      </w:r>
      <w:r>
        <w:rPr>
          <w:spacing w:val="1"/>
          <w:position w:val="29"/>
        </w:rPr>
        <w:t xml:space="preserve"> </w:t>
      </w:r>
      <w:r>
        <w:rPr>
          <w:rFonts w:ascii="Arial" w:eastAsia="Arial" w:hAnsi="Arial" w:cs="Arial"/>
          <w:position w:val="29"/>
        </w:rPr>
        <w:t>ES</w:t>
      </w:r>
      <w:r>
        <w:rPr>
          <w:rFonts w:ascii="Arial" w:eastAsia="Arial" w:hAnsi="Arial" w:cs="Arial"/>
          <w:spacing w:val="33"/>
          <w:w w:val="101"/>
          <w:position w:val="29"/>
        </w:rPr>
        <w:t xml:space="preserve"> </w:t>
      </w:r>
      <w:r>
        <w:rPr>
          <w:spacing w:val="1"/>
          <w:position w:val="29"/>
        </w:rPr>
        <w:t>检测全球实验室</w:t>
      </w:r>
      <w:r>
        <w:rPr>
          <w:position w:val="29"/>
        </w:rPr>
        <w:t>都常规使用，每</w:t>
      </w:r>
    </w:p>
    <w:p>
      <w:pPr>
        <w:pStyle w:val="BodyText"/>
        <w:spacing w:before="1" w:line="212" w:lineRule="auto"/>
        <w:jc w:val="right"/>
      </w:pPr>
      <w:r>
        <w:rPr>
          <w:spacing w:val="4"/>
        </w:rPr>
        <w:t>种检测都有其优点和局限性。靶向</w:t>
      </w:r>
      <w:r>
        <w:rPr>
          <w:rFonts w:ascii="SimSun" w:eastAsia="SimSun" w:hAnsi="SimSun" w:cs="SimSun"/>
        </w:rPr>
        <w:t>panel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4"/>
        </w:rPr>
        <w:t>通常具有更好的整体覆盖率，</w:t>
      </w:r>
    </w:p>
    <w:p>
      <w:pPr>
        <w:spacing w:line="212" w:lineRule="auto"/>
        <w:sectPr>
          <w:pgSz w:w="11910" w:h="16840"/>
          <w:pgMar w:top="1431" w:right="1654" w:bottom="0" w:left="1769" w:header="0" w:footer="0" w:gutter="0"/>
          <w:pgNumType w:start="2"/>
          <w:cols w:space="708"/>
        </w:sectPr>
      </w:pPr>
    </w:p>
    <w:p>
      <w:pPr>
        <w:pStyle w:val="BodyText"/>
        <w:spacing w:before="122" w:line="428" w:lineRule="auto"/>
        <w:ind w:left="13" w:right="126"/>
        <w:jc w:val="both"/>
      </w:pPr>
      <w:r>
        <w:t>但缺乏检测特定</w:t>
      </w:r>
      <w:r>
        <w:rPr>
          <w:spacing w:val="-39"/>
        </w:rPr>
        <w:t xml:space="preserve"> </w:t>
      </w:r>
      <w:r>
        <w:rPr>
          <w:rFonts w:ascii="Arial" w:eastAsia="Arial" w:hAnsi="Arial" w:cs="Arial"/>
        </w:rPr>
        <w:t xml:space="preserve">panel  </w:t>
      </w:r>
      <w:r>
        <w:t>中未包含的基因变异的能力。</w:t>
      </w:r>
      <w:r>
        <w:rPr>
          <w:rFonts w:ascii="Arial" w:eastAsia="Arial" w:hAnsi="Arial" w:cs="Arial"/>
        </w:rPr>
        <w:t>ES</w:t>
      </w:r>
      <w:r>
        <w:t>的好</w:t>
      </w:r>
      <w:r>
        <w:rPr>
          <w:spacing w:val="-1"/>
        </w:rPr>
        <w:t>处是可以</w:t>
      </w:r>
      <w:r>
        <w:t xml:space="preserve"> </w:t>
      </w:r>
      <w:r>
        <w:rPr>
          <w:spacing w:val="2"/>
        </w:rPr>
        <w:t>同时分析基因组的几乎所有编码区。然而，</w:t>
      </w:r>
      <w:r>
        <w:rPr>
          <w:spacing w:val="2"/>
        </w:rPr>
        <w:t xml:space="preserve"> 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2"/>
        </w:rPr>
        <w:t xml:space="preserve">  </w:t>
      </w:r>
      <w:r>
        <w:rPr>
          <w:spacing w:val="2"/>
        </w:rPr>
        <w:t>仅限于较多基因</w:t>
      </w:r>
      <w:r>
        <w:rPr>
          <w:spacing w:val="1"/>
        </w:rPr>
        <w:t>的编</w:t>
      </w:r>
      <w:r>
        <w:t xml:space="preserve"> </w:t>
      </w:r>
      <w:r>
        <w:rPr>
          <w:spacing w:val="5"/>
        </w:rPr>
        <w:t>码外显子和少数剪切位点碱基，无法检测通常包含于特定靶向</w:t>
      </w:r>
      <w:r>
        <w:rPr>
          <w:spacing w:val="5"/>
        </w:rPr>
        <w:t xml:space="preserve"> </w:t>
      </w:r>
      <w:r>
        <w:rPr>
          <w:rFonts w:ascii="SimSun" w:eastAsia="SimSun" w:hAnsi="SimSun" w:cs="SimSun"/>
        </w:rPr>
        <w:t>panel</w:t>
      </w:r>
      <w:r>
        <w:rPr>
          <w:rFonts w:ascii="SimSun" w:eastAsia="SimSun" w:hAnsi="SimSun" w:cs="SimSun"/>
          <w:spacing w:val="16"/>
        </w:rPr>
        <w:t xml:space="preserve"> </w:t>
      </w:r>
      <w:r>
        <w:rPr>
          <w:spacing w:val="13"/>
        </w:rPr>
        <w:t>的深度内含子变异。此外，捕获对于几个区域(包括感兴趣的基因)</w:t>
      </w:r>
      <w:r>
        <w:rPr>
          <w:spacing w:val="3"/>
        </w:rPr>
        <w:t xml:space="preserve"> </w:t>
      </w:r>
      <w:r>
        <w:rPr>
          <w:spacing w:val="1"/>
        </w:rPr>
        <w:t>可能不是最佳的。尽管靶向</w:t>
      </w:r>
      <w:r>
        <w:rPr>
          <w:spacing w:val="1"/>
        </w:rPr>
        <w:t xml:space="preserve"> </w:t>
      </w:r>
      <w:r>
        <w:rPr>
          <w:rFonts w:ascii="SimSun" w:eastAsia="SimSun" w:hAnsi="SimSun" w:cs="SimSun"/>
        </w:rPr>
        <w:t>panel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spacing w:val="1"/>
        </w:rPr>
        <w:t>和</w:t>
      </w:r>
      <w:r>
        <w:rPr>
          <w:spacing w:val="1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spacing w:val="1"/>
        </w:rPr>
        <w:t>有各自的优点和局限性，但</w:t>
      </w:r>
      <w:r>
        <w:rPr>
          <w:spacing w:val="16"/>
        </w:rPr>
        <w:t xml:space="preserve"> </w:t>
      </w:r>
      <w:r>
        <w:rPr>
          <w:spacing w:val="14"/>
        </w:rPr>
        <w:t>总体结果似乎相似，在大型队列研究中，通常在&gt;50%的病例中发现</w:t>
      </w:r>
      <w:r>
        <w:rPr>
          <w:spacing w:val="14"/>
        </w:rPr>
        <w:t xml:space="preserve"> </w:t>
      </w:r>
      <w:r>
        <w:rPr>
          <w:spacing w:val="4"/>
        </w:rPr>
        <w:t>潜在有意义的分子发现。在这些研究中，基于靶向</w:t>
      </w:r>
      <w:r>
        <w:rPr>
          <w:spacing w:val="4"/>
        </w:rPr>
        <w:t xml:space="preserve"> </w:t>
      </w:r>
      <w:r>
        <w:rPr>
          <w:rFonts w:ascii="SimSun" w:eastAsia="SimSun" w:hAnsi="SimSun" w:cs="SimSun"/>
        </w:rPr>
        <w:t>panel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4"/>
        </w:rPr>
        <w:t>的检测被用</w:t>
      </w:r>
      <w:r>
        <w:t xml:space="preserve"> </w:t>
      </w:r>
      <w:r>
        <w:rPr>
          <w:spacing w:val="5"/>
        </w:rPr>
        <w:t>于很大一部分患者或整个队列，导致相比</w:t>
      </w:r>
      <w:r>
        <w:rPr>
          <w:spacing w:val="5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5"/>
        </w:rPr>
        <w:t>对该方法略</w:t>
      </w:r>
      <w:r>
        <w:rPr>
          <w:spacing w:val="4"/>
        </w:rPr>
        <w:t>有偏倚。此</w:t>
      </w:r>
      <w:r>
        <w:t xml:space="preserve"> </w:t>
      </w:r>
      <w:r>
        <w:rPr>
          <w:spacing w:val="6"/>
        </w:rPr>
        <w:t>外，在许多已发表的研究中，缺乏对用于确定阳性分子诊断的标准的</w:t>
      </w:r>
      <w:r>
        <w:rPr>
          <w:spacing w:val="12"/>
        </w:rPr>
        <w:t xml:space="preserve"> </w:t>
      </w:r>
      <w:r>
        <w:rPr>
          <w:spacing w:val="6"/>
        </w:rPr>
        <w:t>描述，只有少数研究使用标准化变异分类指标或特定证据将这些变异</w:t>
      </w:r>
      <w:r>
        <w:rPr>
          <w:spacing w:val="5"/>
        </w:rPr>
        <w:t xml:space="preserve"> </w:t>
      </w:r>
      <w:r>
        <w:rPr>
          <w:spacing w:val="6"/>
        </w:rPr>
        <w:t>分类为致病性或可能致病性，或确认所识别的变异只是在他们的检测</w:t>
      </w:r>
    </w:p>
    <w:p>
      <w:pPr>
        <w:pStyle w:val="BodyText"/>
        <w:spacing w:before="1" w:line="220" w:lineRule="auto"/>
        <w:ind w:left="13"/>
      </w:pPr>
      <w:r>
        <w:rPr>
          <w:spacing w:val="-2"/>
        </w:rPr>
        <w:t>中鉴定出的罕见良性变异。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13"/>
        <w:jc w:val="both"/>
      </w:pPr>
      <w:r>
        <w:rPr>
          <w:spacing w:val="12"/>
        </w:rPr>
        <w:t>本研究分析了</w:t>
      </w:r>
      <w:r>
        <w:rPr>
          <w:spacing w:val="54"/>
        </w:rPr>
        <w:t xml:space="preserve"> </w:t>
      </w:r>
      <w:r>
        <w:rPr>
          <w:spacing w:val="12"/>
        </w:rPr>
        <w:t>357</w:t>
      </w:r>
      <w:r>
        <w:rPr>
          <w:spacing w:val="91"/>
        </w:rPr>
        <w:t xml:space="preserve"> </w:t>
      </w:r>
      <w:r>
        <w:rPr>
          <w:spacing w:val="12"/>
        </w:rPr>
        <w:t>例连续的视网膜疾病患者的临床实验室</w:t>
      </w:r>
      <w:r>
        <w:rPr>
          <w:spacing w:val="46"/>
        </w:rPr>
        <w:t xml:space="preserve"> </w:t>
      </w:r>
      <w:r>
        <w:rPr>
          <w:rFonts w:ascii="Times New Roman" w:eastAsia="Times New Roman" w:hAnsi="Times New Roman" w:cs="Times New Roman"/>
        </w:rPr>
        <w:t>ES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12"/>
        </w:rPr>
        <w:t>结</w:t>
      </w:r>
      <w:r>
        <w:t xml:space="preserve">  </w:t>
      </w:r>
      <w:r>
        <w:rPr>
          <w:spacing w:val="5"/>
        </w:rPr>
        <w:t>果。这些患者就诊于哥伦比亚大学欧文医学中心</w:t>
      </w:r>
      <w:r>
        <w:rPr>
          <w:rFonts w:ascii="Times New Roman" w:eastAsia="Times New Roman" w:hAnsi="Times New Roman" w:cs="Times New Roman"/>
          <w:spacing w:val="5"/>
        </w:rPr>
        <w:t>(</w:t>
      </w:r>
      <w:r>
        <w:rPr>
          <w:rFonts w:ascii="Times New Roman" w:eastAsia="Times New Roman" w:hAnsi="Times New Roman" w:cs="Times New Roman"/>
        </w:rPr>
        <w:t>CUIMC</w:t>
      </w:r>
      <w:r>
        <w:rPr>
          <w:rFonts w:ascii="Times New Roman" w:eastAsia="Times New Roman" w:hAnsi="Times New Roman" w:cs="Times New Roman"/>
          <w:spacing w:val="4"/>
        </w:rPr>
        <w:t xml:space="preserve">)   </w:t>
      </w:r>
      <w:r>
        <w:rPr>
          <w:spacing w:val="4"/>
        </w:rPr>
        <w:t>眼科诊所，</w:t>
      </w:r>
      <w:r>
        <w:t xml:space="preserve"> </w:t>
      </w:r>
      <w:r>
        <w:rPr>
          <w:spacing w:val="2"/>
        </w:rPr>
        <w:t>并在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</w:rPr>
        <w:t>CUIMC</w:t>
      </w:r>
      <w:r>
        <w:rPr>
          <w:rFonts w:ascii="SimSun" w:eastAsia="SimSun" w:hAnsi="SimSun" w:cs="SimSun"/>
          <w:spacing w:val="2"/>
        </w:rPr>
        <w:t xml:space="preserve">  </w:t>
      </w:r>
      <w:r>
        <w:rPr>
          <w:spacing w:val="2"/>
        </w:rPr>
        <w:t>个体化基因组医学实验室进行了临床</w:t>
      </w:r>
      <w:r>
        <w:rPr>
          <w:spacing w:val="-29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spacing w:val="2"/>
        </w:rPr>
        <w:t>检测。基于美国</w:t>
      </w:r>
      <w:r>
        <w:t xml:space="preserve">  </w:t>
      </w:r>
      <w:r>
        <w:rPr>
          <w:spacing w:val="6"/>
        </w:rPr>
        <w:t>医学遗传学和基因组学学会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(</w:t>
      </w:r>
      <w:r>
        <w:rPr>
          <w:rFonts w:ascii="Times New Roman" w:eastAsia="Times New Roman" w:hAnsi="Times New Roman" w:cs="Times New Roman"/>
        </w:rPr>
        <w:t>ACMG</w:t>
      </w:r>
      <w:r>
        <w:rPr>
          <w:rFonts w:ascii="Times New Roman" w:eastAsia="Times New Roman" w:hAnsi="Times New Roman" w:cs="Times New Roman"/>
          <w:spacing w:val="6"/>
        </w:rPr>
        <w:t xml:space="preserve">)    </w:t>
      </w:r>
      <w:r>
        <w:rPr>
          <w:spacing w:val="6"/>
        </w:rPr>
        <w:t>的变异解读指南，对在这些患</w:t>
      </w:r>
    </w:p>
    <w:p>
      <w:pPr>
        <w:pStyle w:val="BodyText"/>
        <w:spacing w:before="1" w:line="220" w:lineRule="auto"/>
        <w:ind w:left="13"/>
      </w:pPr>
      <w:r>
        <w:rPr>
          <w:spacing w:val="1"/>
        </w:rPr>
        <w:t>者中发现的变异进行了整理和解读。</w:t>
      </w:r>
    </w:p>
    <w:p>
      <w:pPr>
        <w:pStyle w:val="BodyText"/>
        <w:spacing w:before="313" w:line="222" w:lineRule="auto"/>
        <w:ind w:left="17"/>
      </w:pPr>
      <w:r>
        <w:rPr>
          <w:b/>
          <w:bCs/>
          <w:spacing w:val="-5"/>
        </w:rPr>
        <w:t>研究结果</w:t>
      </w:r>
    </w:p>
    <w:p>
      <w:pPr>
        <w:pStyle w:val="BodyText"/>
        <w:spacing w:before="294" w:line="221" w:lineRule="auto"/>
        <w:ind w:left="17"/>
      </w:pPr>
      <w:r>
        <w:rPr>
          <w:b/>
          <w:bCs/>
          <w:spacing w:val="-1"/>
        </w:rPr>
        <w:t>人口统计特征</w:t>
      </w:r>
    </w:p>
    <w:p>
      <w:pPr>
        <w:pStyle w:val="BodyText"/>
        <w:spacing w:before="327" w:line="609" w:lineRule="exact"/>
        <w:ind w:left="17"/>
      </w:pPr>
      <w:r>
        <w:rPr>
          <w:b/>
          <w:bCs/>
          <w:spacing w:val="26"/>
          <w:position w:val="25"/>
        </w:rPr>
        <w:t>本研究纳入了2012</w:t>
      </w:r>
      <w:r>
        <w:rPr>
          <w:spacing w:val="26"/>
          <w:position w:val="25"/>
        </w:rPr>
        <w:t xml:space="preserve"> </w:t>
      </w:r>
      <w:r>
        <w:rPr>
          <w:b/>
          <w:bCs/>
          <w:spacing w:val="26"/>
          <w:position w:val="25"/>
        </w:rPr>
        <w:t>年至2018</w:t>
      </w:r>
      <w:r>
        <w:rPr>
          <w:spacing w:val="26"/>
          <w:position w:val="25"/>
        </w:rPr>
        <w:t xml:space="preserve"> </w:t>
      </w:r>
      <w:r>
        <w:rPr>
          <w:b/>
          <w:bCs/>
          <w:spacing w:val="26"/>
          <w:position w:val="25"/>
        </w:rPr>
        <w:t>年在我们实验室检测的357</w:t>
      </w:r>
      <w:r>
        <w:rPr>
          <w:spacing w:val="26"/>
          <w:position w:val="25"/>
        </w:rPr>
        <w:t xml:space="preserve"> </w:t>
      </w:r>
      <w:r>
        <w:rPr>
          <w:b/>
          <w:bCs/>
          <w:spacing w:val="26"/>
          <w:position w:val="25"/>
        </w:rPr>
        <w:t>例连</w:t>
      </w:r>
    </w:p>
    <w:p>
      <w:pPr>
        <w:pStyle w:val="BodyText"/>
        <w:spacing w:before="2" w:line="220" w:lineRule="auto"/>
        <w:ind w:left="17"/>
      </w:pPr>
      <w:r>
        <w:rPr>
          <w:b/>
          <w:bCs/>
          <w:spacing w:val="4"/>
        </w:rPr>
        <w:t>续的无亲缘关系的视网膜变性先证者。</w:t>
      </w:r>
      <w:r>
        <w:rPr>
          <w:spacing w:val="4"/>
        </w:rPr>
        <w:t>大多数</w:t>
      </w:r>
      <w:r>
        <w:rPr>
          <w:spacing w:val="4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4"/>
        </w:rPr>
        <w:t xml:space="preserve"> </w:t>
      </w:r>
      <w:r>
        <w:rPr>
          <w:spacing w:val="4"/>
        </w:rPr>
        <w:t>样本作为单人提交</w:t>
      </w:r>
    </w:p>
    <w:p>
      <w:pPr>
        <w:spacing w:line="220" w:lineRule="auto"/>
        <w:sectPr>
          <w:pgSz w:w="11910" w:h="16840"/>
          <w:pgMar w:top="1431" w:right="1674" w:bottom="0" w:left="1786" w:header="0" w:footer="0" w:gutter="0"/>
          <w:pgNumType w:start="3"/>
          <w:cols w:space="708"/>
        </w:sectPr>
      </w:pPr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1142973</wp:posOffset>
            </wp:positionH>
            <wp:positionV relativeFrom="page">
              <wp:posOffset>2959077</wp:posOffset>
            </wp:positionV>
            <wp:extent cx="1498654" cy="150498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8654" cy="1504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2876529</wp:posOffset>
            </wp:positionH>
            <wp:positionV relativeFrom="page">
              <wp:posOffset>5575324</wp:posOffset>
            </wp:positionV>
            <wp:extent cx="127055" cy="15869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55" cy="158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4" w:line="435" w:lineRule="auto"/>
        <w:ind w:left="13" w:right="85" w:firstLine="100"/>
        <w:jc w:val="both"/>
        <w:rPr>
          <w:sz w:val="26"/>
          <w:szCs w:val="26"/>
        </w:rPr>
      </w:pPr>
      <w:r>
        <w:rPr>
          <w:spacing w:val="28"/>
          <w:sz w:val="26"/>
          <w:szCs w:val="26"/>
        </w:rPr>
        <w:t>(73</w:t>
      </w:r>
      <w:r>
        <w:rPr>
          <w:spacing w:val="-77"/>
          <w:sz w:val="26"/>
          <w:szCs w:val="26"/>
        </w:rPr>
        <w:t xml:space="preserve"> </w:t>
      </w:r>
      <w:r>
        <w:rPr>
          <w:spacing w:val="28"/>
          <w:sz w:val="26"/>
          <w:szCs w:val="26"/>
        </w:rPr>
        <w:t>.6%,263/357)。包括父母双方的一家三口占6</w:t>
      </w:r>
      <w:r>
        <w:rPr>
          <w:spacing w:val="-77"/>
          <w:sz w:val="26"/>
          <w:szCs w:val="26"/>
        </w:rPr>
        <w:t xml:space="preserve"> </w:t>
      </w:r>
      <w:r>
        <w:rPr>
          <w:spacing w:val="28"/>
          <w:sz w:val="26"/>
          <w:szCs w:val="26"/>
        </w:rPr>
        <w:t>.2%(22/357),</w:t>
      </w:r>
      <w:r>
        <w:rPr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包括父母一方的二人占10.6%(38/357)。</w:t>
      </w:r>
      <w:r>
        <w:rPr>
          <w:spacing w:val="75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一</w:t>
      </w:r>
      <w:r>
        <w:rPr>
          <w:spacing w:val="19"/>
          <w:sz w:val="26"/>
          <w:szCs w:val="26"/>
        </w:rPr>
        <w:t>部分二人病例后续提交</w:t>
      </w:r>
      <w:r>
        <w:rPr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了额外的患病或未患病的非父母一级或二级亲属样本，以确定遗传或</w:t>
      </w:r>
      <w:r>
        <w:rPr>
          <w:spacing w:val="15"/>
          <w:sz w:val="26"/>
          <w:szCs w:val="26"/>
        </w:rPr>
        <w:t xml:space="preserve"> </w:t>
      </w:r>
      <w:r>
        <w:rPr>
          <w:spacing w:val="31"/>
          <w:sz w:val="26"/>
          <w:szCs w:val="26"/>
        </w:rPr>
        <w:t>阐明报告的结果。其余病例(34/357;9</w:t>
      </w:r>
      <w:r>
        <w:rPr>
          <w:spacing w:val="-61"/>
          <w:sz w:val="26"/>
          <w:szCs w:val="26"/>
        </w:rPr>
        <w:t xml:space="preserve"> </w:t>
      </w:r>
      <w:r>
        <w:rPr>
          <w:spacing w:val="31"/>
          <w:sz w:val="26"/>
          <w:szCs w:val="26"/>
        </w:rPr>
        <w:t>.5%)提交了患病或未患病</w:t>
      </w:r>
    </w:p>
    <w:p>
      <w:pPr>
        <w:pStyle w:val="BodyText"/>
        <w:spacing w:line="212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20"/>
          <w:sz w:val="26"/>
          <w:szCs w:val="26"/>
        </w:rPr>
        <w:t>的非父母一级亲属样本，主要为先证者的兄弟姐妹或子女(图</w:t>
      </w:r>
      <w:r>
        <w:rPr>
          <w:spacing w:val="19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>A)</w:t>
      </w:r>
      <w:r>
        <w:rPr>
          <w:rFonts w:ascii="SimSun" w:eastAsia="SimSun" w:hAnsi="SimSun" w:cs="SimSun"/>
          <w:spacing w:val="19"/>
          <w:sz w:val="26"/>
          <w:szCs w:val="26"/>
        </w:rPr>
        <w:t>。</w:t>
      </w:r>
    </w:p>
    <w:p>
      <w:pPr>
        <w:spacing w:line="194" w:lineRule="exact"/>
      </w:pPr>
    </w:p>
    <w:p>
      <w:pPr>
        <w:spacing w:line="194" w:lineRule="exact"/>
        <w:sectPr>
          <w:headerReference w:type="default" r:id="rId6"/>
          <w:pgSz w:w="11910" w:h="16840"/>
          <w:pgMar w:top="400" w:right="1648" w:bottom="0" w:left="1786" w:header="0" w:footer="0" w:gutter="0"/>
          <w:pgNumType w:start="4"/>
          <w:cols w:num="1" w:space="708" w:equalWidth="0">
            <w:col w:w="8475" w:space="0"/>
          </w:cols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37" w:line="196" w:lineRule="auto"/>
        <w:ind w:left="2673"/>
        <w:rPr>
          <w:rFonts w:ascii="Arial" w:eastAsia="Arial" w:hAnsi="Arial" w:cs="Arial"/>
          <w:sz w:val="13"/>
          <w:szCs w:val="1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75pt;height:9.25pt;margin-top:-43.81pt;margin-left:3.67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1"/>
          <w:sz w:val="13"/>
          <w:szCs w:val="13"/>
        </w:rPr>
        <w:t>Trio</w:t>
      </w:r>
    </w:p>
    <w:p>
      <w:pPr>
        <w:spacing w:before="81" w:line="178" w:lineRule="exact"/>
        <w:ind w:left="262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position w:val="2"/>
          <w:sz w:val="13"/>
          <w:szCs w:val="13"/>
        </w:rPr>
        <w:t>Proband</w:t>
      </w:r>
      <w:r>
        <w:rPr>
          <w:rFonts w:ascii="Arial" w:eastAsia="Arial" w:hAnsi="Arial" w:cs="Arial"/>
          <w:spacing w:val="2"/>
          <w:position w:val="2"/>
          <w:sz w:val="13"/>
          <w:szCs w:val="13"/>
        </w:rPr>
        <w:t xml:space="preserve">    </w:t>
      </w:r>
      <w:r>
        <w:rPr>
          <w:rFonts w:ascii="Arial" w:eastAsia="Arial" w:hAnsi="Arial" w:cs="Arial"/>
          <w:spacing w:val="-1"/>
          <w:position w:val="2"/>
          <w:sz w:val="13"/>
          <w:szCs w:val="13"/>
        </w:rPr>
        <w:t>(singleton)</w:t>
      </w:r>
    </w:p>
    <w:p>
      <w:pPr>
        <w:spacing w:before="73" w:line="177" w:lineRule="exact"/>
        <w:ind w:left="263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2"/>
          <w:position w:val="2"/>
          <w:sz w:val="13"/>
          <w:szCs w:val="13"/>
        </w:rPr>
        <w:t>Proband</w:t>
      </w:r>
      <w:r>
        <w:rPr>
          <w:rFonts w:ascii="Arial" w:eastAsia="Arial" w:hAnsi="Arial" w:cs="Arial"/>
          <w:spacing w:val="12"/>
          <w:w w:val="101"/>
          <w:position w:val="2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2"/>
          <w:position w:val="2"/>
          <w:sz w:val="13"/>
          <w:szCs w:val="13"/>
        </w:rPr>
        <w:t>&amp;family</w:t>
      </w:r>
      <w:r>
        <w:rPr>
          <w:rFonts w:ascii="Arial" w:eastAsia="Arial" w:hAnsi="Arial" w:cs="Arial"/>
          <w:spacing w:val="7"/>
          <w:position w:val="2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2"/>
          <w:position w:val="2"/>
          <w:sz w:val="13"/>
          <w:szCs w:val="13"/>
        </w:rPr>
        <w:t>members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46" w:line="175" w:lineRule="auto"/>
        <w:ind w:left="182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C</w:t>
      </w:r>
    </w:p>
    <w:p>
      <w:pPr>
        <w:spacing w:line="182" w:lineRule="auto"/>
        <w:ind w:left="3633"/>
        <w:rPr>
          <w:rFonts w:ascii="SimSun" w:eastAsia="SimSun" w:hAnsi="SimSun" w:cs="SimSun"/>
          <w:sz w:val="13"/>
          <w:szCs w:val="13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1405555</wp:posOffset>
            </wp:positionH>
            <wp:positionV relativeFrom="paragraph">
              <wp:posOffset>-313182</wp:posOffset>
            </wp:positionV>
            <wp:extent cx="1416067" cy="139698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6067" cy="1396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545FAA"/>
          <w:spacing w:val="-1"/>
          <w:sz w:val="13"/>
          <w:szCs w:val="13"/>
        </w:rPr>
        <w:t>84,24%</w:t>
      </w:r>
    </w:p>
    <w:p>
      <w:pPr>
        <w:spacing w:before="191" w:line="184" w:lineRule="auto"/>
        <w:ind w:left="2383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color w:val="2F3EC7"/>
          <w:spacing w:val="-2"/>
          <w:sz w:val="13"/>
          <w:szCs w:val="13"/>
        </w:rPr>
        <w:t>132,37%</w:t>
      </w:r>
    </w:p>
    <w:p>
      <w:pPr>
        <w:spacing w:before="196" w:line="183" w:lineRule="auto"/>
        <w:ind w:left="3843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color w:val="7B5495"/>
          <w:spacing w:val="-10"/>
          <w:sz w:val="16"/>
          <w:szCs w:val="16"/>
        </w:rPr>
        <w:t>22,6%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43" w:line="183" w:lineRule="auto"/>
        <w:ind w:left="3243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color w:val="2D28AC"/>
          <w:spacing w:val="-1"/>
          <w:sz w:val="13"/>
          <w:szCs w:val="13"/>
        </w:rPr>
        <w:t>98,27%</w:t>
      </w:r>
    </w:p>
    <w:p>
      <w:pPr>
        <w:spacing w:line="167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7" w:line="196" w:lineRule="auto"/>
        <w:ind w:left="330"/>
        <w:rPr>
          <w:rFonts w:ascii="Arial" w:eastAsia="Arial" w:hAnsi="Arial" w:cs="Arial"/>
          <w:sz w:val="16"/>
          <w:szCs w:val="1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21609</wp:posOffset>
            </wp:positionV>
            <wp:extent cx="1530342" cy="156209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30342" cy="1562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16"/>
          <w:szCs w:val="16"/>
        </w:rPr>
        <w:t>B</w:t>
      </w:r>
    </w:p>
    <w:p>
      <w:pPr>
        <w:spacing w:before="19" w:line="177" w:lineRule="auto"/>
        <w:ind w:left="21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-3"/>
          <w:sz w:val="13"/>
          <w:szCs w:val="13"/>
        </w:rPr>
        <w:t>13,4%</w:t>
      </w:r>
    </w:p>
    <w:p>
      <w:pPr>
        <w:spacing w:line="183" w:lineRule="auto"/>
        <w:ind w:left="80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color w:val="7589CC"/>
          <w:spacing w:val="-13"/>
          <w:sz w:val="16"/>
          <w:szCs w:val="16"/>
        </w:rPr>
        <w:t>27.7%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43" w:line="183" w:lineRule="auto"/>
        <w:ind w:left="33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color w:val="302CB2"/>
          <w:spacing w:val="-2"/>
          <w:sz w:val="13"/>
          <w:szCs w:val="13"/>
        </w:rPr>
        <w:t>32,9%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43" w:line="184" w:lineRule="auto"/>
        <w:ind w:left="1569"/>
        <w:rPr>
          <w:rFonts w:ascii="SimSun" w:eastAsia="SimSun" w:hAnsi="SimSun" w:cs="SimSun"/>
          <w:sz w:val="13"/>
          <w:szCs w:val="13"/>
        </w:rPr>
      </w:pPr>
      <w:r>
        <w:pict>
          <v:shape id="_x0000_s1026" type="#_x0000_t202" style="width:21.1pt;height:8.45pt;margin-top:0.19pt;margin-left:15.5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SimSun" w:eastAsia="SimSun" w:hAnsi="SimSun" w:cs="SimSun"/>
                      <w:sz w:val="13"/>
                      <w:szCs w:val="13"/>
                    </w:rPr>
                  </w:pPr>
                  <w:r>
                    <w:rPr>
                      <w:rFonts w:ascii="SimSun" w:eastAsia="SimSun" w:hAnsi="SimSun" w:cs="SimSun"/>
                      <w:color w:val="9369B4"/>
                      <w:spacing w:val="-2"/>
                      <w:sz w:val="13"/>
                      <w:szCs w:val="13"/>
                    </w:rPr>
                    <w:t>72,20%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232DB1"/>
          <w:spacing w:val="-1"/>
          <w:sz w:val="13"/>
          <w:szCs w:val="13"/>
        </w:rPr>
        <w:t>213,60%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46" w:line="196" w:lineRule="auto"/>
        <w:ind w:left="60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9"/>
          <w:sz w:val="16"/>
          <w:szCs w:val="16"/>
        </w:rPr>
        <w:t>■Molecular Diagnosis</w:t>
      </w:r>
    </w:p>
    <w:p>
      <w:pPr>
        <w:spacing w:before="178" w:line="196" w:lineRule="auto"/>
        <w:ind w:left="60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sz w:val="13"/>
          <w:szCs w:val="13"/>
        </w:rPr>
        <w:t>■Likely</w:t>
      </w:r>
      <w:r>
        <w:rPr>
          <w:rFonts w:ascii="Arial" w:eastAsia="Arial" w:hAnsi="Arial" w:cs="Arial"/>
          <w:spacing w:val="13"/>
          <w:w w:val="102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>Molecular</w:t>
      </w:r>
      <w:r>
        <w:rPr>
          <w:rFonts w:ascii="Arial" w:eastAsia="Arial" w:hAnsi="Arial" w:cs="Arial"/>
          <w:spacing w:val="12"/>
          <w:w w:val="102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>Diagno</w:t>
      </w:r>
      <w:r>
        <w:rPr>
          <w:rFonts w:ascii="Arial" w:eastAsia="Arial" w:hAnsi="Arial" w:cs="Arial"/>
          <w:spacing w:val="-2"/>
          <w:sz w:val="13"/>
          <w:szCs w:val="13"/>
        </w:rPr>
        <w:t>sis</w:t>
      </w:r>
    </w:p>
    <w:p>
      <w:pPr>
        <w:spacing w:before="148" w:line="196" w:lineRule="auto"/>
        <w:ind w:left="60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sz w:val="13"/>
          <w:szCs w:val="13"/>
        </w:rPr>
        <w:t>■Possible</w:t>
      </w:r>
      <w:r>
        <w:rPr>
          <w:rFonts w:ascii="Arial" w:eastAsia="Arial" w:hAnsi="Arial" w:cs="Arial"/>
          <w:spacing w:val="11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>Molecular</w:t>
      </w:r>
      <w:r>
        <w:rPr>
          <w:rFonts w:ascii="Arial" w:eastAsia="Arial" w:hAnsi="Arial" w:cs="Arial"/>
          <w:spacing w:val="10"/>
          <w:w w:val="102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>Diagnosis</w:t>
      </w:r>
    </w:p>
    <w:p>
      <w:pPr>
        <w:spacing w:before="213" w:line="285" w:lineRule="exact"/>
        <w:ind w:left="71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position w:val="13"/>
          <w:sz w:val="13"/>
          <w:szCs w:val="13"/>
        </w:rPr>
        <w:t>Carriers</w:t>
      </w:r>
    </w:p>
    <w:p>
      <w:pPr>
        <w:spacing w:before="1" w:line="195" w:lineRule="auto"/>
        <w:ind w:left="73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2"/>
          <w:sz w:val="13"/>
          <w:szCs w:val="13"/>
        </w:rPr>
        <w:t>Negative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37" w:line="362" w:lineRule="auto"/>
        <w:ind w:left="11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sz w:val="13"/>
          <w:szCs w:val="13"/>
        </w:rPr>
        <w:t>Rod-cone</w:t>
      </w:r>
      <w:r>
        <w:rPr>
          <w:rFonts w:ascii="Arial" w:eastAsia="Arial" w:hAnsi="Arial" w:cs="Arial"/>
          <w:spacing w:val="3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1"/>
          <w:sz w:val="13"/>
          <w:szCs w:val="13"/>
        </w:rPr>
        <w:t>dystrophy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spacing w:val="-1"/>
          <w:sz w:val="13"/>
          <w:szCs w:val="13"/>
        </w:rPr>
        <w:t>Macular</w:t>
      </w:r>
      <w:r>
        <w:rPr>
          <w:rFonts w:ascii="Arial" w:eastAsia="Arial" w:hAnsi="Arial" w:cs="Arial"/>
          <w:spacing w:val="7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1"/>
          <w:sz w:val="13"/>
          <w:szCs w:val="13"/>
        </w:rPr>
        <w:t>dystrophy</w:t>
      </w:r>
      <w:r>
        <w:rPr>
          <w:rFonts w:ascii="Arial" w:eastAsia="Arial" w:hAnsi="Arial" w:cs="Arial"/>
          <w:sz w:val="13"/>
          <w:szCs w:val="13"/>
        </w:rPr>
        <w:t xml:space="preserve">    </w:t>
      </w:r>
      <w:r>
        <w:rPr>
          <w:rFonts w:ascii="Arial" w:eastAsia="Arial" w:hAnsi="Arial" w:cs="Arial"/>
          <w:spacing w:val="-1"/>
          <w:sz w:val="13"/>
          <w:szCs w:val="13"/>
        </w:rPr>
        <w:t>Cone-rod</w:t>
      </w:r>
      <w:r>
        <w:rPr>
          <w:rFonts w:ascii="Arial" w:eastAsia="Arial" w:hAnsi="Arial" w:cs="Arial"/>
          <w:spacing w:val="19"/>
          <w:w w:val="102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>dystrophy</w:t>
      </w:r>
    </w:p>
    <w:p>
      <w:pPr>
        <w:spacing w:before="42" w:line="335" w:lineRule="exac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position w:val="15"/>
          <w:sz w:val="13"/>
          <w:szCs w:val="13"/>
        </w:rPr>
        <w:t>■Cone   dystrophy</w:t>
      </w:r>
    </w:p>
    <w:p>
      <w:pPr>
        <w:spacing w:line="198" w:lineRule="auto"/>
        <w:ind w:left="11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sz w:val="13"/>
          <w:szCs w:val="13"/>
        </w:rPr>
        <w:t>Other cases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9"/>
          <w:type w:val="continuous"/>
          <w:pgSz w:w="11910" w:h="16840"/>
          <w:pgMar w:top="400" w:right="1648" w:bottom="0" w:left="1786" w:header="0" w:footer="0" w:gutter="0"/>
          <w:pgNumType w:start="5"/>
          <w:cols w:num="3" w:space="708" w:equalWidth="0">
            <w:col w:w="4444" w:space="70"/>
            <w:col w:w="2520" w:space="100"/>
            <w:col w:w="1342" w:space="0"/>
          </w:cols>
        </w:sectPr>
      </w:pPr>
    </w:p>
    <w:p>
      <w:pPr>
        <w:spacing w:before="143" w:line="248" w:lineRule="auto"/>
        <w:ind w:left="1503" w:right="162" w:firstLine="1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Figure</w:t>
      </w:r>
      <w:r>
        <w:rPr>
          <w:rFonts w:ascii="Times New Roman" w:eastAsia="Times New Roman" w:hAnsi="Times New Roman" w:cs="Times New Roman"/>
          <w:spacing w:val="2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1.(A)Samples</w:t>
      </w:r>
      <w:r>
        <w:rPr>
          <w:rFonts w:ascii="Times New Roman" w:eastAsia="Times New Roman" w:hAnsi="Times New Roman" w:cs="Times New Roman"/>
          <w:spacing w:val="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sent for clinical ES testing,(B)phenotypes seen</w:t>
      </w:r>
      <w:r>
        <w:rPr>
          <w:rFonts w:ascii="Times New Roman" w:eastAsia="Times New Roman" w:hAnsi="Times New Roman" w:cs="Times New Roman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in the</w:t>
      </w:r>
      <w:r>
        <w:rPr>
          <w:rFonts w:ascii="Times New Roman" w:eastAsia="Times New Roman" w:hAnsi="Times New Roman" w:cs="Times New Roman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cohort,(C)categorization</w:t>
      </w:r>
      <w:r>
        <w:rPr>
          <w:rFonts w:ascii="Times New Roman" w:eastAsia="Times New Roman" w:hAnsi="Times New Roman" w:cs="Times New Roman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of</w:t>
      </w:r>
      <w:r>
        <w:rPr>
          <w:rFonts w:ascii="Times New Roman" w:eastAsia="Times New Roman" w:hAnsi="Times New Roman" w:cs="Times New Roman"/>
          <w:spacing w:val="-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ES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results.</w:t>
      </w:r>
    </w:p>
    <w:p>
      <w:pPr>
        <w:pStyle w:val="BodyText"/>
        <w:spacing w:before="296" w:line="222" w:lineRule="auto"/>
        <w:ind w:left="3913"/>
        <w:rPr>
          <w:sz w:val="21"/>
          <w:szCs w:val="21"/>
        </w:rPr>
      </w:pPr>
      <w:r>
        <w:rPr>
          <w:spacing w:val="-11"/>
          <w:sz w:val="21"/>
          <w:szCs w:val="21"/>
        </w:rPr>
        <w:t>图</w:t>
      </w:r>
      <w:r>
        <w:rPr>
          <w:spacing w:val="3"/>
          <w:sz w:val="21"/>
          <w:szCs w:val="21"/>
        </w:rPr>
        <w:t xml:space="preserve">  </w:t>
      </w:r>
      <w:r>
        <w:rPr>
          <w:spacing w:val="-11"/>
          <w:sz w:val="21"/>
          <w:szCs w:val="21"/>
        </w:rPr>
        <w:t>1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5" w:line="630" w:lineRule="exact"/>
        <w:ind w:left="13"/>
        <w:rPr>
          <w:sz w:val="26"/>
          <w:szCs w:val="26"/>
        </w:rPr>
      </w:pPr>
      <w:r>
        <w:rPr>
          <w:spacing w:val="39"/>
          <w:position w:val="29"/>
          <w:sz w:val="26"/>
          <w:szCs w:val="26"/>
        </w:rPr>
        <w:t>在357例先证者中，182例(50</w:t>
      </w:r>
      <w:r>
        <w:rPr>
          <w:spacing w:val="-58"/>
          <w:position w:val="29"/>
          <w:sz w:val="26"/>
          <w:szCs w:val="26"/>
        </w:rPr>
        <w:t xml:space="preserve"> </w:t>
      </w:r>
      <w:r>
        <w:rPr>
          <w:spacing w:val="39"/>
          <w:position w:val="29"/>
          <w:sz w:val="26"/>
          <w:szCs w:val="26"/>
        </w:rPr>
        <w:t>.9%)为男性，175例(49</w:t>
      </w:r>
      <w:r>
        <w:rPr>
          <w:spacing w:val="-64"/>
          <w:position w:val="29"/>
          <w:sz w:val="26"/>
          <w:szCs w:val="26"/>
        </w:rPr>
        <w:t xml:space="preserve"> </w:t>
      </w:r>
      <w:r>
        <w:rPr>
          <w:spacing w:val="39"/>
          <w:position w:val="29"/>
          <w:sz w:val="26"/>
          <w:szCs w:val="26"/>
        </w:rPr>
        <w:t>.</w:t>
      </w:r>
      <w:r>
        <w:rPr>
          <w:spacing w:val="-60"/>
          <w:position w:val="29"/>
          <w:sz w:val="26"/>
          <w:szCs w:val="26"/>
        </w:rPr>
        <w:t xml:space="preserve"> </w:t>
      </w:r>
      <w:r>
        <w:rPr>
          <w:spacing w:val="39"/>
          <w:position w:val="29"/>
          <w:sz w:val="26"/>
          <w:szCs w:val="26"/>
        </w:rPr>
        <w:t>1%)为</w:t>
      </w:r>
    </w:p>
    <w:p>
      <w:pPr>
        <w:pStyle w:val="BodyText"/>
        <w:spacing w:before="1" w:line="212" w:lineRule="auto"/>
        <w:ind w:left="13"/>
        <w:rPr>
          <w:sz w:val="26"/>
          <w:szCs w:val="26"/>
        </w:rPr>
      </w:pPr>
      <w:r>
        <w:rPr>
          <w:spacing w:val="21"/>
          <w:sz w:val="26"/>
          <w:szCs w:val="26"/>
        </w:rPr>
        <w:t>女性。检测时患者的年龄从3个月到92岁不等，中位年龄为52</w:t>
      </w:r>
      <w:r>
        <w:rPr>
          <w:spacing w:val="20"/>
          <w:sz w:val="26"/>
          <w:szCs w:val="26"/>
        </w:rPr>
        <w:t>.5岁。</w:t>
      </w:r>
    </w:p>
    <w:p>
      <w:pPr>
        <w:spacing w:line="249" w:lineRule="auto"/>
        <w:rPr>
          <w:rFonts w:ascii="Arial"/>
          <w:sz w:val="21"/>
        </w:rPr>
        <w:sectPr>
          <w:headerReference w:type="default" r:id="rId10"/>
          <w:type w:val="continuous"/>
          <w:pgSz w:w="11910" w:h="16840"/>
          <w:pgMar w:top="400" w:right="1648" w:bottom="0" w:left="1786" w:header="0" w:footer="0" w:gutter="0"/>
          <w:pgNumType w:start="6"/>
          <w:cols w:num="1" w:space="708" w:equalWidth="0">
            <w:col w:w="8475" w:space="0"/>
          </w:cols>
        </w:sectPr>
      </w:pPr>
    </w:p>
    <w:p>
      <w:pPr>
        <w:pStyle w:val="BodyText"/>
        <w:spacing w:before="85" w:line="443" w:lineRule="auto"/>
        <w:ind w:left="17" w:right="186"/>
        <w:jc w:val="both"/>
        <w:rPr>
          <w:sz w:val="26"/>
          <w:szCs w:val="26"/>
        </w:rPr>
      </w:pPr>
      <w:r>
        <w:rPr>
          <w:b/>
          <w:bCs/>
          <w:spacing w:val="49"/>
          <w:sz w:val="26"/>
          <w:szCs w:val="26"/>
        </w:rPr>
        <w:t>大多数病例的临床诊断为视杆视锥细胞营养不良</w:t>
      </w:r>
      <w:r>
        <w:rPr>
          <w:b/>
          <w:bCs/>
          <w:spacing w:val="48"/>
          <w:sz w:val="26"/>
          <w:szCs w:val="26"/>
        </w:rPr>
        <w:t>(213/357;</w:t>
      </w:r>
      <w:r>
        <w:rPr>
          <w:spacing w:val="48"/>
          <w:sz w:val="26"/>
          <w:szCs w:val="26"/>
        </w:rPr>
        <w:t xml:space="preserve"> </w:t>
      </w:r>
      <w:r>
        <w:rPr>
          <w:b/>
          <w:bCs/>
          <w:spacing w:val="31"/>
          <w:sz w:val="26"/>
          <w:szCs w:val="26"/>
        </w:rPr>
        <w:t>59</w:t>
      </w:r>
      <w:r>
        <w:rPr>
          <w:spacing w:val="-66"/>
          <w:sz w:val="26"/>
          <w:szCs w:val="26"/>
        </w:rPr>
        <w:t xml:space="preserve"> </w:t>
      </w:r>
      <w:r>
        <w:rPr>
          <w:b/>
          <w:bCs/>
          <w:spacing w:val="31"/>
          <w:sz w:val="26"/>
          <w:szCs w:val="26"/>
        </w:rPr>
        <w:t>.6%),其次是黄斑营养不良(72/357;20</w:t>
      </w:r>
      <w:r>
        <w:rPr>
          <w:spacing w:val="-71"/>
          <w:sz w:val="26"/>
          <w:szCs w:val="26"/>
        </w:rPr>
        <w:t xml:space="preserve"> </w:t>
      </w:r>
      <w:r>
        <w:rPr>
          <w:b/>
          <w:bCs/>
          <w:spacing w:val="31"/>
          <w:sz w:val="26"/>
          <w:szCs w:val="26"/>
        </w:rPr>
        <w:t>.2%)、视锥视杆细胞</w:t>
      </w:r>
      <w:r>
        <w:rPr>
          <w:sz w:val="26"/>
          <w:szCs w:val="26"/>
        </w:rPr>
        <w:t xml:space="preserve"> </w:t>
      </w:r>
      <w:r>
        <w:rPr>
          <w:b/>
          <w:bCs/>
          <w:spacing w:val="33"/>
          <w:sz w:val="26"/>
          <w:szCs w:val="26"/>
        </w:rPr>
        <w:t>营养不良(32/357;9</w:t>
      </w:r>
      <w:r>
        <w:rPr>
          <w:spacing w:val="-70"/>
          <w:sz w:val="26"/>
          <w:szCs w:val="26"/>
        </w:rPr>
        <w:t xml:space="preserve"> </w:t>
      </w:r>
      <w:r>
        <w:rPr>
          <w:b/>
          <w:bCs/>
          <w:spacing w:val="33"/>
          <w:sz w:val="26"/>
          <w:szCs w:val="26"/>
        </w:rPr>
        <w:t>.0%)、“其他”(27/357;7</w:t>
      </w:r>
      <w:r>
        <w:rPr>
          <w:spacing w:val="-69"/>
          <w:sz w:val="26"/>
          <w:szCs w:val="26"/>
        </w:rPr>
        <w:t xml:space="preserve"> </w:t>
      </w:r>
      <w:r>
        <w:rPr>
          <w:b/>
          <w:bCs/>
          <w:spacing w:val="33"/>
          <w:sz w:val="26"/>
          <w:szCs w:val="26"/>
        </w:rPr>
        <w:t>.5%</w:t>
      </w:r>
      <w:r>
        <w:rPr>
          <w:b/>
          <w:bCs/>
          <w:spacing w:val="32"/>
          <w:sz w:val="26"/>
          <w:szCs w:val="26"/>
        </w:rPr>
        <w:t>)和视锥细</w:t>
      </w:r>
    </w:p>
    <w:p>
      <w:pPr>
        <w:pStyle w:val="BodyText"/>
        <w:spacing w:before="2" w:line="220" w:lineRule="auto"/>
        <w:ind w:left="17"/>
        <w:rPr>
          <w:rFonts w:ascii="SimSun" w:eastAsia="SimSun" w:hAnsi="SimSun" w:cs="SimSun"/>
          <w:sz w:val="26"/>
          <w:szCs w:val="26"/>
        </w:rPr>
      </w:pPr>
      <w:r>
        <w:rPr>
          <w:b/>
          <w:bCs/>
          <w:spacing w:val="37"/>
          <w:sz w:val="26"/>
          <w:szCs w:val="26"/>
        </w:rPr>
        <w:t>胞营养不良(13/357;3</w:t>
      </w:r>
      <w:r>
        <w:rPr>
          <w:spacing w:val="-54"/>
          <w:sz w:val="26"/>
          <w:szCs w:val="26"/>
        </w:rPr>
        <w:t xml:space="preserve"> </w:t>
      </w:r>
      <w:r>
        <w:rPr>
          <w:b/>
          <w:bCs/>
          <w:spacing w:val="37"/>
          <w:sz w:val="26"/>
          <w:szCs w:val="26"/>
        </w:rPr>
        <w:t>.</w:t>
      </w:r>
      <w:r>
        <w:rPr>
          <w:spacing w:val="-64"/>
          <w:sz w:val="26"/>
          <w:szCs w:val="26"/>
        </w:rPr>
        <w:t xml:space="preserve"> </w:t>
      </w:r>
      <w:r>
        <w:rPr>
          <w:b/>
          <w:bCs/>
          <w:spacing w:val="37"/>
          <w:sz w:val="26"/>
          <w:szCs w:val="26"/>
        </w:rPr>
        <w:t>6%)(</w:t>
      </w:r>
      <w:r>
        <w:rPr>
          <w:b/>
          <w:bCs/>
          <w:spacing w:val="36"/>
          <w:sz w:val="26"/>
          <w:szCs w:val="26"/>
        </w:rPr>
        <w:t>图1</w:t>
      </w:r>
      <w:r>
        <w:rPr>
          <w:rFonts w:ascii="SimSun" w:eastAsia="SimSun" w:hAnsi="SimSun" w:cs="SimSun"/>
          <w:b/>
          <w:bCs/>
          <w:spacing w:val="36"/>
          <w:sz w:val="26"/>
          <w:szCs w:val="26"/>
        </w:rPr>
        <w:t>B)。</w:t>
      </w:r>
    </w:p>
    <w:p>
      <w:pPr>
        <w:pStyle w:val="BodyText"/>
        <w:spacing w:before="310" w:line="187" w:lineRule="auto"/>
        <w:ind w:left="17"/>
        <w:rPr>
          <w:sz w:val="26"/>
          <w:szCs w:val="26"/>
        </w:rPr>
      </w:pPr>
      <w:r>
        <w:rPr>
          <w:b/>
          <w:bCs/>
          <w:spacing w:val="10"/>
          <w:sz w:val="26"/>
          <w:szCs w:val="26"/>
        </w:rPr>
        <w:t>队列选择</w:t>
      </w:r>
    </w:p>
    <w:p>
      <w:pPr>
        <w:spacing w:line="187" w:lineRule="auto"/>
        <w:rPr>
          <w:sz w:val="26"/>
          <w:szCs w:val="26"/>
        </w:rPr>
        <w:sectPr>
          <w:headerReference w:type="default" r:id="rId11"/>
          <w:type w:val="nextPage"/>
          <w:pgSz w:w="11910" w:h="16840"/>
          <w:pgMar w:top="400" w:right="1648" w:bottom="0" w:left="1786" w:header="0" w:footer="0" w:gutter="0"/>
          <w:pgNumType w:start="7"/>
          <w:cols w:num="1" w:space="708" w:equalWidth="0">
            <w:col w:w="8475" w:space="0"/>
          </w:cols>
          <w:titlePg w:val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8" w:line="425" w:lineRule="auto"/>
        <w:ind w:left="13" w:right="41"/>
        <w:jc w:val="both"/>
      </w:pPr>
      <w:r>
        <w:rPr>
          <w:spacing w:val="-3"/>
        </w:rPr>
        <w:t>具有固定基因特异性表型的患者进行了候选基因检测</w:t>
      </w:r>
      <w:r>
        <w:rPr>
          <w:spacing w:val="-4"/>
        </w:rPr>
        <w:t>。例如，为了“排</w:t>
      </w:r>
      <w:r>
        <w:t xml:space="preserve"> </w:t>
      </w:r>
      <w:r>
        <w:t>除”特征性疾病，如</w:t>
      </w:r>
      <w:r>
        <w:rPr>
          <w:rFonts w:ascii="Times New Roman" w:eastAsia="Times New Roman" w:hAnsi="Times New Roman" w:cs="Times New Roman"/>
        </w:rPr>
        <w:t>X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t>连锁视网膜劈裂、</w:t>
      </w:r>
      <w:r>
        <w:rPr>
          <w:rFonts w:ascii="Times New Roman" w:eastAsia="Times New Roman" w:hAnsi="Times New Roman" w:cs="Times New Roman"/>
        </w:rPr>
        <w:t>X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t>连锁眼白化病、</w:t>
      </w:r>
      <w:r>
        <w:rPr>
          <w:rFonts w:ascii="Times New Roman" w:eastAsia="Times New Roman" w:hAnsi="Times New Roman" w:cs="Times New Roman"/>
          <w:spacing w:val="-1"/>
        </w:rPr>
        <w:t>X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1"/>
        </w:rPr>
        <w:t>连锁视网</w:t>
      </w:r>
      <w:r>
        <w:t xml:space="preserve"> </w:t>
      </w:r>
      <w:r>
        <w:rPr>
          <w:spacing w:val="-2"/>
        </w:rPr>
        <w:t>膜色素变性、</w:t>
      </w:r>
      <w:r>
        <w:rPr>
          <w:spacing w:val="6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X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-2"/>
        </w:rPr>
        <w:t>连锁无脉络膜症、先天性静止性夜盲症、增强蓝视锥</w:t>
      </w:r>
      <w:r>
        <w:t xml:space="preserve"> </w:t>
      </w:r>
      <w:r>
        <w:rPr>
          <w:spacing w:val="-8"/>
        </w:rPr>
        <w:t>细胞综合征、视杆细胞单色视、</w:t>
      </w:r>
      <w:r>
        <w:rPr>
          <w:spacing w:val="55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RPE65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8"/>
        </w:rPr>
        <w:t>或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LRAT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8"/>
        </w:rPr>
        <w:t>或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CRB1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-8"/>
        </w:rPr>
        <w:t>相</w:t>
      </w:r>
      <w:r>
        <w:rPr>
          <w:spacing w:val="-9"/>
        </w:rPr>
        <w:t>关早发性</w:t>
      </w:r>
      <w:r>
        <w:t xml:space="preserve"> </w:t>
      </w:r>
      <w:r>
        <w:rPr>
          <w:spacing w:val="-3"/>
        </w:rPr>
        <w:t>视网膜营养不良、</w:t>
      </w:r>
      <w:r>
        <w:rPr>
          <w:spacing w:val="60"/>
        </w:rPr>
        <w:t xml:space="preserve"> </w:t>
      </w:r>
      <w:r>
        <w:rPr>
          <w:rFonts w:ascii="SimSun" w:eastAsia="SimSun" w:hAnsi="SimSun" w:cs="SimSun"/>
          <w:spacing w:val="-3"/>
        </w:rPr>
        <w:t>Bietti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3"/>
        </w:rPr>
        <w:t>结晶样营养不良、视锥细胞营养不良伴超正</w:t>
      </w:r>
      <w:r>
        <w:t xml:space="preserve"> </w:t>
      </w:r>
      <w:r>
        <w:rPr>
          <w:spacing w:val="17"/>
        </w:rPr>
        <w:t>常视杆细胞、回旋状萎缩、</w:t>
      </w:r>
      <w:r>
        <w:rPr>
          <w:rFonts w:ascii="SimSun" w:eastAsia="SimSun" w:hAnsi="SimSun" w:cs="SimSun"/>
        </w:rPr>
        <w:t>MAK</w:t>
      </w:r>
      <w:r>
        <w:rPr>
          <w:rFonts w:ascii="SimSun" w:eastAsia="SimSun" w:hAnsi="SimSun" w:cs="SimSun"/>
          <w:spacing w:val="17"/>
        </w:rPr>
        <w:t xml:space="preserve">1   </w:t>
      </w:r>
      <w:r>
        <w:rPr>
          <w:spacing w:val="17"/>
        </w:rPr>
        <w:t>相关</w:t>
      </w:r>
      <w:r>
        <w:rPr>
          <w:spacing w:val="78"/>
        </w:rPr>
        <w:t xml:space="preserve"> </w:t>
      </w:r>
      <w:r>
        <w:rPr>
          <w:rFonts w:ascii="SimSun" w:eastAsia="SimSun" w:hAnsi="SimSun" w:cs="SimSun"/>
        </w:rPr>
        <w:t>RP</w:t>
      </w:r>
      <w:r>
        <w:rPr>
          <w:rFonts w:ascii="SimSun" w:eastAsia="SimSun" w:hAnsi="SimSun" w:cs="SimSun"/>
          <w:spacing w:val="17"/>
        </w:rPr>
        <w:t>、</w:t>
      </w:r>
      <w:r>
        <w:rPr>
          <w:rFonts w:ascii="SimSun" w:eastAsia="SimSun" w:hAnsi="SimSun" w:cs="SimSun"/>
          <w:spacing w:val="46"/>
        </w:rPr>
        <w:t xml:space="preserve"> </w:t>
      </w:r>
      <w:r>
        <w:rPr>
          <w:spacing w:val="17"/>
        </w:rPr>
        <w:t>迟发性视</w:t>
      </w:r>
      <w:r>
        <w:rPr>
          <w:spacing w:val="16"/>
        </w:rPr>
        <w:t>网膜变性</w:t>
      </w:r>
    </w:p>
    <w:p>
      <w:pPr>
        <w:pStyle w:val="BodyText"/>
        <w:spacing w:before="1" w:line="217" w:lineRule="auto"/>
        <w:ind w:left="113"/>
      </w:pPr>
      <w:r>
        <w:rPr>
          <w:rFonts w:ascii="SimSun" w:eastAsia="SimSun" w:hAnsi="SimSun" w:cs="SimSun"/>
          <w:spacing w:val="5"/>
        </w:rPr>
        <w:t>(L-</w:t>
      </w:r>
      <w:r>
        <w:rPr>
          <w:rFonts w:ascii="SimSun" w:eastAsia="SimSun" w:hAnsi="SimSun" w:cs="SimSun"/>
        </w:rPr>
        <w:t>ORD</w:t>
      </w:r>
      <w:r>
        <w:rPr>
          <w:rFonts w:ascii="SimSun" w:eastAsia="SimSun" w:hAnsi="SimSun" w:cs="SimSun"/>
          <w:spacing w:val="5"/>
        </w:rPr>
        <w:t>)</w:t>
      </w:r>
      <w:r>
        <w:rPr>
          <w:rFonts w:ascii="SimSun" w:eastAsia="SimSun" w:hAnsi="SimSun" w:cs="SimSun"/>
        </w:rPr>
        <w:t>BEST</w:t>
      </w:r>
      <w:r>
        <w:rPr>
          <w:rFonts w:ascii="SimSun" w:eastAsia="SimSun" w:hAnsi="SimSun" w:cs="SimSun"/>
          <w:spacing w:val="5"/>
        </w:rPr>
        <w:t>1、</w:t>
      </w:r>
      <w:r>
        <w:rPr>
          <w:rFonts w:ascii="SimSun" w:eastAsia="SimSun" w:hAnsi="SimSun" w:cs="SimSun"/>
        </w:rPr>
        <w:t>Doyne</w:t>
      </w:r>
      <w:r>
        <w:rPr>
          <w:rFonts w:ascii="SimSun" w:eastAsia="SimSun" w:hAnsi="SimSun" w:cs="SimSun"/>
          <w:spacing w:val="15"/>
        </w:rPr>
        <w:t xml:space="preserve">      </w:t>
      </w:r>
      <w:r>
        <w:rPr>
          <w:spacing w:val="5"/>
        </w:rPr>
        <w:t>蜂窝状视网膜营养不良、家族</w:t>
      </w:r>
      <w:r>
        <w:rPr>
          <w:spacing w:val="4"/>
        </w:rPr>
        <w:t>性显性玻</w:t>
      </w:r>
    </w:p>
    <w:p>
      <w:pPr>
        <w:pStyle w:val="BodyText"/>
        <w:spacing w:before="298" w:line="217" w:lineRule="auto"/>
        <w:ind w:left="13"/>
        <w:rPr>
          <w:rFonts w:ascii="SimSun" w:eastAsia="SimSun" w:hAnsi="SimSun" w:cs="SimSun"/>
        </w:rPr>
      </w:pPr>
      <w:r>
        <w:rPr>
          <w:spacing w:val="-1"/>
        </w:rPr>
        <w:t>璃膜疣、母系遗传性糖尿病伴耳聋</w:t>
      </w:r>
      <w:r>
        <w:rPr>
          <w:rFonts w:ascii="SimSun" w:eastAsia="SimSun" w:hAnsi="SimSun" w:cs="SimSun"/>
          <w:spacing w:val="-1"/>
        </w:rPr>
        <w:t>(MIDD)、</w:t>
      </w:r>
      <w:r>
        <w:rPr>
          <w:rFonts w:ascii="SimSun" w:eastAsia="SimSun" w:hAnsi="SimSun" w:cs="SimSun"/>
          <w:spacing w:val="24"/>
        </w:rPr>
        <w:t xml:space="preserve">   </w:t>
      </w:r>
      <w:r>
        <w:rPr>
          <w:spacing w:val="-1"/>
        </w:rPr>
        <w:t>脉络膜炎和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Stargardt</w:t>
      </w:r>
    </w:p>
    <w:p>
      <w:pPr>
        <w:pStyle w:val="BodyText"/>
        <w:spacing w:before="310" w:line="222" w:lineRule="auto"/>
        <w:jc w:val="right"/>
        <w:rPr>
          <w:rFonts w:ascii="SimSun" w:eastAsia="SimSun" w:hAnsi="SimSun" w:cs="SimSun"/>
        </w:rPr>
      </w:pPr>
      <w:r>
        <w:rPr>
          <w:spacing w:val="9"/>
        </w:rPr>
        <w:t>病1型。其他表型可能由</w:t>
      </w:r>
      <w:r>
        <w:rPr>
          <w:spacing w:val="9"/>
        </w:rPr>
        <w:t xml:space="preserve"> </w:t>
      </w:r>
      <w:r>
        <w:rPr>
          <w:rFonts w:ascii="SimSun" w:eastAsia="SimSun" w:hAnsi="SimSun" w:cs="SimSun"/>
        </w:rPr>
        <w:t>IRD</w:t>
      </w:r>
      <w:r>
        <w:rPr>
          <w:rFonts w:ascii="SimSun" w:eastAsia="SimSun" w:hAnsi="SimSun" w:cs="SimSun"/>
          <w:spacing w:val="105"/>
        </w:rPr>
        <w:t xml:space="preserve"> </w:t>
      </w:r>
      <w:r>
        <w:rPr>
          <w:spacing w:val="9"/>
        </w:rPr>
        <w:t>基因变异引起的病例被送去进行</w:t>
      </w:r>
      <w:r>
        <w:rPr>
          <w:spacing w:val="9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9"/>
        </w:rPr>
        <w:t>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13"/>
      </w:pPr>
      <w:r>
        <w:rPr>
          <w:rFonts w:ascii="Arial" w:eastAsia="Arial" w:hAnsi="Arial" w:cs="Arial"/>
          <w:b/>
          <w:bCs/>
          <w:spacing w:val="-8"/>
        </w:rPr>
        <w:t xml:space="preserve">ES </w:t>
      </w:r>
      <w:r>
        <w:rPr>
          <w:b/>
          <w:bCs/>
          <w:spacing w:val="-8"/>
        </w:rPr>
        <w:t>检测结果</w:t>
      </w:r>
    </w:p>
    <w:p>
      <w:pPr>
        <w:pStyle w:val="BodyText"/>
        <w:spacing w:before="293" w:line="426" w:lineRule="auto"/>
        <w:ind w:left="13" w:right="22"/>
        <w:jc w:val="both"/>
      </w:pPr>
      <w:r>
        <w:rPr>
          <w:spacing w:val="5"/>
        </w:rPr>
        <w:t>基于</w:t>
      </w:r>
      <w:r>
        <w:rPr>
          <w:spacing w:val="-29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spacing w:val="5"/>
        </w:rPr>
        <w:t>结果，将病例分为四类。</w:t>
      </w:r>
      <w:r>
        <w:rPr>
          <w:spacing w:val="115"/>
        </w:rPr>
        <w:t xml:space="preserve"> </w:t>
      </w:r>
      <w:r>
        <w:rPr>
          <w:spacing w:val="5"/>
        </w:rPr>
        <w:t>(1)有匹配临床表型的常染色体显</w:t>
      </w:r>
      <w:r>
        <w:t xml:space="preserve"> </w:t>
      </w:r>
      <w:r>
        <w:rPr>
          <w:spacing w:val="6"/>
        </w:rPr>
        <w:t>性遗传</w:t>
      </w:r>
      <w:r>
        <w:rPr>
          <w:spacing w:val="-17"/>
        </w:rPr>
        <w:t xml:space="preserve"> </w:t>
      </w:r>
      <w:r>
        <w:rPr>
          <w:rFonts w:ascii="Arial" w:eastAsia="Arial" w:hAnsi="Arial" w:cs="Arial"/>
          <w:spacing w:val="6"/>
        </w:rPr>
        <w:t>(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6"/>
        </w:rPr>
        <w:t xml:space="preserve">)    </w:t>
      </w:r>
      <w:r>
        <w:rPr>
          <w:spacing w:val="6"/>
        </w:rPr>
        <w:t>疾病基因存在一个致病性或可能致病性变异，</w:t>
      </w:r>
      <w:r>
        <w:rPr>
          <w:rFonts w:ascii="Arial" w:eastAsia="Arial" w:hAnsi="Arial" w:cs="Arial"/>
          <w:spacing w:val="6"/>
        </w:rPr>
        <w:t xml:space="preserve">X  </w:t>
      </w:r>
      <w:r>
        <w:rPr>
          <w:spacing w:val="6"/>
        </w:rPr>
        <w:t>连锁</w:t>
      </w:r>
      <w:r>
        <w:t xml:space="preserve"> </w:t>
      </w:r>
      <w:r>
        <w:rPr>
          <w:rFonts w:ascii="SimSun" w:eastAsia="SimSun" w:hAnsi="SimSun" w:cs="SimSun"/>
          <w:spacing w:val="7"/>
        </w:rPr>
        <w:t>(</w:t>
      </w:r>
      <w:r>
        <w:rPr>
          <w:rFonts w:ascii="SimSun" w:eastAsia="SimSun" w:hAnsi="SimSun" w:cs="SimSun"/>
        </w:rPr>
        <w:t>XL</w:t>
      </w:r>
      <w:r>
        <w:rPr>
          <w:rFonts w:ascii="SimSun" w:eastAsia="SimSun" w:hAnsi="SimSun" w:cs="SimSun"/>
          <w:spacing w:val="7"/>
        </w:rPr>
        <w:t>)</w:t>
      </w:r>
      <w:r>
        <w:rPr>
          <w:rFonts w:ascii="SimSun" w:eastAsia="SimSun" w:hAnsi="SimSun" w:cs="SimSun"/>
          <w:spacing w:val="113"/>
        </w:rPr>
        <w:t xml:space="preserve"> </w:t>
      </w:r>
      <w:r>
        <w:rPr>
          <w:spacing w:val="7"/>
        </w:rPr>
        <w:t>疾病基因存在一个致病性或可能致病性</w:t>
      </w:r>
      <w:r>
        <w:rPr>
          <w:spacing w:val="6"/>
        </w:rPr>
        <w:t>变异，为半合子或纯合</w:t>
      </w:r>
      <w:r>
        <w:t xml:space="preserve"> </w:t>
      </w:r>
      <w:r>
        <w:rPr>
          <w:spacing w:val="6"/>
        </w:rPr>
        <w:t>子状态，或常染色体隐性遗传</w:t>
      </w:r>
      <w:r>
        <w:rPr>
          <w:rFonts w:ascii="SimSun" w:eastAsia="SimSun" w:hAnsi="SimSun" w:cs="SimSun"/>
          <w:spacing w:val="6"/>
        </w:rPr>
        <w:t>(</w:t>
      </w:r>
      <w:r>
        <w:rPr>
          <w:rFonts w:ascii="SimSun" w:eastAsia="SimSun" w:hAnsi="SimSun" w:cs="SimSun"/>
        </w:rPr>
        <w:t>AR</w:t>
      </w:r>
      <w:r>
        <w:rPr>
          <w:rFonts w:ascii="SimSun" w:eastAsia="SimSun" w:hAnsi="SimSun" w:cs="SimSun"/>
          <w:spacing w:val="6"/>
        </w:rPr>
        <w:t xml:space="preserve">)  </w:t>
      </w:r>
      <w:r>
        <w:rPr>
          <w:spacing w:val="6"/>
        </w:rPr>
        <w:t>疾病基</w:t>
      </w:r>
      <w:r>
        <w:rPr>
          <w:spacing w:val="5"/>
        </w:rPr>
        <w:t>因存在双等位基因致病性</w:t>
      </w:r>
      <w:r>
        <w:t xml:space="preserve"> </w:t>
      </w:r>
      <w:r>
        <w:rPr>
          <w:spacing w:val="-6"/>
        </w:rPr>
        <w:t>或可能致病性变异，被归为“分子诊断”。</w:t>
      </w:r>
      <w:r>
        <w:rPr>
          <w:spacing w:val="104"/>
        </w:rPr>
        <w:t xml:space="preserve"> </w:t>
      </w:r>
      <w:r>
        <w:rPr>
          <w:spacing w:val="-6"/>
        </w:rPr>
        <w:t>(2)识别了两个解释表型的</w:t>
      </w:r>
      <w:r>
        <w:t xml:space="preserve"> </w:t>
      </w:r>
      <w:r>
        <w:rPr>
          <w:spacing w:val="10"/>
        </w:rPr>
        <w:t>致病性或可能致病性变异，相位无法确定(无法确定这两个变异是在</w:t>
      </w:r>
      <w:r>
        <w:rPr>
          <w:spacing w:val="10"/>
        </w:rPr>
        <w:t xml:space="preserve"> </w:t>
      </w:r>
      <w:r>
        <w:rPr>
          <w:spacing w:val="14"/>
        </w:rPr>
        <w:t>同一个等位基因上还是在不同的等位基因上</w:t>
      </w:r>
      <w:r>
        <w:rPr>
          <w:spacing w:val="13"/>
        </w:rPr>
        <w:t>),被归为“疑似分子诊</w:t>
      </w:r>
      <w:r>
        <w:t xml:space="preserve"> </w:t>
      </w:r>
      <w:r>
        <w:rPr>
          <w:spacing w:val="-1"/>
        </w:rPr>
        <w:t>断”。(3)识别了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1"/>
        </w:rPr>
        <w:t xml:space="preserve">AR  </w:t>
      </w:r>
      <w:r>
        <w:rPr>
          <w:spacing w:val="-1"/>
        </w:rPr>
        <w:t>疾病基因两个杂合变异相位无法确定(两个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spacing w:val="-1"/>
        </w:rPr>
        <w:t>VUS</w:t>
      </w:r>
      <w:r>
        <w:rPr>
          <w:rFonts w:ascii="Arial" w:eastAsia="Arial" w:hAnsi="Arial" w:cs="Arial"/>
        </w:rPr>
        <w:t xml:space="preserve"> </w:t>
      </w:r>
      <w:r>
        <w:rPr>
          <w:spacing w:val="5"/>
        </w:rPr>
        <w:t>或一个致病性/可能致病性变异加一个</w:t>
      </w:r>
      <w:r>
        <w:rPr>
          <w:spacing w:val="5"/>
        </w:rPr>
        <w:t xml:space="preserve"> </w:t>
      </w:r>
      <w:r>
        <w:rPr>
          <w:rFonts w:ascii="SimSun" w:eastAsia="SimSun" w:hAnsi="SimSun" w:cs="SimSun"/>
        </w:rPr>
        <w:t>VUS</w:t>
      </w:r>
      <w:r>
        <w:rPr>
          <w:rFonts w:ascii="SimSun" w:eastAsia="SimSun" w:hAnsi="SimSun" w:cs="SimSun"/>
          <w:spacing w:val="5"/>
        </w:rPr>
        <w:t xml:space="preserve">  </w:t>
      </w:r>
      <w:r>
        <w:rPr>
          <w:spacing w:val="5"/>
        </w:rPr>
        <w:t>变异),或识别了</w:t>
      </w:r>
      <w:r>
        <w:rPr>
          <w:spacing w:val="5"/>
        </w:rPr>
        <w:t xml:space="preserve"> </w:t>
      </w:r>
      <w:r>
        <w:rPr>
          <w:rFonts w:ascii="SimSun" w:eastAsia="SimSun" w:hAnsi="SimSun" w:cs="SimSun"/>
        </w:rPr>
        <w:t>AD</w:t>
      </w:r>
      <w:r>
        <w:rPr>
          <w:rFonts w:ascii="SimSun" w:eastAsia="SimSun" w:hAnsi="SimSun" w:cs="SimSun"/>
          <w:spacing w:val="5"/>
        </w:rPr>
        <w:t xml:space="preserve">  </w:t>
      </w:r>
      <w:r>
        <w:rPr>
          <w:spacing w:val="5"/>
        </w:rPr>
        <w:t>或</w:t>
      </w:r>
      <w:r>
        <w:rPr>
          <w:spacing w:val="3"/>
        </w:rPr>
        <w:t xml:space="preserve"> </w:t>
      </w:r>
      <w:r>
        <w:rPr>
          <w:rFonts w:ascii="Arial" w:eastAsia="Arial" w:hAnsi="Arial" w:cs="Arial"/>
        </w:rPr>
        <w:t xml:space="preserve">XL  </w:t>
      </w:r>
      <w:r>
        <w:t>基因</w:t>
      </w:r>
      <w:r>
        <w:rPr>
          <w:spacing w:val="37"/>
        </w:rPr>
        <w:t xml:space="preserve"> </w:t>
      </w:r>
      <w:r>
        <w:rPr>
          <w:rFonts w:ascii="Arial" w:eastAsia="Arial" w:hAnsi="Arial" w:cs="Arial"/>
        </w:rPr>
        <w:t xml:space="preserve">VUS,  </w:t>
      </w:r>
      <w:r>
        <w:t>被归为“可能分</w:t>
      </w:r>
      <w:r>
        <w:rPr>
          <w:spacing w:val="-1"/>
        </w:rPr>
        <w:t>子诊断”。(4)未发现可能解释临床表</w:t>
      </w:r>
    </w:p>
    <w:p>
      <w:pPr>
        <w:pStyle w:val="BodyText"/>
        <w:spacing w:before="1" w:line="212" w:lineRule="auto"/>
        <w:ind w:left="13"/>
      </w:pPr>
      <w:r>
        <w:rPr>
          <w:spacing w:val="-25"/>
        </w:rPr>
        <w:t>型的变异，被归为“阴性”。</w:t>
      </w:r>
    </w:p>
    <w:p>
      <w:pPr>
        <w:spacing w:line="212" w:lineRule="auto"/>
        <w:sectPr>
          <w:headerReference w:type="default" r:id="rId12"/>
          <w:pgSz w:w="11910" w:h="16840"/>
          <w:pgMar w:top="400" w:right="1786" w:bottom="0" w:left="1786" w:header="0" w:footer="0" w:gutter="0"/>
          <w:pgNumType w:start="8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8" w:line="429" w:lineRule="auto"/>
        <w:ind w:left="13" w:right="282" w:firstLine="3"/>
      </w:pPr>
      <w:r>
        <w:rPr>
          <w:b/>
          <w:bCs/>
          <w:spacing w:val="27"/>
        </w:rPr>
        <w:t>23.5%的病例(84/357)被归为</w:t>
      </w:r>
      <w:r>
        <w:rPr>
          <w:b/>
          <w:bCs/>
          <w:spacing w:val="26"/>
        </w:rPr>
        <w:t>分子诊断(图1</w:t>
      </w:r>
      <w:r>
        <w:rPr>
          <w:rFonts w:ascii="Arial" w:eastAsia="Arial" w:hAnsi="Arial" w:cs="Arial"/>
          <w:b/>
          <w:bCs/>
          <w:spacing w:val="26"/>
        </w:rPr>
        <w:t>C;</w:t>
      </w:r>
      <w:r>
        <w:rPr>
          <w:rFonts w:ascii="Arial" w:eastAsia="Arial" w:hAnsi="Arial" w:cs="Arial"/>
          <w:b/>
          <w:bCs/>
          <w:spacing w:val="1"/>
        </w:rPr>
        <w:t xml:space="preserve">  </w:t>
      </w:r>
      <w:r>
        <w:rPr>
          <w:b/>
          <w:bCs/>
          <w:spacing w:val="26"/>
        </w:rPr>
        <w:t>表1)。6</w:t>
      </w:r>
      <w:r>
        <w:rPr>
          <w:spacing w:val="-53"/>
        </w:rPr>
        <w:t xml:space="preserve"> </w:t>
      </w:r>
      <w:r>
        <w:rPr>
          <w:b/>
          <w:bCs/>
          <w:spacing w:val="26"/>
        </w:rPr>
        <w:t>.</w:t>
      </w:r>
      <w:r>
        <w:rPr>
          <w:spacing w:val="-65"/>
        </w:rPr>
        <w:t xml:space="preserve"> </w:t>
      </w:r>
      <w:r>
        <w:rPr>
          <w:b/>
          <w:bCs/>
          <w:spacing w:val="26"/>
        </w:rPr>
        <w:t>2%的</w:t>
      </w:r>
      <w:r>
        <w:t xml:space="preserve"> </w:t>
      </w:r>
      <w:r>
        <w:rPr>
          <w:b/>
          <w:bCs/>
          <w:spacing w:val="27"/>
        </w:rPr>
        <w:t>病例(22/357)被归为疑似分子诊断，27.4</w:t>
      </w:r>
      <w:r>
        <w:rPr>
          <w:b/>
          <w:bCs/>
          <w:spacing w:val="26"/>
        </w:rPr>
        <w:t>%(98/357)的病例被</w:t>
      </w:r>
      <w:r>
        <w:rPr>
          <w:spacing w:val="26"/>
        </w:rPr>
        <w:t xml:space="preserve"> </w:t>
      </w:r>
      <w:r>
        <w:rPr>
          <w:b/>
          <w:bCs/>
          <w:spacing w:val="16"/>
        </w:rPr>
        <w:t>归为可能分子诊断。</w:t>
      </w:r>
      <w:r>
        <w:rPr>
          <w:spacing w:val="16"/>
        </w:rPr>
        <w:t xml:space="preserve"> </w:t>
      </w:r>
      <w:r>
        <w:rPr>
          <w:spacing w:val="16"/>
        </w:rPr>
        <w:t>132/357(37%)的病例被归为阴性，没有可能</w:t>
      </w:r>
      <w:r>
        <w:rPr>
          <w:spacing w:val="3"/>
        </w:rPr>
        <w:t xml:space="preserve"> </w:t>
      </w:r>
      <w:r>
        <w:rPr>
          <w:spacing w:val="18"/>
        </w:rPr>
        <w:t>解释临床发现的变异。在其余21</w:t>
      </w:r>
      <w:r>
        <w:rPr>
          <w:spacing w:val="18"/>
        </w:rPr>
        <w:t xml:space="preserve"> </w:t>
      </w:r>
      <w:r>
        <w:rPr>
          <w:spacing w:val="18"/>
        </w:rPr>
        <w:t>例(5.9%)中，识别了单个常染色</w:t>
      </w:r>
      <w:r>
        <w:t xml:space="preserve"> </w:t>
      </w:r>
      <w:r>
        <w:rPr>
          <w:spacing w:val="7"/>
        </w:rPr>
        <w:t>体隐性遗传病相关基因致病性或可能致病性变异，</w:t>
      </w:r>
      <w:r>
        <w:rPr>
          <w:spacing w:val="6"/>
        </w:rPr>
        <w:t>或在女性中发现了</w:t>
      </w:r>
      <w:r>
        <w:t xml:space="preserve"> </w:t>
      </w:r>
      <w:r>
        <w:rPr>
          <w:spacing w:val="3"/>
        </w:rPr>
        <w:t>单个</w:t>
      </w:r>
      <w:r>
        <w:rPr>
          <w:spacing w:val="3"/>
        </w:rPr>
        <w:t xml:space="preserve"> </w:t>
      </w:r>
      <w:r>
        <w:rPr>
          <w:rFonts w:ascii="SimSun" w:eastAsia="SimSun" w:hAnsi="SimSun" w:cs="SimSun"/>
          <w:spacing w:val="3"/>
        </w:rPr>
        <w:t>X</w:t>
      </w:r>
      <w:r>
        <w:rPr>
          <w:rFonts w:ascii="SimSun" w:eastAsia="SimSun" w:hAnsi="SimSun" w:cs="SimSun"/>
          <w:spacing w:val="44"/>
        </w:rPr>
        <w:t xml:space="preserve"> </w:t>
      </w:r>
      <w:r>
        <w:rPr>
          <w:spacing w:val="3"/>
        </w:rPr>
        <w:t>连锁变异。在这些情况下，我们不能排除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</w:rPr>
        <w:t>ES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spacing w:val="3"/>
        </w:rPr>
        <w:t>无法检测到的第</w:t>
      </w:r>
      <w:r>
        <w:t xml:space="preserve"> </w:t>
      </w:r>
      <w:r>
        <w:rPr>
          <w:spacing w:val="-1"/>
        </w:rPr>
        <w:t>二种变异的存在，例如深度内含子变异或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CNV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rFonts w:ascii="SimSun" w:eastAsia="SimSun" w:hAnsi="SimSun" w:cs="SimSun"/>
          <w:spacing w:val="-1"/>
        </w:rPr>
        <w:t>。</w:t>
      </w:r>
      <w:r>
        <w:rPr>
          <w:spacing w:val="-2"/>
        </w:rPr>
        <w:t>总</w:t>
      </w:r>
      <w:r>
        <w:rPr>
          <w:spacing w:val="-2"/>
        </w:rPr>
        <w:t xml:space="preserve"> </w:t>
      </w:r>
      <w:r>
        <w:rPr>
          <w:spacing w:val="-2"/>
        </w:rPr>
        <w:t>之</w:t>
      </w:r>
      <w:r>
        <w:rPr>
          <w:spacing w:val="-39"/>
        </w:rPr>
        <w:t xml:space="preserve"> </w:t>
      </w:r>
      <w:r>
        <w:rPr>
          <w:spacing w:val="-2"/>
        </w:rPr>
        <w:t>，</w:t>
      </w:r>
      <w:r>
        <w:rPr>
          <w:b/>
          <w:bCs/>
          <w:spacing w:val="-2"/>
        </w:rPr>
        <w:t>在</w:t>
      </w:r>
      <w:r>
        <w:rPr>
          <w:spacing w:val="-36"/>
        </w:rPr>
        <w:t xml:space="preserve"> </w:t>
      </w:r>
      <w:r>
        <w:rPr>
          <w:b/>
          <w:bCs/>
          <w:spacing w:val="-2"/>
        </w:rPr>
        <w:t>2</w:t>
      </w:r>
      <w:r>
        <w:rPr>
          <w:spacing w:val="-37"/>
        </w:rPr>
        <w:t xml:space="preserve"> </w:t>
      </w:r>
      <w:r>
        <w:rPr>
          <w:b/>
          <w:bCs/>
          <w:spacing w:val="-2"/>
        </w:rPr>
        <w:t>0</w:t>
      </w:r>
      <w:r>
        <w:rPr>
          <w:spacing w:val="-41"/>
        </w:rPr>
        <w:t xml:space="preserve"> </w:t>
      </w:r>
      <w:r>
        <w:rPr>
          <w:b/>
          <w:bCs/>
          <w:spacing w:val="-2"/>
        </w:rPr>
        <w:t>4</w:t>
      </w:r>
      <w:r>
        <w:rPr>
          <w:spacing w:val="37"/>
        </w:rPr>
        <w:t xml:space="preserve"> </w:t>
      </w:r>
      <w:r>
        <w:rPr>
          <w:b/>
          <w:bCs/>
          <w:spacing w:val="-2"/>
        </w:rPr>
        <w:t>例</w:t>
      </w:r>
      <w:r>
        <w:t xml:space="preserve"> </w:t>
      </w:r>
      <w:r>
        <w:rPr>
          <w:b/>
          <w:bCs/>
          <w:spacing w:val="16"/>
        </w:rPr>
        <w:t>(57.1%)病例中发现了具有临床意义或潜在临床意义的分子发现，</w:t>
      </w:r>
      <w:r>
        <w:rPr>
          <w:spacing w:val="2"/>
        </w:rPr>
        <w:t xml:space="preserve"> </w:t>
      </w:r>
      <w:r>
        <w:rPr>
          <w:b/>
          <w:bCs/>
          <w:spacing w:val="22"/>
        </w:rPr>
        <w:t>132</w:t>
      </w:r>
      <w:r>
        <w:rPr>
          <w:spacing w:val="91"/>
        </w:rPr>
        <w:t xml:space="preserve"> </w:t>
      </w:r>
      <w:r>
        <w:rPr>
          <w:b/>
          <w:bCs/>
          <w:spacing w:val="22"/>
        </w:rPr>
        <w:t>例(37%)病例被归为阴性，21</w:t>
      </w:r>
      <w:r>
        <w:rPr>
          <w:spacing w:val="68"/>
        </w:rPr>
        <w:t xml:space="preserve"> </w:t>
      </w:r>
      <w:r>
        <w:rPr>
          <w:b/>
          <w:bCs/>
          <w:spacing w:val="22"/>
        </w:rPr>
        <w:t>例(5.9%)病例存在单个常染</w:t>
      </w:r>
    </w:p>
    <w:p>
      <w:pPr>
        <w:pStyle w:val="BodyText"/>
        <w:spacing w:line="221" w:lineRule="auto"/>
        <w:ind w:left="17"/>
      </w:pPr>
      <w:r>
        <w:rPr>
          <w:b/>
          <w:bCs/>
          <w:spacing w:val="12"/>
        </w:rPr>
        <w:t>色体隐性遗传病有临床意义的变异(携带者)。</w:t>
      </w:r>
    </w:p>
    <w:p>
      <w:pPr>
        <w:spacing w:line="234" w:lineRule="exact"/>
      </w:pPr>
    </w:p>
    <w:tbl>
      <w:tblPr>
        <w:tblStyle w:val="TableNormal0"/>
        <w:tblW w:w="8531" w:type="dxa"/>
        <w:tblInd w:w="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3"/>
        <w:gridCol w:w="1798"/>
        <w:gridCol w:w="2207"/>
        <w:gridCol w:w="3083"/>
      </w:tblGrid>
      <w:tr>
        <w:tblPrEx>
          <w:tblW w:w="8531" w:type="dxa"/>
          <w:tblInd w:w="6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3"/>
        </w:trPr>
        <w:tc>
          <w:tcPr>
            <w:tcW w:w="1443" w:type="dxa"/>
            <w:shd w:val="clear" w:color="auto" w:fill="A7A8AD"/>
            <w:vAlign w:val="top"/>
          </w:tcPr>
          <w:p>
            <w:pPr>
              <w:pStyle w:val="TableText"/>
              <w:spacing w:before="44" w:line="214" w:lineRule="auto"/>
              <w:ind w:left="57"/>
            </w:pPr>
            <w:r>
              <w:rPr>
                <w:b/>
                <w:bCs/>
                <w:spacing w:val="-2"/>
              </w:rPr>
              <w:t>Phenotype</w:t>
            </w:r>
          </w:p>
        </w:tc>
        <w:tc>
          <w:tcPr>
            <w:tcW w:w="1798" w:type="dxa"/>
            <w:shd w:val="clear" w:color="auto" w:fill="A7A8AB"/>
            <w:vAlign w:val="top"/>
          </w:tcPr>
          <w:p>
            <w:pPr>
              <w:pStyle w:val="TableText"/>
              <w:spacing w:before="43" w:line="214" w:lineRule="auto"/>
              <w:jc w:val="right"/>
            </w:pPr>
            <w:r>
              <w:rPr>
                <w:b/>
                <w:bCs/>
                <w:spacing w:val="-4"/>
              </w:rPr>
              <w:t>Molecular</w:t>
            </w:r>
            <w:r>
              <w:rPr>
                <w:spacing w:val="24"/>
              </w:rPr>
              <w:t xml:space="preserve"> </w:t>
            </w:r>
            <w:r>
              <w:rPr>
                <w:b/>
                <w:bCs/>
                <w:spacing w:val="-4"/>
              </w:rPr>
              <w:t>diagnoses</w:t>
            </w:r>
            <w:r>
              <w:rPr>
                <w:spacing w:val="44"/>
              </w:rPr>
              <w:t xml:space="preserve"> </w:t>
            </w:r>
            <w:r>
              <w:rPr>
                <w:b/>
                <w:bCs/>
                <w:spacing w:val="-4"/>
              </w:rPr>
              <w:t>(%)</w:t>
            </w:r>
          </w:p>
        </w:tc>
        <w:tc>
          <w:tcPr>
            <w:tcW w:w="2207" w:type="dxa"/>
            <w:shd w:val="clear" w:color="auto" w:fill="A6A8AB"/>
            <w:vAlign w:val="top"/>
          </w:tcPr>
          <w:p>
            <w:pPr>
              <w:pStyle w:val="TableText"/>
              <w:spacing w:before="43" w:line="214" w:lineRule="auto"/>
              <w:jc w:val="right"/>
            </w:pPr>
            <w:r>
              <w:rPr>
                <w:b/>
                <w:bCs/>
                <w:spacing w:val="-6"/>
              </w:rPr>
              <w:t>Likely</w:t>
            </w:r>
            <w:r>
              <w:rPr>
                <w:spacing w:val="-6"/>
              </w:rPr>
              <w:t xml:space="preserve"> </w:t>
            </w:r>
            <w:r>
              <w:rPr>
                <w:b/>
                <w:bCs/>
                <w:spacing w:val="-6"/>
              </w:rPr>
              <w:t>molecular</w:t>
            </w:r>
            <w:r>
              <w:rPr>
                <w:spacing w:val="-6"/>
              </w:rPr>
              <w:t xml:space="preserve"> </w:t>
            </w:r>
            <w:r>
              <w:rPr>
                <w:b/>
                <w:bCs/>
                <w:spacing w:val="-6"/>
              </w:rPr>
              <w:t>diagnoses</w:t>
            </w:r>
            <w:r>
              <w:rPr>
                <w:spacing w:val="41"/>
              </w:rPr>
              <w:t xml:space="preserve"> </w:t>
            </w:r>
            <w:r>
              <w:rPr>
                <w:b/>
                <w:bCs/>
                <w:spacing w:val="-6"/>
              </w:rPr>
              <w:t>(%)</w:t>
            </w:r>
          </w:p>
        </w:tc>
        <w:tc>
          <w:tcPr>
            <w:tcW w:w="3083" w:type="dxa"/>
            <w:shd w:val="clear" w:color="auto" w:fill="A7A8AB"/>
            <w:vAlign w:val="top"/>
          </w:tcPr>
          <w:p>
            <w:pPr>
              <w:pStyle w:val="TableText"/>
              <w:spacing w:before="43" w:line="214" w:lineRule="auto"/>
              <w:jc w:val="right"/>
            </w:pPr>
            <w:r>
              <w:rPr>
                <w:b/>
                <w:bCs/>
                <w:spacing w:val="-13"/>
              </w:rPr>
              <w:t>Potentially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-13"/>
              </w:rPr>
              <w:t>clinically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-13"/>
              </w:rPr>
              <w:t>significant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-13"/>
              </w:rPr>
              <w:t>fi</w:t>
            </w:r>
            <w:r>
              <w:rPr>
                <w:b/>
                <w:bCs/>
                <w:spacing w:val="-14"/>
              </w:rPr>
              <w:t>ndings</w:t>
            </w:r>
            <w:r>
              <w:rPr>
                <w:spacing w:val="17"/>
              </w:rPr>
              <w:t xml:space="preserve"> </w:t>
            </w:r>
            <w:r>
              <w:rPr>
                <w:b/>
                <w:bCs/>
                <w:spacing w:val="-14"/>
              </w:rPr>
              <w:t>(%)</w:t>
            </w:r>
          </w:p>
        </w:tc>
      </w:tr>
      <w:tr>
        <w:tblPrEx>
          <w:tblW w:w="8531" w:type="dxa"/>
          <w:tblInd w:w="63" w:type="dxa"/>
          <w:tblLayout w:type="fixed"/>
        </w:tblPrEx>
        <w:trPr>
          <w:trHeight w:val="248"/>
        </w:trPr>
        <w:tc>
          <w:tcPr>
            <w:tcW w:w="1443" w:type="dxa"/>
            <w:vAlign w:val="top"/>
          </w:tcPr>
          <w:p>
            <w:pPr>
              <w:pStyle w:val="TableText"/>
              <w:spacing w:before="63" w:line="215" w:lineRule="auto"/>
              <w:ind w:left="55"/>
            </w:pPr>
            <w:r>
              <w:rPr>
                <w:spacing w:val="-1"/>
              </w:rPr>
              <w:t>Rod-cone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50" w:line="222" w:lineRule="auto"/>
              <w:ind w:left="42"/>
            </w:pPr>
            <w:r>
              <w:rPr>
                <w:spacing w:val="-1"/>
              </w:rPr>
              <w:t>53(63.1%)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50" w:line="222" w:lineRule="auto"/>
              <w:ind w:left="34"/>
            </w:pPr>
            <w:r>
              <w:rPr>
                <w:spacing w:val="-2"/>
              </w:rPr>
              <w:t>13(59.1%)</w:t>
            </w:r>
          </w:p>
        </w:tc>
        <w:tc>
          <w:tcPr>
            <w:tcW w:w="3083" w:type="dxa"/>
            <w:vAlign w:val="top"/>
          </w:tcPr>
          <w:p>
            <w:pPr>
              <w:pStyle w:val="TableText"/>
              <w:spacing w:before="50" w:line="222" w:lineRule="auto"/>
              <w:ind w:left="67"/>
            </w:pPr>
            <w:r>
              <w:rPr>
                <w:spacing w:val="-1"/>
              </w:rPr>
              <w:t>55(56.12%)</w:t>
            </w:r>
          </w:p>
        </w:tc>
      </w:tr>
      <w:tr>
        <w:tblPrEx>
          <w:tblW w:w="8531" w:type="dxa"/>
          <w:tblInd w:w="63" w:type="dxa"/>
          <w:tblLayout w:type="fixed"/>
        </w:tblPrEx>
        <w:trPr>
          <w:trHeight w:val="249"/>
        </w:trPr>
        <w:tc>
          <w:tcPr>
            <w:tcW w:w="1443" w:type="dxa"/>
            <w:vAlign w:val="top"/>
          </w:tcPr>
          <w:p>
            <w:pPr>
              <w:pStyle w:val="TableText"/>
              <w:spacing w:before="46" w:line="214" w:lineRule="auto"/>
              <w:ind w:left="55"/>
            </w:pPr>
            <w:r>
              <w:rPr>
                <w:spacing w:val="-1"/>
              </w:rPr>
              <w:t>Macular dystrophy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52" w:line="222" w:lineRule="auto"/>
              <w:ind w:left="42"/>
            </w:pPr>
            <w:r>
              <w:rPr>
                <w:spacing w:val="-2"/>
              </w:rPr>
              <w:t>16(19.3%)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52" w:line="222" w:lineRule="auto"/>
              <w:ind w:left="34"/>
            </w:pPr>
            <w:r>
              <w:rPr>
                <w:spacing w:val="-1"/>
              </w:rPr>
              <w:t>6(27.3%)</w:t>
            </w:r>
          </w:p>
        </w:tc>
        <w:tc>
          <w:tcPr>
            <w:tcW w:w="3083" w:type="dxa"/>
            <w:vAlign w:val="top"/>
          </w:tcPr>
          <w:p>
            <w:pPr>
              <w:pStyle w:val="TableText"/>
              <w:spacing w:before="52" w:line="222" w:lineRule="auto"/>
              <w:ind w:left="67"/>
            </w:pPr>
            <w:r>
              <w:rPr>
                <w:spacing w:val="-2"/>
              </w:rPr>
              <w:t>19(19.2%)</w:t>
            </w:r>
          </w:p>
        </w:tc>
      </w:tr>
      <w:tr>
        <w:tblPrEx>
          <w:tblW w:w="8531" w:type="dxa"/>
          <w:tblInd w:w="63" w:type="dxa"/>
          <w:tblLayout w:type="fixed"/>
        </w:tblPrEx>
        <w:trPr>
          <w:trHeight w:val="248"/>
        </w:trPr>
        <w:tc>
          <w:tcPr>
            <w:tcW w:w="1443" w:type="dxa"/>
            <w:vAlign w:val="top"/>
          </w:tcPr>
          <w:p>
            <w:pPr>
              <w:pStyle w:val="TableText"/>
              <w:spacing w:before="65" w:line="212" w:lineRule="auto"/>
              <w:ind w:left="55"/>
            </w:pPr>
            <w:r>
              <w:rPr>
                <w:spacing w:val="-1"/>
              </w:rPr>
              <w:t>Cone-rod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53" w:line="222" w:lineRule="auto"/>
              <w:ind w:left="42"/>
            </w:pPr>
            <w:r>
              <w:rPr>
                <w:spacing w:val="-2"/>
              </w:rPr>
              <w:t>6(7.2%)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53" w:line="222" w:lineRule="auto"/>
              <w:ind w:left="34"/>
            </w:pPr>
            <w:r>
              <w:rPr>
                <w:spacing w:val="-2"/>
              </w:rPr>
              <w:t>3(13.6%)</w:t>
            </w:r>
          </w:p>
        </w:tc>
        <w:tc>
          <w:tcPr>
            <w:tcW w:w="3083" w:type="dxa"/>
            <w:vAlign w:val="top"/>
          </w:tcPr>
          <w:p>
            <w:pPr>
              <w:pStyle w:val="TableText"/>
              <w:spacing w:before="53" w:line="222" w:lineRule="auto"/>
              <w:ind w:left="67"/>
            </w:pPr>
            <w:r>
              <w:rPr>
                <w:spacing w:val="-6"/>
              </w:rPr>
              <w:t>12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(12.1%)</w:t>
            </w:r>
          </w:p>
        </w:tc>
      </w:tr>
      <w:tr>
        <w:tblPrEx>
          <w:tblW w:w="8531" w:type="dxa"/>
          <w:tblInd w:w="63" w:type="dxa"/>
          <w:tblLayout w:type="fixed"/>
        </w:tblPrEx>
        <w:trPr>
          <w:trHeight w:val="248"/>
        </w:trPr>
        <w:tc>
          <w:tcPr>
            <w:tcW w:w="1443" w:type="dxa"/>
            <w:vAlign w:val="top"/>
          </w:tcPr>
          <w:p>
            <w:pPr>
              <w:pStyle w:val="TableText"/>
              <w:spacing w:before="49" w:line="214" w:lineRule="auto"/>
              <w:ind w:left="55"/>
            </w:pPr>
            <w:r>
              <w:rPr>
                <w:spacing w:val="-1"/>
              </w:rPr>
              <w:t>Cone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dystrophy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55" w:line="222" w:lineRule="auto"/>
              <w:ind w:left="42"/>
            </w:pPr>
            <w:r>
              <w:rPr>
                <w:spacing w:val="-6"/>
              </w:rPr>
              <w:t>3</w:t>
            </w:r>
            <w:r>
              <w:rPr>
                <w:spacing w:val="73"/>
                <w:w w:val="101"/>
              </w:rPr>
              <w:t xml:space="preserve"> </w:t>
            </w:r>
            <w:r>
              <w:rPr>
                <w:spacing w:val="-6"/>
              </w:rPr>
              <w:t>(3.6%)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55" w:line="222" w:lineRule="auto"/>
              <w:ind w:left="34"/>
            </w:pPr>
            <w:r>
              <w:rPr>
                <w:spacing w:val="-2"/>
              </w:rPr>
              <w:t>0(0%)</w:t>
            </w:r>
          </w:p>
        </w:tc>
        <w:tc>
          <w:tcPr>
            <w:tcW w:w="3083" w:type="dxa"/>
            <w:vAlign w:val="top"/>
          </w:tcPr>
          <w:p>
            <w:pPr>
              <w:pStyle w:val="TableText"/>
              <w:spacing w:before="55" w:line="222" w:lineRule="auto"/>
              <w:ind w:left="67"/>
            </w:pPr>
            <w:r>
              <w:rPr>
                <w:spacing w:val="-1"/>
              </w:rPr>
              <w:t>4(4.0%)</w:t>
            </w:r>
          </w:p>
        </w:tc>
      </w:tr>
      <w:tr>
        <w:tblPrEx>
          <w:tblW w:w="8531" w:type="dxa"/>
          <w:tblInd w:w="63" w:type="dxa"/>
          <w:tblLayout w:type="fixed"/>
        </w:tblPrEx>
        <w:trPr>
          <w:trHeight w:val="249"/>
        </w:trPr>
        <w:tc>
          <w:tcPr>
            <w:tcW w:w="1443" w:type="dxa"/>
            <w:vAlign w:val="top"/>
          </w:tcPr>
          <w:p>
            <w:pPr>
              <w:pStyle w:val="TableText"/>
              <w:spacing w:before="70" w:line="208" w:lineRule="auto"/>
              <w:ind w:left="55"/>
            </w:pPr>
            <w:r>
              <w:rPr>
                <w:spacing w:val="-1"/>
              </w:rPr>
              <w:t>Other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57" w:line="222" w:lineRule="auto"/>
              <w:ind w:left="42"/>
            </w:pPr>
            <w:r>
              <w:rPr>
                <w:spacing w:val="-2"/>
              </w:rPr>
              <w:t>6(7.2%)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57" w:line="222" w:lineRule="auto"/>
              <w:ind w:left="34"/>
            </w:pPr>
            <w:r>
              <w:rPr>
                <w:spacing w:val="-2"/>
              </w:rPr>
              <w:t>0(0%)</w:t>
            </w:r>
          </w:p>
        </w:tc>
        <w:tc>
          <w:tcPr>
            <w:tcW w:w="3083" w:type="dxa"/>
            <w:vAlign w:val="top"/>
          </w:tcPr>
          <w:p>
            <w:pPr>
              <w:pStyle w:val="TableText"/>
              <w:spacing w:before="57" w:line="222" w:lineRule="auto"/>
              <w:ind w:left="67"/>
            </w:pPr>
            <w:r>
              <w:rPr>
                <w:spacing w:val="-1"/>
              </w:rPr>
              <w:t>8(8.1%)</w:t>
            </w:r>
          </w:p>
        </w:tc>
      </w:tr>
      <w:tr>
        <w:tblPrEx>
          <w:tblW w:w="8531" w:type="dxa"/>
          <w:tblInd w:w="63" w:type="dxa"/>
          <w:tblLayout w:type="fixed"/>
        </w:tblPrEx>
        <w:trPr>
          <w:trHeight w:val="244"/>
        </w:trPr>
        <w:tc>
          <w:tcPr>
            <w:tcW w:w="1443" w:type="dxa"/>
            <w:vAlign w:val="top"/>
          </w:tcPr>
          <w:p>
            <w:pPr>
              <w:pStyle w:val="TableText"/>
              <w:spacing w:before="71" w:line="200" w:lineRule="auto"/>
              <w:ind w:left="55"/>
            </w:pPr>
            <w:r>
              <w:rPr>
                <w:spacing w:val="-1"/>
              </w:rPr>
              <w:t>Total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95" w:line="171" w:lineRule="auto"/>
              <w:ind w:left="42"/>
            </w:pPr>
            <w:r>
              <w:rPr>
                <w:spacing w:val="-2"/>
              </w:rPr>
              <w:t>84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spacing w:before="95" w:line="171" w:lineRule="auto"/>
              <w:ind w:left="34"/>
            </w:pPr>
            <w:r>
              <w:rPr>
                <w:spacing w:val="-2"/>
              </w:rPr>
              <w:t>22</w:t>
            </w:r>
          </w:p>
        </w:tc>
        <w:tc>
          <w:tcPr>
            <w:tcW w:w="3083" w:type="dxa"/>
            <w:vAlign w:val="top"/>
          </w:tcPr>
          <w:p>
            <w:pPr>
              <w:pStyle w:val="TableText"/>
              <w:spacing w:before="95" w:line="171" w:lineRule="auto"/>
              <w:ind w:left="67"/>
            </w:pPr>
            <w:r>
              <w:rPr>
                <w:spacing w:val="-2"/>
              </w:rPr>
              <w:t>98</w:t>
            </w:r>
          </w:p>
        </w:tc>
      </w:tr>
    </w:tbl>
    <w:p>
      <w:pPr>
        <w:spacing w:before="260" w:line="540" w:lineRule="exact"/>
        <w:ind w:left="1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30"/>
          <w:sz w:val="19"/>
          <w:szCs w:val="19"/>
        </w:rPr>
        <w:t>Table</w:t>
      </w:r>
      <w:r>
        <w:rPr>
          <w:rFonts w:ascii="Times New Roman" w:eastAsia="Times New Roman" w:hAnsi="Times New Roman" w:cs="Times New Roman"/>
          <w:b/>
          <w:bCs/>
          <w:spacing w:val="34"/>
          <w:w w:val="10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30"/>
          <w:sz w:val="19"/>
          <w:szCs w:val="19"/>
        </w:rPr>
        <w:t>1.</w:t>
      </w:r>
      <w:r>
        <w:rPr>
          <w:rFonts w:ascii="Times New Roman" w:eastAsia="Times New Roman" w:hAnsi="Times New Roman" w:cs="Times New Roman"/>
          <w:b/>
          <w:bCs/>
          <w:spacing w:val="34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Molecular</w:t>
      </w:r>
      <w:r>
        <w:rPr>
          <w:rFonts w:ascii="Times New Roman" w:eastAsia="Times New Roman" w:hAnsi="Times New Roman" w:cs="Times New Roman"/>
          <w:spacing w:val="34"/>
          <w:w w:val="10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diagnosis</w:t>
      </w:r>
      <w:r>
        <w:rPr>
          <w:rFonts w:ascii="Times New Roman" w:eastAsia="Times New Roman" w:hAnsi="Times New Roman" w:cs="Times New Roman"/>
          <w:spacing w:val="36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4"/>
          <w:w w:val="10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likely</w:t>
      </w:r>
      <w:r>
        <w:rPr>
          <w:rFonts w:ascii="Times New Roman" w:eastAsia="Times New Roman" w:hAnsi="Times New Roman" w:cs="Times New Roman"/>
          <w:spacing w:val="3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molecular</w:t>
      </w:r>
      <w:r>
        <w:rPr>
          <w:rFonts w:ascii="Times New Roman" w:eastAsia="Times New Roman" w:hAnsi="Times New Roman" w:cs="Times New Roman"/>
          <w:spacing w:val="34"/>
          <w:w w:val="10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diagnosis</w:t>
      </w:r>
      <w:r>
        <w:rPr>
          <w:rFonts w:ascii="Times New Roman" w:eastAsia="Times New Roman" w:hAnsi="Times New Roman" w:cs="Times New Roman"/>
          <w:spacing w:val="34"/>
          <w:w w:val="10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35"/>
          <w:w w:val="102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spacing w:val="34"/>
          <w:w w:val="101"/>
          <w:position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19"/>
          <w:szCs w:val="19"/>
        </w:rPr>
        <w:t>c</w:t>
      </w:r>
      <w:r>
        <w:rPr>
          <w:rFonts w:ascii="Times New Roman" w:eastAsia="Times New Roman" w:hAnsi="Times New Roman" w:cs="Times New Roman"/>
          <w:spacing w:val="-2"/>
          <w:position w:val="30"/>
          <w:sz w:val="19"/>
          <w:szCs w:val="19"/>
        </w:rPr>
        <w:t>ohort.</w:t>
      </w:r>
    </w:p>
    <w:p>
      <w:pPr>
        <w:pStyle w:val="BodyText"/>
        <w:spacing w:before="1" w:line="223" w:lineRule="auto"/>
        <w:ind w:left="3916"/>
        <w:rPr>
          <w:sz w:val="19"/>
          <w:szCs w:val="19"/>
        </w:rPr>
      </w:pPr>
      <w:r>
        <w:rPr>
          <w:b/>
          <w:bCs/>
          <w:spacing w:val="-8"/>
          <w:sz w:val="19"/>
          <w:szCs w:val="19"/>
        </w:rPr>
        <w:t>表</w:t>
      </w:r>
      <w:r>
        <w:rPr>
          <w:spacing w:val="18"/>
          <w:sz w:val="19"/>
          <w:szCs w:val="19"/>
        </w:rPr>
        <w:t xml:space="preserve">  </w:t>
      </w:r>
      <w:r>
        <w:rPr>
          <w:b/>
          <w:bCs/>
          <w:spacing w:val="-8"/>
          <w:sz w:val="19"/>
          <w:szCs w:val="19"/>
        </w:rPr>
        <w:t>1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87" w:line="213" w:lineRule="auto"/>
        <w:ind w:left="17"/>
      </w:pPr>
      <w:r>
        <w:rPr>
          <w:b/>
          <w:bCs/>
          <w:spacing w:val="14"/>
        </w:rPr>
        <w:t>在进行</w:t>
      </w:r>
      <w:r>
        <w:rPr>
          <w:spacing w:val="62"/>
        </w:rPr>
        <w:t xml:space="preserve"> </w:t>
      </w:r>
      <w:r>
        <w:rPr>
          <w:rFonts w:ascii="SimSun" w:eastAsia="SimSun" w:hAnsi="SimSun" w:cs="SimSun"/>
          <w:b/>
          <w:bCs/>
        </w:rPr>
        <w:t>ES</w:t>
      </w:r>
      <w:r>
        <w:rPr>
          <w:rFonts w:ascii="SimSun" w:eastAsia="SimSun" w:hAnsi="SimSun" w:cs="SimSun"/>
          <w:spacing w:val="72"/>
        </w:rPr>
        <w:t xml:space="preserve"> </w:t>
      </w:r>
      <w:r>
        <w:rPr>
          <w:b/>
          <w:bCs/>
          <w:spacing w:val="14"/>
        </w:rPr>
        <w:t>的</w:t>
      </w:r>
      <w:r>
        <w:rPr>
          <w:spacing w:val="-37"/>
        </w:rPr>
        <w:t xml:space="preserve"> </w:t>
      </w:r>
      <w:r>
        <w:rPr>
          <w:b/>
          <w:bCs/>
          <w:spacing w:val="14"/>
        </w:rPr>
        <w:t>3</w:t>
      </w:r>
      <w:r>
        <w:rPr>
          <w:spacing w:val="-43"/>
        </w:rPr>
        <w:t xml:space="preserve"> </w:t>
      </w:r>
      <w:r>
        <w:rPr>
          <w:b/>
          <w:bCs/>
          <w:spacing w:val="14"/>
        </w:rPr>
        <w:t>5</w:t>
      </w:r>
      <w:r>
        <w:rPr>
          <w:spacing w:val="-35"/>
        </w:rPr>
        <w:t xml:space="preserve"> </w:t>
      </w:r>
      <w:r>
        <w:rPr>
          <w:b/>
          <w:bCs/>
          <w:spacing w:val="14"/>
        </w:rPr>
        <w:t>7</w:t>
      </w:r>
      <w:r>
        <w:rPr>
          <w:spacing w:val="52"/>
        </w:rPr>
        <w:t xml:space="preserve"> </w:t>
      </w:r>
      <w:r>
        <w:rPr>
          <w:b/>
          <w:bCs/>
          <w:spacing w:val="14"/>
        </w:rPr>
        <w:t>例病例中，总共报告了</w:t>
      </w:r>
      <w:r>
        <w:rPr>
          <w:spacing w:val="99"/>
        </w:rPr>
        <w:t xml:space="preserve"> </w:t>
      </w:r>
      <w:r>
        <w:rPr>
          <w:b/>
          <w:bCs/>
          <w:spacing w:val="14"/>
        </w:rPr>
        <w:t>362</w:t>
      </w:r>
      <w:r>
        <w:rPr>
          <w:spacing w:val="120"/>
        </w:rPr>
        <w:t xml:space="preserve"> </w:t>
      </w:r>
      <w:r>
        <w:rPr>
          <w:b/>
          <w:bCs/>
          <w:spacing w:val="14"/>
        </w:rPr>
        <w:t>个变异。根据</w:t>
      </w:r>
    </w:p>
    <w:p>
      <w:pPr>
        <w:pStyle w:val="BodyText"/>
        <w:spacing w:before="303" w:line="213" w:lineRule="auto"/>
        <w:ind w:left="13"/>
      </w:pPr>
      <w:r>
        <w:rPr>
          <w:rFonts w:ascii="SimSun" w:eastAsia="SimSun" w:hAnsi="SimSun" w:cs="SimSun"/>
        </w:rPr>
        <w:t>ACMG</w:t>
      </w:r>
      <w:r>
        <w:rPr>
          <w:rFonts w:ascii="SimSun" w:eastAsia="SimSun" w:hAnsi="SimSun" w:cs="SimSun"/>
          <w:spacing w:val="15"/>
        </w:rPr>
        <w:t>/</w:t>
      </w:r>
      <w:r>
        <w:rPr>
          <w:rFonts w:ascii="SimSun" w:eastAsia="SimSun" w:hAnsi="SimSun" w:cs="SimSun"/>
        </w:rPr>
        <w:t>AMP</w:t>
      </w:r>
      <w:r>
        <w:rPr>
          <w:rFonts w:ascii="SimSun" w:eastAsia="SimSun" w:hAnsi="SimSun" w:cs="SimSun"/>
          <w:spacing w:val="26"/>
        </w:rPr>
        <w:t xml:space="preserve">    </w:t>
      </w:r>
      <w:r>
        <w:rPr>
          <w:spacing w:val="15"/>
        </w:rPr>
        <w:t>变异解读指南，在这362</w:t>
      </w:r>
      <w:r>
        <w:rPr>
          <w:spacing w:val="15"/>
        </w:rPr>
        <w:t xml:space="preserve"> </w:t>
      </w:r>
      <w:r>
        <w:rPr>
          <w:spacing w:val="15"/>
        </w:rPr>
        <w:t>个变异中，209</w:t>
      </w:r>
      <w:r>
        <w:rPr>
          <w:spacing w:val="15"/>
        </w:rPr>
        <w:t xml:space="preserve"> </w:t>
      </w:r>
      <w:r>
        <w:rPr>
          <w:spacing w:val="15"/>
        </w:rPr>
        <w:t>个(57</w:t>
      </w:r>
      <w:r>
        <w:rPr>
          <w:spacing w:val="-71"/>
        </w:rPr>
        <w:t xml:space="preserve"> </w:t>
      </w:r>
      <w:r>
        <w:rPr>
          <w:spacing w:val="15"/>
        </w:rPr>
        <w:t>.</w:t>
      </w:r>
      <w:r>
        <w:rPr>
          <w:spacing w:val="-80"/>
        </w:rPr>
        <w:t xml:space="preserve"> </w:t>
      </w:r>
      <w:r>
        <w:rPr>
          <w:spacing w:val="15"/>
        </w:rPr>
        <w:t>7%)</w:t>
      </w:r>
    </w:p>
    <w:p>
      <w:pPr>
        <w:pStyle w:val="BodyText"/>
        <w:spacing w:before="298" w:line="595" w:lineRule="exact"/>
        <w:ind w:left="13"/>
      </w:pPr>
      <w:r>
        <w:rPr>
          <w:spacing w:val="17"/>
          <w:position w:val="25"/>
        </w:rPr>
        <w:t>被归类为致病性或可能致病性，153</w:t>
      </w:r>
      <w:r>
        <w:rPr>
          <w:spacing w:val="17"/>
          <w:position w:val="25"/>
        </w:rPr>
        <w:t xml:space="preserve"> </w:t>
      </w:r>
      <w:r>
        <w:rPr>
          <w:spacing w:val="17"/>
          <w:position w:val="25"/>
        </w:rPr>
        <w:t>个(42.2%)被归类为临床意义</w:t>
      </w:r>
    </w:p>
    <w:p>
      <w:pPr>
        <w:pStyle w:val="BodyText"/>
        <w:spacing w:before="1" w:line="211" w:lineRule="auto"/>
        <w:ind w:left="13"/>
        <w:rPr>
          <w:rFonts w:ascii="SimSun" w:eastAsia="SimSun" w:hAnsi="SimSun" w:cs="SimSun"/>
        </w:rPr>
        <w:sectPr>
          <w:headerReference w:type="default" r:id="rId13"/>
          <w:pgSz w:w="11910" w:h="16840"/>
          <w:pgMar w:top="400" w:right="1523" w:bottom="0" w:left="1786" w:header="0" w:footer="0" w:gutter="0"/>
          <w:pgNumType w:start="9"/>
          <w:cols w:space="708"/>
        </w:sectPr>
      </w:pPr>
      <w:r>
        <w:rPr>
          <w:spacing w:val="-4"/>
        </w:rPr>
        <w:t>未明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4"/>
        </w:rPr>
        <w:t>(VUS)</w:t>
      </w:r>
      <w:r>
        <w:rPr>
          <w:rFonts w:ascii="SimSun" w:eastAsia="SimSun" w:hAnsi="SimSun" w:cs="SimSun"/>
          <w:spacing w:val="-4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89" w:line="221" w:lineRule="auto"/>
        <w:ind w:left="17"/>
      </w:pPr>
      <w:r>
        <w:rPr>
          <w:b/>
          <w:bCs/>
        </w:rPr>
        <w:t>分子诊断病例</w:t>
      </w:r>
    </w:p>
    <w:p>
      <w:pPr>
        <w:spacing w:line="221" w:lineRule="auto"/>
        <w:sectPr>
          <w:headerReference w:type="default" r:id="rId14"/>
          <w:type w:val="nextPage"/>
          <w:pgSz w:w="11910" w:h="16840"/>
          <w:pgMar w:top="400" w:right="1523" w:bottom="0" w:left="1786" w:header="0" w:footer="0" w:gutter="0"/>
          <w:pgNumType w:start="10"/>
          <w:cols w:space="708"/>
          <w:titlePg w:val="0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1" w:line="415" w:lineRule="auto"/>
        <w:ind w:left="13" w:right="475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在</w:t>
      </w:r>
      <w:r>
        <w:rPr>
          <w:spacing w:val="-4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8</w:t>
      </w:r>
      <w:r>
        <w:rPr>
          <w:spacing w:val="-6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4</w:t>
      </w:r>
      <w:r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例分子诊断病例中，阳性率最高的是临床诊断为视杆视锥细胞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营养不良的病例，其次是黄斑营养不良、视锥视杆细胞营养不良</w:t>
      </w:r>
      <w:r>
        <w:rPr>
          <w:spacing w:val="-5"/>
          <w:sz w:val="28"/>
          <w:szCs w:val="28"/>
        </w:rPr>
        <w:t>和视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锥细胞营养不良(表1)。6例被归类为“其他”表型，</w:t>
      </w:r>
      <w:r>
        <w:rPr>
          <w:spacing w:val="-3"/>
          <w:sz w:val="28"/>
          <w:szCs w:val="28"/>
        </w:rPr>
        <w:t>包括眼白化病、</w:t>
      </w:r>
    </w:p>
    <w:p>
      <w:pPr>
        <w:pStyle w:val="BodyText"/>
        <w:spacing w:before="1" w:line="212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CACNA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1F  </w:t>
      </w:r>
      <w:r>
        <w:rPr>
          <w:spacing w:val="3"/>
          <w:sz w:val="28"/>
          <w:szCs w:val="28"/>
        </w:rPr>
        <w:t>相关疾病各1例，无脉络膜症和弹力纤维性假黄瘤各2例。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1" w:line="412" w:lineRule="auto"/>
        <w:ind w:left="13" w:right="513"/>
        <w:jc w:val="both"/>
        <w:rPr>
          <w:rFonts w:ascii="SimSun" w:eastAsia="SimSun" w:hAnsi="SimSun" w:cs="SimSun"/>
          <w:sz w:val="28"/>
          <w:szCs w:val="28"/>
        </w:rPr>
      </w:pPr>
      <w:r>
        <w:rPr>
          <w:spacing w:val="17"/>
          <w:sz w:val="28"/>
          <w:szCs w:val="28"/>
        </w:rPr>
        <w:t>仅先证者病例占分子诊断病例的大多数(67/84;79.7%)。在其余</w:t>
      </w:r>
      <w:r>
        <w:rPr>
          <w:spacing w:val="2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病例中，8例为一家三口，9例为二人。在84</w:t>
      </w:r>
      <w:r>
        <w:rPr>
          <w:spacing w:val="9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例解决的病例中，40</w:t>
      </w:r>
      <w:r>
        <w:rPr>
          <w:spacing w:val="12"/>
          <w:sz w:val="28"/>
          <w:szCs w:val="28"/>
        </w:rPr>
        <w:t xml:space="preserve"> </w:t>
      </w:r>
      <w:r>
        <w:rPr>
          <w:spacing w:val="23"/>
          <w:sz w:val="28"/>
          <w:szCs w:val="28"/>
        </w:rPr>
        <w:t>例(47.6%)为常染色体隐性遗传病纯合或复合杂合变</w:t>
      </w:r>
      <w:r>
        <w:rPr>
          <w:spacing w:val="22"/>
          <w:sz w:val="28"/>
          <w:szCs w:val="28"/>
        </w:rPr>
        <w:t>异，33</w:t>
      </w:r>
      <w:r>
        <w:rPr>
          <w:spacing w:val="22"/>
          <w:sz w:val="28"/>
          <w:szCs w:val="28"/>
        </w:rPr>
        <w:t xml:space="preserve"> </w:t>
      </w:r>
      <w:r>
        <w:rPr>
          <w:spacing w:val="22"/>
          <w:sz w:val="28"/>
          <w:szCs w:val="28"/>
        </w:rPr>
        <w:t>例</w:t>
      </w:r>
      <w:r>
        <w:rPr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(39.28%)为常染色体显性遗传病杂合变异</w:t>
      </w:r>
      <w:r>
        <w:rPr>
          <w:spacing w:val="17"/>
          <w:sz w:val="28"/>
          <w:szCs w:val="28"/>
        </w:rPr>
        <w:t>，11例(13</w:t>
      </w:r>
      <w:r>
        <w:rPr>
          <w:spacing w:val="-83"/>
          <w:sz w:val="28"/>
          <w:szCs w:val="28"/>
        </w:rPr>
        <w:t xml:space="preserve"> </w:t>
      </w:r>
      <w:r>
        <w:rPr>
          <w:spacing w:val="17"/>
          <w:sz w:val="28"/>
          <w:szCs w:val="28"/>
        </w:rPr>
        <w:t>.0%)携带</w:t>
      </w:r>
      <w:r>
        <w:rPr>
          <w:rFonts w:ascii="SimSun" w:eastAsia="SimSun" w:hAnsi="SimSun" w:cs="SimSun"/>
          <w:spacing w:val="17"/>
          <w:sz w:val="28"/>
          <w:szCs w:val="28"/>
        </w:rPr>
        <w:t>X</w:t>
      </w:r>
    </w:p>
    <w:p>
      <w:pPr>
        <w:pStyle w:val="BodyText"/>
        <w:spacing w:before="1" w:line="212" w:lineRule="auto"/>
        <w:ind w:left="13"/>
        <w:rPr>
          <w:sz w:val="28"/>
          <w:szCs w:val="28"/>
        </w:rPr>
      </w:pPr>
      <w:r>
        <w:rPr>
          <w:spacing w:val="-10"/>
          <w:sz w:val="28"/>
          <w:szCs w:val="28"/>
        </w:rPr>
        <w:t>连锁变异，为半合子状态。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spacing w:val="-5"/>
          <w:sz w:val="28"/>
          <w:szCs w:val="28"/>
        </w:rPr>
        <w:t>在多个独立分子诊断病例中识别了几个基因，变异最常见于</w:t>
      </w:r>
      <w:r>
        <w:rPr>
          <w:spacing w:val="5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RPGR、</w:t>
      </w:r>
    </w:p>
    <w:p>
      <w:pPr>
        <w:pStyle w:val="BodyText"/>
        <w:spacing w:before="309" w:line="221" w:lineRule="auto"/>
        <w:ind w:left="13"/>
        <w:rPr>
          <w:sz w:val="28"/>
          <w:szCs w:val="28"/>
        </w:rPr>
      </w:pPr>
      <w:r>
        <w:rPr>
          <w:rFonts w:ascii="Arial" w:eastAsia="Arial" w:hAnsi="Arial" w:cs="Arial"/>
          <w:spacing w:val="-12"/>
          <w:sz w:val="28"/>
          <w:szCs w:val="28"/>
        </w:rPr>
        <w:t>PRPH2</w:t>
      </w:r>
      <w:r>
        <w:rPr>
          <w:rFonts w:ascii="Arial" w:eastAsia="Arial" w:hAnsi="Arial" w:cs="Arial"/>
          <w:spacing w:val="68"/>
          <w:w w:val="10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和</w:t>
      </w:r>
      <w:r>
        <w:rPr>
          <w:spacing w:val="7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2"/>
          <w:sz w:val="28"/>
          <w:szCs w:val="28"/>
        </w:rPr>
        <w:t>RHO</w:t>
      </w:r>
      <w:r>
        <w:rPr>
          <w:spacing w:val="-12"/>
          <w:sz w:val="28"/>
          <w:szCs w:val="28"/>
        </w:rPr>
        <w:t>(</w:t>
      </w:r>
      <w:r>
        <w:rPr>
          <w:spacing w:val="-56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见</w:t>
      </w:r>
      <w:r>
        <w:rPr>
          <w:spacing w:val="-52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表</w:t>
      </w:r>
      <w:r>
        <w:rPr>
          <w:spacing w:val="-59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2</w:t>
      </w:r>
      <w:r>
        <w:rPr>
          <w:spacing w:val="-6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)</w:t>
      </w:r>
      <w:r>
        <w:rPr>
          <w:spacing w:val="-3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。</w:t>
      </w:r>
      <w:r>
        <w:rPr>
          <w:spacing w:val="-57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识</w:t>
      </w:r>
      <w:r>
        <w:rPr>
          <w:spacing w:val="-57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别</w:t>
      </w:r>
      <w:r>
        <w:rPr>
          <w:spacing w:val="-4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的</w:t>
      </w:r>
      <w:r>
        <w:rPr>
          <w:spacing w:val="-64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9</w:t>
      </w:r>
      <w:r>
        <w:rPr>
          <w:spacing w:val="-57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个</w:t>
      </w:r>
      <w:r>
        <w:rPr>
          <w:spacing w:val="4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RPGR  </w:t>
      </w:r>
      <w:r>
        <w:rPr>
          <w:spacing w:val="-12"/>
          <w:sz w:val="28"/>
          <w:szCs w:val="28"/>
        </w:rPr>
        <w:t>变异存在</w:t>
      </w:r>
      <w:r>
        <w:rPr>
          <w:spacing w:val="-13"/>
          <w:sz w:val="28"/>
          <w:szCs w:val="28"/>
        </w:rPr>
        <w:t>于富含</w:t>
      </w:r>
    </w:p>
    <w:p>
      <w:pPr>
        <w:pStyle w:val="BodyText"/>
        <w:spacing w:before="280" w:line="409" w:lineRule="auto"/>
        <w:ind w:left="16" w:right="448" w:hanging="3"/>
        <w:jc w:val="both"/>
        <w:rPr>
          <w:sz w:val="28"/>
          <w:szCs w:val="28"/>
        </w:rPr>
      </w:pPr>
      <w:r>
        <w:rPr>
          <w:rFonts w:ascii="Arial" w:eastAsia="Arial" w:hAnsi="Arial" w:cs="Arial"/>
          <w:b/>
          <w:bCs/>
          <w:spacing w:val="-2"/>
          <w:sz w:val="28"/>
          <w:szCs w:val="28"/>
        </w:rPr>
        <w:t>GA</w:t>
      </w:r>
      <w:r>
        <w:rPr>
          <w:rFonts w:ascii="Arial" w:eastAsia="Arial" w:hAnsi="Arial" w:cs="Arial"/>
          <w:b/>
          <w:bCs/>
          <w:spacing w:val="74"/>
          <w:w w:val="101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的</w:t>
      </w:r>
      <w:r>
        <w:rPr>
          <w:spacing w:val="5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8"/>
          <w:szCs w:val="28"/>
        </w:rPr>
        <w:t>ORF15</w:t>
      </w:r>
      <w:r>
        <w:rPr>
          <w:b/>
          <w:bCs/>
          <w:spacing w:val="-2"/>
          <w:sz w:val="28"/>
          <w:szCs w:val="28"/>
        </w:rPr>
        <w:t>(外显子15),在我们的</w:t>
      </w:r>
      <w:r>
        <w:rPr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8"/>
          <w:szCs w:val="28"/>
        </w:rPr>
        <w:t xml:space="preserve">ES  </w:t>
      </w:r>
      <w:r>
        <w:rPr>
          <w:b/>
          <w:bCs/>
          <w:spacing w:val="-2"/>
          <w:sz w:val="28"/>
          <w:szCs w:val="28"/>
        </w:rPr>
        <w:t>平台中序列覆盖率较差。</w:t>
      </w:r>
      <w:r>
        <w:rPr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除了一例病例外，对所有其他</w:t>
      </w:r>
      <w:r>
        <w:rPr>
          <w:spacing w:val="-2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RPGR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ORF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15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变异阳性病例使用基于</w:t>
      </w:r>
    </w:p>
    <w:p>
      <w:pPr>
        <w:pStyle w:val="BodyText"/>
        <w:spacing w:before="2" w:line="220" w:lineRule="auto"/>
        <w:ind w:left="17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扩增子的</w:t>
      </w:r>
      <w:r>
        <w:rPr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NGS</w:t>
      </w:r>
      <w:r>
        <w:rPr>
          <w:rFonts w:ascii="SimSun" w:eastAsia="SimSun" w:hAnsi="SimSun" w:cs="SimSun"/>
          <w:spacing w:val="68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方法证实了</w:t>
      </w:r>
      <w:r>
        <w:rPr>
          <w:spacing w:val="-7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ORF15</w:t>
      </w:r>
      <w:r>
        <w:rPr>
          <w:rFonts w:ascii="SimSun" w:eastAsia="SimSun" w:hAnsi="SimSun" w:cs="SimSun"/>
          <w:spacing w:val="100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变异。</w:t>
      </w:r>
    </w:p>
    <w:tbl>
      <w:tblPr>
        <w:tblStyle w:val="TableNormal1"/>
        <w:tblW w:w="8770" w:type="dxa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4"/>
        <w:gridCol w:w="969"/>
        <w:gridCol w:w="949"/>
        <w:gridCol w:w="6108"/>
      </w:tblGrid>
      <w:tr>
        <w:tblPrEx>
          <w:tblW w:w="8770" w:type="dxa"/>
          <w:tblInd w:w="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44"/>
        </w:trPr>
        <w:tc>
          <w:tcPr>
            <w:tcW w:w="744" w:type="dxa"/>
            <w:shd w:val="clear" w:color="auto" w:fill="A6A8AC"/>
            <w:vAlign w:val="top"/>
          </w:tcPr>
          <w:p>
            <w:pPr>
              <w:pStyle w:val="TableText"/>
              <w:spacing w:before="85" w:line="183" w:lineRule="auto"/>
              <w:ind w:left="57"/>
              <w:rPr>
                <w:sz w:val="14"/>
                <w:szCs w:val="14"/>
              </w:rPr>
            </w:pPr>
            <w:r>
              <w:rPr>
                <w:b/>
                <w:bCs/>
                <w:spacing w:val="-3"/>
                <w:sz w:val="14"/>
                <w:szCs w:val="14"/>
              </w:rPr>
              <w:t>Gene</w:t>
            </w:r>
          </w:p>
        </w:tc>
        <w:tc>
          <w:tcPr>
            <w:tcW w:w="969" w:type="dxa"/>
            <w:shd w:val="clear" w:color="auto" w:fill="A6A8AB"/>
            <w:vAlign w:val="top"/>
          </w:tcPr>
          <w:p>
            <w:pPr>
              <w:pStyle w:val="TableText"/>
              <w:spacing w:before="62" w:line="226" w:lineRule="auto"/>
              <w:ind w:left="52"/>
              <w:rPr>
                <w:sz w:val="14"/>
                <w:szCs w:val="14"/>
              </w:rPr>
            </w:pPr>
            <w:r>
              <w:rPr>
                <w:b/>
                <w:bCs/>
                <w:spacing w:val="-3"/>
                <w:sz w:val="14"/>
                <w:szCs w:val="14"/>
              </w:rPr>
              <w:t>No.of</w:t>
            </w:r>
            <w:r>
              <w:rPr>
                <w:spacing w:val="14"/>
                <w:sz w:val="14"/>
                <w:szCs w:val="14"/>
              </w:rPr>
              <w:t xml:space="preserve"> </w:t>
            </w:r>
            <w:r>
              <w:rPr>
                <w:b/>
                <w:bCs/>
                <w:spacing w:val="-3"/>
                <w:sz w:val="14"/>
                <w:szCs w:val="14"/>
              </w:rPr>
              <w:t>cases</w:t>
            </w:r>
          </w:p>
        </w:tc>
        <w:tc>
          <w:tcPr>
            <w:tcW w:w="949" w:type="dxa"/>
            <w:shd w:val="clear" w:color="auto" w:fill="A7A8AC"/>
            <w:vAlign w:val="top"/>
          </w:tcPr>
          <w:p>
            <w:pPr>
              <w:pStyle w:val="TableText"/>
              <w:spacing w:before="64" w:line="224" w:lineRule="auto"/>
              <w:ind w:left="64"/>
              <w:rPr>
                <w:sz w:val="14"/>
                <w:szCs w:val="14"/>
              </w:rPr>
            </w:pPr>
            <w:r>
              <w:rPr>
                <w:b/>
                <w:bCs/>
                <w:spacing w:val="-3"/>
                <w:sz w:val="14"/>
                <w:szCs w:val="14"/>
              </w:rPr>
              <w:t>Inheritance</w:t>
            </w:r>
          </w:p>
        </w:tc>
        <w:tc>
          <w:tcPr>
            <w:tcW w:w="6108" w:type="dxa"/>
            <w:shd w:val="clear" w:color="auto" w:fill="A7A8AD"/>
            <w:vAlign w:val="top"/>
          </w:tcPr>
          <w:p>
            <w:pPr>
              <w:pStyle w:val="TableText"/>
              <w:spacing w:before="25" w:line="214" w:lineRule="auto"/>
              <w:ind w:left="6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Phenotype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association</w:t>
            </w:r>
          </w:p>
        </w:tc>
      </w:tr>
    </w:tbl>
    <w:p>
      <w:pPr>
        <w:sectPr>
          <w:headerReference w:type="default" r:id="rId15"/>
          <w:footerReference w:type="default" r:id="rId16"/>
          <w:pgSz w:w="11910" w:h="16840"/>
          <w:pgMar w:top="400" w:right="1304" w:bottom="2121" w:left="1786" w:header="0" w:footer="1783" w:gutter="0"/>
          <w:pgNumType w:start="11"/>
          <w:cols w:space="708"/>
        </w:sectPr>
      </w:pPr>
    </w:p>
    <w:tbl>
      <w:tblPr>
        <w:tblStyle w:val="TableNormal2"/>
        <w:tblW w:w="8770" w:type="dxa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4"/>
        <w:gridCol w:w="969"/>
        <w:gridCol w:w="949"/>
        <w:gridCol w:w="6108"/>
      </w:tblGrid>
      <w:tr>
        <w:tblPrEx>
          <w:tblW w:w="8770" w:type="dxa"/>
          <w:tblInd w:w="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48"/>
        </w:trPr>
        <w:tc>
          <w:tcPr>
            <w:tcW w:w="744" w:type="dxa"/>
            <w:vAlign w:val="top"/>
          </w:tcPr>
          <w:p>
            <w:pPr>
              <w:pStyle w:val="TableText"/>
              <w:spacing w:before="92" w:line="183" w:lineRule="auto"/>
              <w:ind w:left="5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RPGR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92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70" w:line="221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X-linked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32" w:line="211" w:lineRule="auto"/>
              <w:ind w:left="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Cone-Rod Dystrophy,Macular Degeneration,Retinitis Pig</w:t>
            </w:r>
            <w:r>
              <w:rPr>
                <w:spacing w:val="-1"/>
                <w:sz w:val="18"/>
                <w:szCs w:val="18"/>
              </w:rPr>
              <w:t>mentosa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59"/>
        </w:trPr>
        <w:tc>
          <w:tcPr>
            <w:tcW w:w="744" w:type="dxa"/>
            <w:vAlign w:val="top"/>
          </w:tcPr>
          <w:p>
            <w:pPr>
              <w:pStyle w:val="TableText"/>
              <w:spacing w:before="94" w:line="183" w:lineRule="auto"/>
              <w:ind w:left="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PRPH2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94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77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AD,AR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53" w:line="214" w:lineRule="auto"/>
              <w:ind w:left="6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Leber Congenital Amaurosis,Macular Dystrophy,Retinitis Pigmentosa,Choroidal Dys</w:t>
            </w:r>
            <w:r>
              <w:rPr>
                <w:spacing w:val="-1"/>
                <w:sz w:val="14"/>
                <w:szCs w:val="14"/>
              </w:rPr>
              <w:t>trophy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39"/>
        </w:trPr>
        <w:tc>
          <w:tcPr>
            <w:tcW w:w="744" w:type="dxa"/>
            <w:vAlign w:val="top"/>
          </w:tcPr>
          <w:p>
            <w:pPr>
              <w:pStyle w:val="TableText"/>
              <w:spacing w:before="85" w:line="183" w:lineRule="auto"/>
              <w:ind w:left="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RHO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86" w:line="182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68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AD,AR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25" w:line="209" w:lineRule="auto"/>
              <w:ind w:left="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Night Blindness,Retinitis Pigmetosa,Retinitis Punctata Albesc</w:t>
            </w:r>
            <w:r>
              <w:rPr>
                <w:spacing w:val="-1"/>
                <w:sz w:val="18"/>
                <w:szCs w:val="18"/>
              </w:rPr>
              <w:t>ens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39"/>
        </w:trPr>
        <w:tc>
          <w:tcPr>
            <w:tcW w:w="744" w:type="dxa"/>
            <w:vAlign w:val="top"/>
          </w:tcPr>
          <w:p>
            <w:pPr>
              <w:pStyle w:val="TableText"/>
              <w:spacing w:before="85" w:line="185" w:lineRule="auto"/>
              <w:ind w:left="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ABCA4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86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86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AR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26" w:line="214" w:lineRule="auto"/>
              <w:jc w:val="right"/>
              <w:rPr>
                <w:sz w:val="16"/>
                <w:szCs w:val="16"/>
              </w:rPr>
            </w:pPr>
            <w:r>
              <w:rPr>
                <w:spacing w:val="-13"/>
                <w:sz w:val="16"/>
                <w:szCs w:val="16"/>
              </w:rPr>
              <w:t>C</w:t>
            </w:r>
            <w:r>
              <w:rPr>
                <w:spacing w:val="-12"/>
                <w:sz w:val="16"/>
                <w:szCs w:val="16"/>
              </w:rPr>
              <w:t>one-Rod Dystrophy,Fundus Flavimaculatus,Retinal Dystrophy,Retinitis P</w:t>
            </w:r>
            <w:r>
              <w:rPr>
                <w:spacing w:val="-13"/>
                <w:sz w:val="16"/>
                <w:szCs w:val="16"/>
              </w:rPr>
              <w:t>igmentosa,Stargard</w:t>
            </w:r>
            <w:r>
              <w:rPr>
                <w:spacing w:val="-12"/>
                <w:sz w:val="16"/>
                <w:szCs w:val="16"/>
              </w:rPr>
              <w:t>t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49"/>
        </w:trPr>
        <w:tc>
          <w:tcPr>
            <w:tcW w:w="744" w:type="dxa"/>
            <w:vAlign w:val="top"/>
          </w:tcPr>
          <w:p>
            <w:pPr>
              <w:pStyle w:val="TableText"/>
              <w:spacing w:before="97" w:line="183" w:lineRule="auto"/>
              <w:ind w:left="5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EYS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97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97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AR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66" w:line="177" w:lineRule="auto"/>
              <w:ind w:left="6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Retinitis Pigmentosa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49"/>
        </w:trPr>
        <w:tc>
          <w:tcPr>
            <w:tcW w:w="744" w:type="dxa"/>
            <w:vAlign w:val="top"/>
          </w:tcPr>
          <w:p>
            <w:pPr>
              <w:pStyle w:val="TableText"/>
              <w:spacing w:before="99" w:line="182" w:lineRule="auto"/>
              <w:ind w:left="5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KIZ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98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98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AR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67" w:line="176" w:lineRule="auto"/>
              <w:ind w:left="6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Retinitis Pigmentosa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49"/>
        </w:trPr>
        <w:tc>
          <w:tcPr>
            <w:tcW w:w="744" w:type="dxa"/>
            <w:vAlign w:val="top"/>
          </w:tcPr>
          <w:p>
            <w:pPr>
              <w:pStyle w:val="TableText"/>
              <w:spacing w:before="99" w:line="183" w:lineRule="auto"/>
              <w:ind w:left="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PRPF8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99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99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AD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68" w:line="175" w:lineRule="auto"/>
              <w:ind w:left="6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Retinitis Pigmentosa</w:t>
            </w:r>
          </w:p>
        </w:tc>
      </w:tr>
      <w:tr>
        <w:tblPrEx>
          <w:tblW w:w="8770" w:type="dxa"/>
          <w:tblInd w:w="43" w:type="dxa"/>
          <w:tblLayout w:type="fixed"/>
        </w:tblPrEx>
        <w:trPr>
          <w:trHeight w:val="254"/>
        </w:trPr>
        <w:tc>
          <w:tcPr>
            <w:tcW w:w="744" w:type="dxa"/>
            <w:vAlign w:val="top"/>
          </w:tcPr>
          <w:p>
            <w:pPr>
              <w:pStyle w:val="TableText"/>
              <w:spacing w:before="99" w:line="185" w:lineRule="auto"/>
              <w:ind w:left="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USH2A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00" w:line="183" w:lineRule="auto"/>
              <w:ind w:left="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100" w:line="184" w:lineRule="auto"/>
              <w:ind w:left="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AR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spacing w:before="40" w:line="209" w:lineRule="auto"/>
              <w:ind w:left="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Retinitis Pigmentosa,Usher Sy</w:t>
            </w:r>
            <w:r>
              <w:rPr>
                <w:spacing w:val="-1"/>
                <w:sz w:val="18"/>
                <w:szCs w:val="18"/>
              </w:rPr>
              <w:t>ndrome</w:t>
            </w:r>
          </w:p>
        </w:tc>
      </w:tr>
    </w:tbl>
    <w:p>
      <w:pPr>
        <w:spacing w:before="251" w:line="192" w:lineRule="auto"/>
        <w:ind w:left="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2. </w:t>
      </w:r>
      <w:r>
        <w:rPr>
          <w:rFonts w:ascii="Times New Roman" w:eastAsia="Times New Roman" w:hAnsi="Times New Roman" w:cs="Times New Roman"/>
          <w:sz w:val="20"/>
          <w:szCs w:val="20"/>
        </w:rPr>
        <w:t>Most frequently identified genes in the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dataset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(by num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ber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offamilies).</w:t>
      </w:r>
    </w:p>
    <w:p>
      <w:pPr>
        <w:spacing w:line="192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7"/>
          <w:footerReference w:type="default" r:id="rId18"/>
          <w:type w:val="nextPage"/>
          <w:pgSz w:w="11910" w:h="16840"/>
          <w:pgMar w:top="400" w:right="1304" w:bottom="2121" w:left="1786" w:header="0" w:footer="1783" w:gutter="0"/>
          <w:pgNumType w:start="12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91" w:line="414" w:lineRule="auto"/>
        <w:ind w:left="13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22例病例被归为疑似分子诊断，发现了常染色体隐性遗传相关基因两</w:t>
      </w:r>
      <w:r>
        <w:rPr>
          <w:spacing w:val="1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个或两个以上致病性或可能致病性变异。包括两个或两个以上相位无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法确定的</w:t>
      </w:r>
      <w:r>
        <w:rPr>
          <w:spacing w:val="-6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ABCA4(5</w:t>
      </w:r>
      <w:r>
        <w:rPr>
          <w:rFonts w:ascii="SimSun" w:eastAsia="SimSun" w:hAnsi="SimSun" w:cs="SimSun"/>
          <w:spacing w:val="61"/>
          <w:sz w:val="28"/>
          <w:szCs w:val="28"/>
        </w:rPr>
        <w:t xml:space="preserve">  </w:t>
      </w:r>
      <w:r>
        <w:rPr>
          <w:spacing w:val="-1"/>
          <w:sz w:val="28"/>
          <w:szCs w:val="28"/>
        </w:rPr>
        <w:t>例</w:t>
      </w:r>
      <w:r>
        <w:rPr>
          <w:spacing w:val="-5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)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、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USH2A(6   </w:t>
      </w:r>
      <w:r>
        <w:rPr>
          <w:spacing w:val="-1"/>
          <w:sz w:val="28"/>
          <w:szCs w:val="28"/>
        </w:rPr>
        <w:t>例</w:t>
      </w:r>
      <w:r>
        <w:rPr>
          <w:spacing w:val="-5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)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rFonts w:ascii="SimSun" w:eastAsia="SimSun" w:hAnsi="SimSun" w:cs="SimSun"/>
          <w:spacing w:val="-2"/>
          <w:sz w:val="28"/>
          <w:szCs w:val="28"/>
        </w:rPr>
        <w:t>EYS(3</w:t>
      </w:r>
      <w:r>
        <w:rPr>
          <w:rFonts w:ascii="SimSun" w:eastAsia="SimSun" w:hAnsi="SimSun" w:cs="SimSun"/>
          <w:spacing w:val="12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例)变异见于</w:t>
      </w:r>
      <w:r>
        <w:rPr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多例病例，</w:t>
      </w:r>
      <w:r>
        <w:rPr>
          <w:rFonts w:ascii="Arial" w:eastAsia="Arial" w:hAnsi="Arial" w:cs="Arial"/>
          <w:spacing w:val="-13"/>
          <w:sz w:val="28"/>
          <w:szCs w:val="28"/>
        </w:rPr>
        <w:t>CNGA3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Arial" w:eastAsia="Arial" w:hAnsi="Arial" w:cs="Arial"/>
          <w:spacing w:val="-13"/>
          <w:sz w:val="28"/>
          <w:szCs w:val="28"/>
        </w:rPr>
        <w:t>CNGB1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Arial" w:eastAsia="Arial" w:hAnsi="Arial" w:cs="Arial"/>
          <w:spacing w:val="-13"/>
          <w:sz w:val="28"/>
          <w:szCs w:val="28"/>
        </w:rPr>
        <w:t>COL18A1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Arial" w:eastAsia="Arial" w:hAnsi="Arial" w:cs="Arial"/>
          <w:spacing w:val="-13"/>
          <w:sz w:val="28"/>
          <w:szCs w:val="28"/>
        </w:rPr>
        <w:t>C</w:t>
      </w:r>
      <w:r>
        <w:rPr>
          <w:rFonts w:ascii="Arial" w:eastAsia="Arial" w:hAnsi="Arial" w:cs="Arial"/>
          <w:spacing w:val="-14"/>
          <w:sz w:val="28"/>
          <w:szCs w:val="28"/>
        </w:rPr>
        <w:t>OQ2</w:t>
      </w:r>
      <w:r>
        <w:rPr>
          <w:rFonts w:ascii="SimSun" w:eastAsia="SimSun" w:hAnsi="SimSun" w:cs="SimSun"/>
          <w:spacing w:val="-14"/>
          <w:sz w:val="28"/>
          <w:szCs w:val="28"/>
        </w:rPr>
        <w:t>、</w:t>
      </w:r>
      <w:r>
        <w:rPr>
          <w:rFonts w:ascii="Arial" w:eastAsia="Arial" w:hAnsi="Arial" w:cs="Arial"/>
          <w:spacing w:val="-14"/>
          <w:sz w:val="28"/>
          <w:szCs w:val="28"/>
        </w:rPr>
        <w:t>NPHP4</w:t>
      </w:r>
      <w:r>
        <w:rPr>
          <w:rFonts w:ascii="SimSun" w:eastAsia="SimSun" w:hAnsi="SimSun" w:cs="SimSun"/>
          <w:spacing w:val="-14"/>
          <w:sz w:val="28"/>
          <w:szCs w:val="28"/>
        </w:rPr>
        <w:t>、</w:t>
      </w:r>
      <w:r>
        <w:rPr>
          <w:rFonts w:ascii="Arial" w:eastAsia="Arial" w:hAnsi="Arial" w:cs="Arial"/>
          <w:spacing w:val="-14"/>
          <w:sz w:val="28"/>
          <w:szCs w:val="28"/>
        </w:rPr>
        <w:t>PCARE</w:t>
      </w:r>
      <w:r>
        <w:rPr>
          <w:rFonts w:ascii="SimSun" w:eastAsia="SimSun" w:hAnsi="SimSun" w:cs="SimSun"/>
          <w:spacing w:val="-14"/>
          <w:sz w:val="28"/>
          <w:szCs w:val="28"/>
        </w:rPr>
        <w:t>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PDE</w:t>
      </w:r>
      <w:r>
        <w:rPr>
          <w:rFonts w:ascii="SimSun" w:eastAsia="SimSun" w:hAnsi="SimSun" w:cs="SimSun"/>
          <w:spacing w:val="7"/>
          <w:sz w:val="28"/>
          <w:szCs w:val="28"/>
        </w:rPr>
        <w:t>6B</w:t>
      </w:r>
      <w:r>
        <w:rPr>
          <w:rFonts w:ascii="SimSun" w:eastAsia="SimSun" w:hAnsi="SimSun" w:cs="SimSun"/>
          <w:spacing w:val="60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和</w:t>
      </w:r>
      <w:r>
        <w:rPr>
          <w:spacing w:val="-48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RPE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65 </w:t>
      </w:r>
      <w:r>
        <w:rPr>
          <w:spacing w:val="7"/>
          <w:sz w:val="28"/>
          <w:szCs w:val="28"/>
        </w:rPr>
        <w:t>变异各有一例。这些病例大多为仅先证者(19/22;</w:t>
      </w:r>
      <w:r>
        <w:rPr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86.4%),此外，还有2例二人，以及1例先证者加一个临床表型未</w:t>
      </w:r>
    </w:p>
    <w:p>
      <w:pPr>
        <w:pStyle w:val="BodyText"/>
        <w:spacing w:line="221" w:lineRule="auto"/>
        <w:ind w:left="13"/>
        <w:rPr>
          <w:sz w:val="28"/>
          <w:szCs w:val="28"/>
        </w:rPr>
      </w:pPr>
      <w:r>
        <w:rPr>
          <w:spacing w:val="-13"/>
          <w:sz w:val="28"/>
          <w:szCs w:val="28"/>
        </w:rPr>
        <w:t>知的孩子。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7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具有潜在临床意义的分子发现</w:t>
      </w:r>
    </w:p>
    <w:p>
      <w:pPr>
        <w:pStyle w:val="BodyText"/>
        <w:spacing w:before="286" w:line="411" w:lineRule="auto"/>
        <w:ind w:left="13" w:right="83"/>
        <w:jc w:val="both"/>
        <w:rPr>
          <w:sz w:val="28"/>
          <w:szCs w:val="28"/>
        </w:rPr>
      </w:pPr>
      <w:r>
        <w:rPr>
          <w:spacing w:val="14"/>
          <w:sz w:val="28"/>
          <w:szCs w:val="28"/>
        </w:rPr>
        <w:t>除了84例分子诊断病例和22例疑似分子诊断病</w:t>
      </w:r>
      <w:r>
        <w:rPr>
          <w:spacing w:val="13"/>
          <w:sz w:val="28"/>
          <w:szCs w:val="28"/>
        </w:rPr>
        <w:t>例外，98例有具有</w:t>
      </w:r>
      <w:r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潜在临床意义的分子发现，包括常染色体隐性遗传基因2</w:t>
      </w:r>
      <w:r>
        <w:rPr>
          <w:sz w:val="28"/>
          <w:szCs w:val="28"/>
        </w:rPr>
        <w:t>个杂合变异</w:t>
      </w:r>
      <w:r>
        <w:rPr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(</w:t>
      </w:r>
      <w:r>
        <w:rPr>
          <w:spacing w:val="-35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2</w:t>
      </w:r>
      <w:r>
        <w:rPr>
          <w:spacing w:val="-37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个</w:t>
      </w:r>
      <w:r>
        <w:rPr>
          <w:rFonts w:ascii="SimSun" w:eastAsia="SimSun" w:hAnsi="SimSun" w:cs="SimSun"/>
          <w:sz w:val="28"/>
          <w:szCs w:val="28"/>
        </w:rPr>
        <w:t>VUS</w:t>
      </w:r>
      <w:r>
        <w:rPr>
          <w:rFonts w:ascii="SimSun" w:eastAsia="SimSun" w:hAnsi="SimSun" w:cs="SimSun"/>
          <w:spacing w:val="65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或1个致病性/可能致病性变异加1个</w:t>
      </w:r>
      <w:r>
        <w:rPr>
          <w:rFonts w:ascii="SimSun" w:eastAsia="SimSun" w:hAnsi="SimSun" w:cs="SimSun"/>
          <w:sz w:val="28"/>
          <w:szCs w:val="28"/>
        </w:rPr>
        <w:t>VUS</w:t>
      </w:r>
      <w:r>
        <w:rPr>
          <w:rFonts w:ascii="SimSun" w:eastAsia="SimSun" w:hAnsi="SimSun" w:cs="SimSun"/>
          <w:spacing w:val="64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变异),常染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z w:val="28"/>
          <w:szCs w:val="28"/>
        </w:rPr>
        <w:t>色体显性遗传基因1个</w:t>
      </w:r>
      <w:r>
        <w:rPr>
          <w:spacing w:val="-69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 xml:space="preserve">VUS,  </w:t>
      </w:r>
      <w:r>
        <w:rPr>
          <w:sz w:val="28"/>
          <w:szCs w:val="28"/>
        </w:rPr>
        <w:t>以及半合子男性</w:t>
      </w:r>
      <w:r>
        <w:rPr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X</w:t>
      </w:r>
      <w:r>
        <w:rPr>
          <w:rFonts w:ascii="SimSun" w:eastAsia="SimSun" w:hAnsi="SimSun" w:cs="SimSun"/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连锁</w:t>
      </w:r>
      <w:r>
        <w:rPr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 xml:space="preserve">VUS  </w:t>
      </w:r>
      <w:r>
        <w:rPr>
          <w:sz w:val="28"/>
          <w:szCs w:val="28"/>
        </w:rPr>
        <w:t>变异。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3" w:right="84"/>
        <w:rPr>
          <w:sz w:val="28"/>
          <w:szCs w:val="28"/>
        </w:rPr>
      </w:pPr>
      <w:r>
        <w:rPr>
          <w:spacing w:val="1"/>
          <w:sz w:val="28"/>
          <w:szCs w:val="28"/>
        </w:rPr>
        <w:t>98例患者中，56.6%为视杆视锥细胞营养不良，</w:t>
      </w:r>
      <w:r>
        <w:rPr>
          <w:sz w:val="28"/>
          <w:szCs w:val="28"/>
        </w:rPr>
        <w:t>其次是黄斑细胞营养</w:t>
      </w:r>
      <w:r>
        <w:rPr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不良、视锥视杆细胞营养不良、视锥细胞营养不良(表</w:t>
      </w:r>
      <w:r>
        <w:rPr>
          <w:spacing w:val="14"/>
          <w:sz w:val="28"/>
          <w:szCs w:val="28"/>
        </w:rPr>
        <w:t>1)。8例具</w:t>
      </w:r>
      <w:r>
        <w:rPr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有潜在临床意义发现的病例基于表型被归类为</w:t>
      </w:r>
      <w:r>
        <w:rPr>
          <w:spacing w:val="-11"/>
          <w:sz w:val="28"/>
          <w:szCs w:val="28"/>
        </w:rPr>
        <w:t>“其他”,包括青光眼、</w:t>
      </w:r>
    </w:p>
    <w:p>
      <w:pPr>
        <w:pStyle w:val="BodyText"/>
        <w:spacing w:before="1" w:line="220" w:lineRule="auto"/>
        <w:ind w:left="13"/>
        <w:rPr>
          <w:sz w:val="28"/>
          <w:szCs w:val="28"/>
        </w:rPr>
      </w:pPr>
      <w:r>
        <w:rPr>
          <w:spacing w:val="-6"/>
          <w:sz w:val="28"/>
          <w:szCs w:val="28"/>
        </w:rPr>
        <w:t>黄斑囊样水肿伴板层裂孔和有显著视网膜疾病家族史的症</w:t>
      </w:r>
      <w:r>
        <w:rPr>
          <w:spacing w:val="-7"/>
          <w:sz w:val="28"/>
          <w:szCs w:val="28"/>
        </w:rPr>
        <w:t>状前个体。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  <w:sectPr>
          <w:headerReference w:type="default" r:id="rId19"/>
          <w:footerReference w:type="default" r:id="rId20"/>
          <w:pgSz w:w="11910" w:h="16840"/>
          <w:pgMar w:top="400" w:right="1739" w:bottom="400" w:left="1786" w:header="0" w:footer="0" w:gutter="0"/>
          <w:pgNumType w:start="13"/>
          <w:cols w:space="708"/>
        </w:sectPr>
      </w:pPr>
    </w:p>
    <w:p>
      <w:pPr>
        <w:pStyle w:val="BodyText"/>
        <w:spacing w:before="92" w:line="415" w:lineRule="auto"/>
        <w:ind w:left="13" w:right="90"/>
        <w:rPr>
          <w:rFonts w:ascii="SimSun" w:eastAsia="SimSun" w:hAnsi="SimSun" w:cs="SimSun"/>
          <w:sz w:val="28"/>
          <w:szCs w:val="28"/>
        </w:rPr>
      </w:pPr>
      <w:r>
        <w:rPr>
          <w:spacing w:val="10"/>
          <w:sz w:val="28"/>
          <w:szCs w:val="28"/>
        </w:rPr>
        <w:t>在这98</w:t>
      </w:r>
      <w:r>
        <w:rPr>
          <w:spacing w:val="10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例具有潜在临床意义分子发现的</w:t>
      </w:r>
      <w:r>
        <w:rPr>
          <w:spacing w:val="9"/>
          <w:sz w:val="28"/>
          <w:szCs w:val="28"/>
        </w:rPr>
        <w:t>病例中，只有5</w:t>
      </w:r>
      <w:r>
        <w:rPr>
          <w:spacing w:val="9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例为一家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三口病例，其中，4</w:t>
      </w:r>
      <w:r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例具有双等位基因</w:t>
      </w:r>
      <w:r>
        <w:rPr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</w:rPr>
        <w:t xml:space="preserve">VUS,1    </w:t>
      </w:r>
      <w:r>
        <w:rPr>
          <w:spacing w:val="-5"/>
          <w:sz w:val="28"/>
          <w:szCs w:val="28"/>
        </w:rPr>
        <w:t>例具有纯合</w:t>
      </w:r>
      <w:r>
        <w:rPr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</w:rPr>
        <w:t>VUS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</w:p>
    <w:p>
      <w:pPr>
        <w:pStyle w:val="BodyText"/>
        <w:spacing w:before="1" w:line="212" w:lineRule="auto"/>
        <w:ind w:left="13"/>
        <w:rPr>
          <w:sz w:val="28"/>
          <w:szCs w:val="28"/>
        </w:rPr>
      </w:pPr>
      <w:r>
        <w:rPr>
          <w:spacing w:val="-7"/>
          <w:sz w:val="28"/>
          <w:szCs w:val="28"/>
        </w:rPr>
        <w:t>11</w:t>
      </w:r>
      <w:r>
        <w:rPr>
          <w:spacing w:val="-55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例为二人病例。其中，5</w:t>
      </w:r>
      <w:r>
        <w:rPr>
          <w:spacing w:val="-7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例存在常染色体显性遗传基因</w:t>
      </w:r>
      <w:r>
        <w:rPr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</w:rPr>
        <w:t xml:space="preserve">VUS,6   </w:t>
      </w:r>
      <w:r>
        <w:rPr>
          <w:spacing w:val="-7"/>
          <w:sz w:val="28"/>
          <w:szCs w:val="28"/>
        </w:rPr>
        <w:t>例</w:t>
      </w:r>
    </w:p>
    <w:p>
      <w:pPr>
        <w:spacing w:line="212" w:lineRule="auto"/>
        <w:rPr>
          <w:sz w:val="28"/>
          <w:szCs w:val="28"/>
        </w:rPr>
        <w:sectPr>
          <w:headerReference w:type="default" r:id="rId21"/>
          <w:footerReference w:type="default" r:id="rId22"/>
          <w:type w:val="nextPage"/>
          <w:pgSz w:w="11910" w:h="16840"/>
          <w:pgMar w:top="400" w:right="1739" w:bottom="400" w:left="1786" w:header="0" w:footer="0" w:gutter="0"/>
          <w:pgNumType w:start="14"/>
          <w:cols w:space="708"/>
          <w:titlePg w:val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8" w:line="432" w:lineRule="auto"/>
        <w:ind w:left="13" w:right="95"/>
        <w:jc w:val="both"/>
      </w:pPr>
      <w:r>
        <w:rPr>
          <w:spacing w:val="6"/>
        </w:rPr>
        <w:t>存在常染色体隐性遗传基因两个杂合或一个纯合变异。在存在常</w:t>
      </w:r>
      <w:r>
        <w:rPr>
          <w:spacing w:val="5"/>
        </w:rPr>
        <w:t>染色</w:t>
      </w:r>
      <w:r>
        <w:t xml:space="preserve"> </w:t>
      </w:r>
      <w:r>
        <w:rPr>
          <w:spacing w:val="14"/>
        </w:rPr>
        <w:t>体隐性遗传基因两个变异的5</w:t>
      </w:r>
      <w:r>
        <w:rPr>
          <w:spacing w:val="14"/>
        </w:rPr>
        <w:t xml:space="preserve"> </w:t>
      </w:r>
      <w:r>
        <w:rPr>
          <w:spacing w:val="14"/>
        </w:rPr>
        <w:t>例病例中，4</w:t>
      </w:r>
      <w:r>
        <w:rPr>
          <w:spacing w:val="14"/>
        </w:rPr>
        <w:t xml:space="preserve"> </w:t>
      </w:r>
      <w:r>
        <w:rPr>
          <w:spacing w:val="14"/>
        </w:rPr>
        <w:t>例至少一个变异为致病</w:t>
      </w:r>
      <w:r>
        <w:rPr>
          <w:spacing w:val="9"/>
        </w:rPr>
        <w:t xml:space="preserve"> </w:t>
      </w:r>
      <w:r>
        <w:rPr>
          <w:spacing w:val="9"/>
        </w:rPr>
        <w:t>性或可能致病性，2</w:t>
      </w:r>
      <w:r>
        <w:rPr>
          <w:spacing w:val="9"/>
        </w:rPr>
        <w:t xml:space="preserve"> </w:t>
      </w:r>
      <w:r>
        <w:rPr>
          <w:spacing w:val="9"/>
        </w:rPr>
        <w:t>例两个变异均为致病性。其余83</w:t>
      </w:r>
      <w:r>
        <w:rPr>
          <w:spacing w:val="9"/>
        </w:rPr>
        <w:t xml:space="preserve"> </w:t>
      </w:r>
      <w:r>
        <w:rPr>
          <w:spacing w:val="9"/>
        </w:rPr>
        <w:t>例为单人先证</w:t>
      </w:r>
    </w:p>
    <w:p>
      <w:pPr>
        <w:pStyle w:val="BodyText"/>
        <w:spacing w:before="1" w:line="223" w:lineRule="auto"/>
        <w:ind w:left="13"/>
      </w:pPr>
      <w:r>
        <w:rPr>
          <w:spacing w:val="-9"/>
        </w:rPr>
        <w:t>者样本。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8" w:line="213" w:lineRule="auto"/>
        <w:ind w:left="13"/>
      </w:pPr>
      <w:r>
        <w:rPr>
          <w:spacing w:val="10"/>
        </w:rPr>
        <w:t>总的来说，我们在85</w:t>
      </w:r>
      <w:r>
        <w:rPr>
          <w:spacing w:val="10"/>
        </w:rPr>
        <w:t xml:space="preserve"> </w:t>
      </w:r>
      <w:r>
        <w:rPr>
          <w:spacing w:val="10"/>
        </w:rPr>
        <w:t>个不同的基因中发现了变异。我们队列</w:t>
      </w:r>
      <w:r>
        <w:rPr>
          <w:spacing w:val="9"/>
        </w:rPr>
        <w:t>中</w:t>
      </w:r>
      <w:r>
        <w:rPr>
          <w:b/>
          <w:bCs/>
          <w:spacing w:val="9"/>
        </w:rPr>
        <w:t>最常</w:t>
      </w:r>
    </w:p>
    <w:p>
      <w:pPr>
        <w:pStyle w:val="BodyText"/>
        <w:spacing w:before="304" w:line="213" w:lineRule="auto"/>
        <w:ind w:left="17"/>
      </w:pPr>
      <w:r>
        <w:rPr>
          <w:b/>
          <w:bCs/>
          <w:spacing w:val="-8"/>
        </w:rPr>
        <w:t>见的变异是</w:t>
      </w:r>
      <w:r>
        <w:rPr>
          <w:spacing w:val="-8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ABCA4、EYS、PRPH2、RPGR</w:t>
      </w:r>
      <w:r>
        <w:rPr>
          <w:rFonts w:ascii="SimSun" w:eastAsia="SimSun" w:hAnsi="SimSun" w:cs="SimSun"/>
          <w:spacing w:val="-8"/>
        </w:rPr>
        <w:t xml:space="preserve">       </w:t>
      </w:r>
      <w:r>
        <w:rPr>
          <w:b/>
          <w:bCs/>
          <w:spacing w:val="-8"/>
        </w:rPr>
        <w:t>和</w:t>
      </w:r>
      <w:r>
        <w:rPr>
          <w:spacing w:val="-8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USH2A</w:t>
      </w:r>
      <w:r>
        <w:rPr>
          <w:rFonts w:ascii="SimSun" w:eastAsia="SimSun" w:hAnsi="SimSun" w:cs="SimSun"/>
          <w:spacing w:val="50"/>
        </w:rPr>
        <w:t xml:space="preserve">  </w:t>
      </w:r>
      <w:r>
        <w:rPr>
          <w:b/>
          <w:bCs/>
          <w:spacing w:val="-8"/>
        </w:rPr>
        <w:t>变</w:t>
      </w:r>
      <w:r>
        <w:rPr>
          <w:spacing w:val="-32"/>
        </w:rPr>
        <w:t xml:space="preserve"> </w:t>
      </w:r>
      <w:r>
        <w:rPr>
          <w:b/>
          <w:bCs/>
          <w:spacing w:val="-8"/>
        </w:rPr>
        <w:t>异</w:t>
      </w:r>
      <w:r>
        <w:rPr>
          <w:spacing w:val="-48"/>
        </w:rPr>
        <w:t xml:space="preserve"> </w:t>
      </w:r>
      <w:r>
        <w:rPr>
          <w:b/>
          <w:bCs/>
          <w:spacing w:val="-8"/>
        </w:rPr>
        <w:t>，</w:t>
      </w:r>
      <w:r>
        <w:rPr>
          <w:spacing w:val="-8"/>
        </w:rPr>
        <w:t>其在</w:t>
      </w:r>
    </w:p>
    <w:p>
      <w:pPr>
        <w:pStyle w:val="BodyText"/>
        <w:spacing w:before="326" w:line="426" w:lineRule="auto"/>
        <w:ind w:left="13"/>
        <w:jc w:val="both"/>
      </w:pPr>
      <w:r>
        <w:rPr>
          <w:spacing w:val="13"/>
        </w:rPr>
        <w:t>超过10个独立病例中被鉴定为具有潜在临床意义的分子</w:t>
      </w:r>
      <w:r>
        <w:rPr>
          <w:spacing w:val="12"/>
        </w:rPr>
        <w:t>发现(表3)。</w:t>
      </w:r>
      <w:r>
        <w:t xml:space="preserve"> </w:t>
      </w:r>
      <w:r>
        <w:rPr>
          <w:spacing w:val="22"/>
        </w:rPr>
        <w:t>在65.6%的视锥视杆细胞营养不良、64.0%的</w:t>
      </w:r>
      <w:r>
        <w:rPr>
          <w:spacing w:val="21"/>
        </w:rPr>
        <w:t>视杆视锥细胞营养不</w:t>
      </w:r>
      <w:r>
        <w:t xml:space="preserve"> </w:t>
      </w:r>
      <w:r>
        <w:rPr>
          <w:spacing w:val="21"/>
        </w:rPr>
        <w:t>良、59.7%的黄斑营养不良和30.8%的视锥细胞营养不良病例中发</w:t>
      </w:r>
    </w:p>
    <w:p>
      <w:pPr>
        <w:pStyle w:val="BodyText"/>
        <w:spacing w:line="221" w:lineRule="auto"/>
        <w:ind w:left="13"/>
      </w:pPr>
      <w:r>
        <w:rPr>
          <w:spacing w:val="-8"/>
        </w:rPr>
        <w:t>现了变异。</w:t>
      </w:r>
    </w:p>
    <w:p>
      <w:pPr>
        <w:spacing w:line="231" w:lineRule="exact"/>
      </w:pPr>
    </w:p>
    <w:tbl>
      <w:tblPr>
        <w:tblStyle w:val="TableNormal3"/>
        <w:tblW w:w="8200" w:type="dxa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34"/>
        <w:gridCol w:w="699"/>
        <w:gridCol w:w="1618"/>
        <w:gridCol w:w="4849"/>
      </w:tblGrid>
      <w:tr>
        <w:tblPrEx>
          <w:tblW w:w="8200" w:type="dxa"/>
          <w:tblInd w:w="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4"/>
        </w:trPr>
        <w:tc>
          <w:tcPr>
            <w:tcW w:w="1034" w:type="dxa"/>
            <w:shd w:val="clear" w:color="auto" w:fill="A7A8AD"/>
            <w:vAlign w:val="top"/>
          </w:tcPr>
          <w:p>
            <w:pPr>
              <w:pStyle w:val="TableText"/>
              <w:spacing w:before="16" w:line="212" w:lineRule="auto"/>
              <w:ind w:left="35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Phenotyp</w:t>
            </w:r>
          </w:p>
        </w:tc>
        <w:tc>
          <w:tcPr>
            <w:tcW w:w="699" w:type="dxa"/>
            <w:shd w:val="clear" w:color="auto" w:fill="A5A8AB"/>
            <w:vAlign w:val="top"/>
          </w:tcPr>
          <w:p>
            <w:pPr>
              <w:pStyle w:val="TableText"/>
              <w:spacing w:before="31" w:line="188" w:lineRule="auto"/>
              <w:jc w:val="right"/>
              <w:rPr>
                <w:sz w:val="12"/>
                <w:szCs w:val="12"/>
              </w:rPr>
            </w:pPr>
            <w:r>
              <w:rPr>
                <w:spacing w:val="-3"/>
                <w:sz w:val="12"/>
                <w:szCs w:val="12"/>
              </w:rPr>
              <w:t>No.of</w:t>
            </w:r>
            <w:r>
              <w:rPr>
                <w:spacing w:val="6"/>
                <w:sz w:val="12"/>
                <w:szCs w:val="12"/>
              </w:rPr>
              <w:t xml:space="preserve"> </w:t>
            </w:r>
            <w:r>
              <w:rPr>
                <w:spacing w:val="-3"/>
                <w:sz w:val="12"/>
                <w:szCs w:val="12"/>
              </w:rPr>
              <w:t>cases</w:t>
            </w:r>
          </w:p>
        </w:tc>
        <w:tc>
          <w:tcPr>
            <w:tcW w:w="1618" w:type="dxa"/>
            <w:shd w:val="clear" w:color="auto" w:fill="A5A8AB"/>
            <w:vAlign w:val="top"/>
          </w:tcPr>
          <w:p>
            <w:pPr>
              <w:pStyle w:val="TableText"/>
              <w:spacing w:before="23" w:line="201" w:lineRule="auto"/>
              <w:jc w:val="right"/>
              <w:rPr>
                <w:sz w:val="12"/>
                <w:szCs w:val="12"/>
              </w:rPr>
            </w:pPr>
            <w:r>
              <w:rPr>
                <w:spacing w:val="-13"/>
                <w:sz w:val="12"/>
                <w:szCs w:val="12"/>
              </w:rPr>
              <w:t>No.of c</w:t>
            </w:r>
            <w:r>
              <w:rPr>
                <w:spacing w:val="-12"/>
                <w:sz w:val="12"/>
                <w:szCs w:val="12"/>
              </w:rPr>
              <w:t>ases with at</w:t>
            </w:r>
            <w:r>
              <w:rPr>
                <w:spacing w:val="-1"/>
                <w:sz w:val="12"/>
                <w:szCs w:val="12"/>
              </w:rPr>
              <w:t xml:space="preserve"> </w:t>
            </w:r>
            <w:r>
              <w:rPr>
                <w:spacing w:val="-12"/>
                <w:sz w:val="12"/>
                <w:szCs w:val="12"/>
              </w:rPr>
              <w:t>least</w:t>
            </w:r>
            <w:r>
              <w:rPr>
                <w:sz w:val="12"/>
                <w:szCs w:val="12"/>
              </w:rPr>
              <w:t xml:space="preserve"> </w:t>
            </w:r>
            <w:r>
              <w:rPr>
                <w:spacing w:val="-12"/>
                <w:sz w:val="12"/>
                <w:szCs w:val="12"/>
              </w:rPr>
              <w:t>1</w:t>
            </w:r>
            <w:r>
              <w:rPr>
                <w:spacing w:val="-9"/>
                <w:sz w:val="12"/>
                <w:szCs w:val="12"/>
              </w:rPr>
              <w:t xml:space="preserve"> </w:t>
            </w:r>
            <w:r>
              <w:rPr>
                <w:spacing w:val="-12"/>
                <w:sz w:val="12"/>
                <w:szCs w:val="12"/>
              </w:rPr>
              <w:t>P/L</w:t>
            </w:r>
            <w:r>
              <w:rPr>
                <w:spacing w:val="-5"/>
                <w:sz w:val="12"/>
                <w:szCs w:val="12"/>
              </w:rPr>
              <w:t>P</w:t>
            </w:r>
          </w:p>
        </w:tc>
        <w:tc>
          <w:tcPr>
            <w:tcW w:w="4849" w:type="dxa"/>
            <w:shd w:val="clear" w:color="auto" w:fill="A6A8AD"/>
            <w:vAlign w:val="top"/>
          </w:tcPr>
          <w:p>
            <w:pPr>
              <w:pStyle w:val="TableText"/>
              <w:spacing w:before="23" w:line="201" w:lineRule="auto"/>
              <w:ind w:left="3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Genes identified with P/LP</w:t>
            </w:r>
            <w:r>
              <w:rPr>
                <w:spacing w:val="4"/>
                <w:sz w:val="12"/>
                <w:szCs w:val="12"/>
              </w:rPr>
              <w:t xml:space="preserve"> </w:t>
            </w:r>
            <w:r>
              <w:rPr>
                <w:spacing w:val="-1"/>
                <w:sz w:val="12"/>
                <w:szCs w:val="12"/>
              </w:rPr>
              <w:t>variants</w:t>
            </w:r>
          </w:p>
        </w:tc>
      </w:tr>
      <w:tr>
        <w:tblPrEx>
          <w:tblW w:w="8200" w:type="dxa"/>
          <w:tblInd w:w="43" w:type="dxa"/>
          <w:tblLayout w:type="fixed"/>
        </w:tblPrEx>
        <w:trPr>
          <w:trHeight w:val="417"/>
        </w:trPr>
        <w:tc>
          <w:tcPr>
            <w:tcW w:w="1034" w:type="dxa"/>
            <w:vAlign w:val="top"/>
          </w:tcPr>
          <w:p>
            <w:pPr>
              <w:pStyle w:val="TableText"/>
              <w:spacing w:before="157"/>
              <w:ind w:left="35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Rod-cone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76" w:line="184" w:lineRule="auto"/>
              <w:ind w:left="51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212</w:t>
            </w:r>
          </w:p>
        </w:tc>
        <w:tc>
          <w:tcPr>
            <w:tcW w:w="1618" w:type="dxa"/>
            <w:vAlign w:val="top"/>
          </w:tcPr>
          <w:p>
            <w:pPr>
              <w:pStyle w:val="TableText"/>
              <w:spacing w:before="176" w:line="183" w:lineRule="auto"/>
              <w:ind w:left="42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94</w:t>
            </w:r>
          </w:p>
        </w:tc>
        <w:tc>
          <w:tcPr>
            <w:tcW w:w="4849" w:type="dxa"/>
            <w:vAlign w:val="top"/>
          </w:tcPr>
          <w:p>
            <w:pPr>
              <w:pStyle w:val="TableText"/>
              <w:spacing w:before="32" w:line="192" w:lineRule="auto"/>
              <w:ind w:left="34" w:right="36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ABCAA,AHII,B</w:t>
            </w:r>
            <w:r>
              <w:rPr>
                <w:sz w:val="12"/>
                <w:szCs w:val="12"/>
                <w:u w:val="single" w:color="auto"/>
              </w:rPr>
              <w:t>ESTI,</w:t>
            </w:r>
            <w:r>
              <w:rPr>
                <w:sz w:val="12"/>
                <w:szCs w:val="12"/>
              </w:rPr>
              <w:t>BB</w:t>
            </w:r>
            <w:r>
              <w:rPr>
                <w:sz w:val="12"/>
                <w:szCs w:val="12"/>
                <w:u w:val="single" w:color="auto"/>
              </w:rPr>
              <w:t>SI,CEP290,C</w:t>
            </w:r>
            <w:r>
              <w:rPr>
                <w:sz w:val="12"/>
                <w:szCs w:val="12"/>
              </w:rPr>
              <w:t>NGB</w:t>
            </w:r>
            <w:r>
              <w:rPr>
                <w:sz w:val="12"/>
                <w:szCs w:val="12"/>
                <w:u w:val="single" w:color="auto"/>
              </w:rPr>
              <w:t>I,C</w:t>
            </w:r>
            <w:r>
              <w:rPr>
                <w:sz w:val="12"/>
                <w:szCs w:val="12"/>
              </w:rPr>
              <w:t>NG</w:t>
            </w:r>
            <w:r>
              <w:rPr>
                <w:sz w:val="12"/>
                <w:szCs w:val="12"/>
                <w:u w:val="single" w:color="auto"/>
              </w:rPr>
              <w:t>B3.C</w:t>
            </w:r>
            <w:r>
              <w:rPr>
                <w:sz w:val="12"/>
                <w:szCs w:val="12"/>
              </w:rPr>
              <w:t>OQ2,EYS,</w:t>
            </w:r>
            <w:r>
              <w:rPr>
                <w:sz w:val="12"/>
                <w:szCs w:val="12"/>
                <w:u w:val="single" w:color="auto"/>
              </w:rPr>
              <w:t>FAM1</w:t>
            </w:r>
            <w:r>
              <w:rPr>
                <w:sz w:val="12"/>
                <w:szCs w:val="12"/>
              </w:rPr>
              <w:t>6</w:t>
            </w:r>
            <w:r>
              <w:rPr>
                <w:sz w:val="12"/>
                <w:szCs w:val="12"/>
                <w:u w:val="single" w:color="auto"/>
              </w:rPr>
              <w:t>I</w:t>
            </w:r>
            <w:r>
              <w:rPr>
                <w:sz w:val="12"/>
                <w:szCs w:val="12"/>
              </w:rPr>
              <w:t>A.IFT140</w:t>
            </w:r>
            <w:r>
              <w:rPr>
                <w:sz w:val="12"/>
                <w:szCs w:val="12"/>
                <w:u w:val="single" w:color="auto"/>
              </w:rPr>
              <w:t>,IMPG2</w:t>
            </w:r>
            <w:r>
              <w:rPr>
                <w:spacing w:val="-1"/>
                <w:sz w:val="12"/>
                <w:szCs w:val="12"/>
                <w:u w:val="single" w:color="auto"/>
              </w:rPr>
              <w:t>,</w:t>
            </w:r>
            <w:r>
              <w:rPr>
                <w:spacing w:val="-1"/>
                <w:sz w:val="12"/>
                <w:szCs w:val="12"/>
              </w:rPr>
              <w:t>KIZ</w:t>
            </w:r>
            <w:r>
              <w:rPr>
                <w:sz w:val="12"/>
                <w:szCs w:val="12"/>
              </w:rPr>
              <w:t xml:space="preserve"> </w:t>
            </w:r>
            <w:r>
              <w:rPr>
                <w:sz w:val="12"/>
                <w:szCs w:val="12"/>
              </w:rPr>
              <w:t>KLHL7,MYO7A,NR2E3,PCARE,PCDH15,PDE6B,PRPF8,PRPF3I,RHO,RPI,RPGR,SNRNP</w:t>
            </w:r>
            <w:r>
              <w:rPr>
                <w:spacing w:val="-1"/>
                <w:sz w:val="12"/>
                <w:szCs w:val="12"/>
              </w:rPr>
              <w:t>200,</w:t>
            </w:r>
          </w:p>
          <w:p>
            <w:pPr>
              <w:pStyle w:val="TableText"/>
              <w:spacing w:before="10" w:line="177" w:lineRule="auto"/>
              <w:ind w:left="34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TOPORS,USH2A</w:t>
            </w:r>
          </w:p>
        </w:tc>
      </w:tr>
      <w:tr>
        <w:tblPrEx>
          <w:tblW w:w="8200" w:type="dxa"/>
          <w:tblInd w:w="43" w:type="dxa"/>
          <w:tblLayout w:type="fixed"/>
        </w:tblPrEx>
        <w:trPr>
          <w:trHeight w:val="188"/>
        </w:trPr>
        <w:tc>
          <w:tcPr>
            <w:tcW w:w="1034" w:type="dxa"/>
            <w:vAlign w:val="top"/>
          </w:tcPr>
          <w:p>
            <w:pPr>
              <w:pStyle w:val="TableText"/>
              <w:spacing w:before="35" w:line="214" w:lineRule="auto"/>
              <w:ind w:right="2"/>
              <w:jc w:val="right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Macular dystrophy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70" w:line="166" w:lineRule="auto"/>
              <w:ind w:left="51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72</w:t>
            </w:r>
          </w:p>
        </w:tc>
        <w:tc>
          <w:tcPr>
            <w:tcW w:w="1618" w:type="dxa"/>
            <w:vAlign w:val="top"/>
          </w:tcPr>
          <w:p>
            <w:pPr>
              <w:pStyle w:val="TableText"/>
              <w:spacing w:before="70" w:line="166" w:lineRule="auto"/>
              <w:ind w:left="42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28</w:t>
            </w:r>
          </w:p>
        </w:tc>
        <w:tc>
          <w:tcPr>
            <w:tcW w:w="4849" w:type="dxa"/>
            <w:vAlign w:val="top"/>
          </w:tcPr>
          <w:p>
            <w:pPr>
              <w:pStyle w:val="TableText"/>
              <w:spacing w:before="55" w:line="184" w:lineRule="auto"/>
              <w:ind w:left="3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ABCA4,CNGA3,CRX,EFEMPI,PDE6C,PROMI,PRPF8,PRPH2,RDHI2,RPILI,RPGR,R</w:t>
            </w:r>
            <w:r>
              <w:rPr>
                <w:spacing w:val="-1"/>
                <w:sz w:val="12"/>
                <w:szCs w:val="12"/>
              </w:rPr>
              <w:t>SI</w:t>
            </w:r>
          </w:p>
        </w:tc>
      </w:tr>
      <w:tr>
        <w:tblPrEx>
          <w:tblW w:w="8200" w:type="dxa"/>
          <w:tblInd w:w="43" w:type="dxa"/>
          <w:tblLayout w:type="fixed"/>
        </w:tblPrEx>
        <w:trPr>
          <w:trHeight w:val="168"/>
        </w:trPr>
        <w:tc>
          <w:tcPr>
            <w:tcW w:w="1034" w:type="dxa"/>
            <w:vAlign w:val="top"/>
          </w:tcPr>
          <w:p>
            <w:pPr>
              <w:pStyle w:val="TableText"/>
              <w:spacing w:before="42" w:line="177" w:lineRule="auto"/>
              <w:ind w:left="35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Cone-rod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61" w:line="96" w:lineRule="exact"/>
              <w:ind w:left="51"/>
              <w:rPr>
                <w:sz w:val="12"/>
                <w:szCs w:val="12"/>
              </w:rPr>
            </w:pPr>
            <w:r>
              <w:rPr>
                <w:spacing w:val="-2"/>
                <w:position w:val="-1"/>
                <w:sz w:val="12"/>
                <w:szCs w:val="12"/>
              </w:rPr>
              <w:t>32</w:t>
            </w:r>
          </w:p>
        </w:tc>
        <w:tc>
          <w:tcPr>
            <w:tcW w:w="1618" w:type="dxa"/>
            <w:vAlign w:val="top"/>
          </w:tcPr>
          <w:p>
            <w:pPr>
              <w:pStyle w:val="TableText"/>
              <w:spacing w:before="61" w:line="96" w:lineRule="exact"/>
              <w:ind w:left="42"/>
              <w:rPr>
                <w:sz w:val="12"/>
                <w:szCs w:val="12"/>
              </w:rPr>
            </w:pPr>
            <w:r>
              <w:rPr>
                <w:spacing w:val="-4"/>
                <w:position w:val="-1"/>
                <w:sz w:val="12"/>
                <w:szCs w:val="12"/>
              </w:rPr>
              <w:t>12</w:t>
            </w:r>
          </w:p>
        </w:tc>
        <w:tc>
          <w:tcPr>
            <w:tcW w:w="4849" w:type="dxa"/>
            <w:vAlign w:val="top"/>
          </w:tcPr>
          <w:p>
            <w:pPr>
              <w:pStyle w:val="TableText"/>
              <w:spacing w:before="46" w:line="171" w:lineRule="auto"/>
              <w:ind w:left="3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ABCA4,CDHRI,GUCY2D,NPHP4,PCARE,PROMI,PRPH2,RPGR,TUL</w:t>
            </w:r>
            <w:r>
              <w:rPr>
                <w:spacing w:val="-1"/>
                <w:sz w:val="12"/>
                <w:szCs w:val="12"/>
              </w:rPr>
              <w:t>PI</w:t>
            </w:r>
          </w:p>
        </w:tc>
      </w:tr>
      <w:tr>
        <w:tblPrEx>
          <w:tblW w:w="8200" w:type="dxa"/>
          <w:tblInd w:w="43" w:type="dxa"/>
          <w:tblLayout w:type="fixed"/>
        </w:tblPrEx>
        <w:trPr>
          <w:trHeight w:val="188"/>
        </w:trPr>
        <w:tc>
          <w:tcPr>
            <w:tcW w:w="1034" w:type="dxa"/>
            <w:vAlign w:val="top"/>
          </w:tcPr>
          <w:p>
            <w:pPr>
              <w:pStyle w:val="TableText"/>
              <w:spacing w:before="39" w:line="213" w:lineRule="auto"/>
              <w:ind w:left="35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Cone</w:t>
            </w:r>
            <w:r>
              <w:rPr>
                <w:spacing w:val="7"/>
                <w:sz w:val="12"/>
                <w:szCs w:val="12"/>
              </w:rPr>
              <w:t xml:space="preserve"> </w:t>
            </w:r>
            <w:r>
              <w:rPr>
                <w:spacing w:val="-1"/>
                <w:sz w:val="12"/>
                <w:szCs w:val="12"/>
              </w:rPr>
              <w:t>dvstroph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73" w:line="161" w:lineRule="auto"/>
              <w:ind w:left="51"/>
              <w:rPr>
                <w:sz w:val="12"/>
                <w:szCs w:val="12"/>
              </w:rPr>
            </w:pPr>
            <w:r>
              <w:rPr>
                <w:spacing w:val="-4"/>
                <w:sz w:val="12"/>
                <w:szCs w:val="12"/>
              </w:rPr>
              <w:t>13</w:t>
            </w:r>
          </w:p>
        </w:tc>
        <w:tc>
          <w:tcPr>
            <w:tcW w:w="1618" w:type="dxa"/>
            <w:vAlign w:val="top"/>
          </w:tcPr>
          <w:p>
            <w:pPr>
              <w:pStyle w:val="TableText"/>
              <w:spacing w:before="73" w:line="160" w:lineRule="auto"/>
              <w:ind w:left="42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</w:t>
            </w:r>
          </w:p>
        </w:tc>
        <w:tc>
          <w:tcPr>
            <w:tcW w:w="4849" w:type="dxa"/>
            <w:vAlign w:val="top"/>
          </w:tcPr>
          <w:p>
            <w:pPr>
              <w:pStyle w:val="TableText"/>
              <w:spacing w:before="59" w:line="183" w:lineRule="auto"/>
              <w:ind w:left="3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CACNA2DA,GUCAIA,MAK,O</w:t>
            </w:r>
            <w:r>
              <w:rPr>
                <w:spacing w:val="-1"/>
                <w:sz w:val="12"/>
                <w:szCs w:val="12"/>
              </w:rPr>
              <w:t>PNIMW</w:t>
            </w:r>
          </w:p>
        </w:tc>
      </w:tr>
      <w:tr>
        <w:tblPrEx>
          <w:tblW w:w="8200" w:type="dxa"/>
          <w:tblInd w:w="43" w:type="dxa"/>
          <w:tblLayout w:type="fixed"/>
        </w:tblPrEx>
        <w:trPr>
          <w:trHeight w:val="174"/>
        </w:trPr>
        <w:tc>
          <w:tcPr>
            <w:tcW w:w="1034" w:type="dxa"/>
            <w:vAlign w:val="top"/>
          </w:tcPr>
          <w:p>
            <w:pPr>
              <w:pStyle w:val="TableText"/>
              <w:spacing w:before="47" w:line="180" w:lineRule="auto"/>
              <w:ind w:left="35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Other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65" w:line="99" w:lineRule="exact"/>
              <w:ind w:left="51"/>
              <w:rPr>
                <w:sz w:val="12"/>
                <w:szCs w:val="12"/>
              </w:rPr>
            </w:pPr>
            <w:r>
              <w:rPr>
                <w:spacing w:val="-2"/>
                <w:position w:val="-1"/>
                <w:sz w:val="12"/>
                <w:szCs w:val="12"/>
              </w:rPr>
              <w:t>29</w:t>
            </w:r>
          </w:p>
        </w:tc>
        <w:tc>
          <w:tcPr>
            <w:tcW w:w="1618" w:type="dxa"/>
            <w:vAlign w:val="top"/>
          </w:tcPr>
          <w:p>
            <w:pPr>
              <w:pStyle w:val="TableText"/>
              <w:spacing w:before="65" w:line="99" w:lineRule="exact"/>
              <w:ind w:left="42"/>
              <w:rPr>
                <w:sz w:val="12"/>
                <w:szCs w:val="12"/>
              </w:rPr>
            </w:pPr>
            <w:r>
              <w:rPr>
                <w:position w:val="-1"/>
                <w:sz w:val="12"/>
                <w:szCs w:val="12"/>
              </w:rPr>
              <w:t>9</w:t>
            </w:r>
          </w:p>
        </w:tc>
        <w:tc>
          <w:tcPr>
            <w:tcW w:w="4849" w:type="dxa"/>
            <w:vAlign w:val="top"/>
          </w:tcPr>
          <w:p>
            <w:pPr>
              <w:pStyle w:val="TableText"/>
              <w:spacing w:before="50" w:line="174" w:lineRule="auto"/>
              <w:ind w:left="3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ABCC6,CACNAIF CHM,EYS,GPR143,LCA5,SLC38</w:t>
            </w:r>
            <w:r>
              <w:rPr>
                <w:spacing w:val="-1"/>
                <w:sz w:val="12"/>
                <w:szCs w:val="12"/>
              </w:rPr>
              <w:t>A8</w:t>
            </w:r>
          </w:p>
        </w:tc>
      </w:tr>
    </w:tbl>
    <w:p>
      <w:pPr>
        <w:spacing w:before="157" w:line="192" w:lineRule="auto"/>
        <w:ind w:left="187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Table 3.Genes in which variants were identified by phenotype.P/LP Pathogenic/Likely Pathoge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nic.</w:t>
      </w:r>
    </w:p>
    <w:p>
      <w:pPr>
        <w:pStyle w:val="BodyText"/>
        <w:spacing w:before="268" w:line="223" w:lineRule="auto"/>
        <w:ind w:left="3917"/>
      </w:pPr>
      <w:r>
        <w:rPr>
          <w:b/>
          <w:bCs/>
          <w:spacing w:val="-11"/>
        </w:rPr>
        <w:t>表</w:t>
      </w:r>
      <w:r>
        <w:rPr>
          <w:spacing w:val="-19"/>
        </w:rPr>
        <w:t xml:space="preserve"> </w:t>
      </w:r>
      <w:r>
        <w:rPr>
          <w:b/>
          <w:bCs/>
          <w:spacing w:val="-11"/>
        </w:rPr>
        <w:t>3</w:t>
      </w:r>
    </w:p>
    <w:p>
      <w:pPr>
        <w:pStyle w:val="BodyText"/>
        <w:spacing w:before="303" w:line="222" w:lineRule="auto"/>
        <w:ind w:left="17"/>
      </w:pPr>
      <w:r>
        <w:rPr>
          <w:b/>
          <w:bCs/>
          <w:spacing w:val="-24"/>
        </w:rPr>
        <w:t>具有“其他”表型的病例</w:t>
      </w:r>
    </w:p>
    <w:p>
      <w:pPr>
        <w:pStyle w:val="BodyText"/>
        <w:spacing w:before="285" w:line="620" w:lineRule="exact"/>
        <w:ind w:left="13"/>
      </w:pPr>
      <w:r>
        <w:rPr>
          <w:spacing w:val="1"/>
          <w:position w:val="27"/>
        </w:rPr>
        <w:t>在临床诊断属于“其他”类别的病例中，65.4%的病例至少识别了一个</w:t>
      </w:r>
    </w:p>
    <w:p>
      <w:pPr>
        <w:pStyle w:val="BodyText"/>
        <w:spacing w:before="2" w:line="212" w:lineRule="auto"/>
        <w:ind w:left="13"/>
      </w:pPr>
      <w:r>
        <w:rPr>
          <w:spacing w:val="22"/>
        </w:rPr>
        <w:t>具有潜在临床意义的变异，其中3例(11.5%)获得分子诊断。该组</w:t>
      </w:r>
    </w:p>
    <w:p>
      <w:pPr>
        <w:pStyle w:val="BodyText"/>
        <w:spacing w:before="320" w:line="221" w:lineRule="auto"/>
        <w:ind w:left="13"/>
      </w:pPr>
      <w:r>
        <w:rPr>
          <w:spacing w:val="3"/>
        </w:rPr>
        <w:t>的分子发现包括</w:t>
      </w:r>
      <w:r>
        <w:rPr>
          <w:spacing w:val="3"/>
        </w:rPr>
        <w:t xml:space="preserve"> </w:t>
      </w:r>
      <w:r>
        <w:rPr>
          <w:rFonts w:ascii="SimSun" w:eastAsia="SimSun" w:hAnsi="SimSun" w:cs="SimSun"/>
        </w:rPr>
        <w:t>ABCC</w:t>
      </w:r>
      <w:r>
        <w:rPr>
          <w:rFonts w:ascii="SimSun" w:eastAsia="SimSun" w:hAnsi="SimSun" w:cs="SimSun"/>
          <w:spacing w:val="3"/>
        </w:rPr>
        <w:t>6、</w:t>
      </w:r>
      <w:r>
        <w:rPr>
          <w:rFonts w:ascii="SimSun" w:eastAsia="SimSun" w:hAnsi="SimSun" w:cs="SimSun"/>
        </w:rPr>
        <w:t>CHM</w:t>
      </w:r>
      <w:r>
        <w:rPr>
          <w:rFonts w:ascii="SimSun" w:eastAsia="SimSun" w:hAnsi="SimSun" w:cs="SimSun"/>
          <w:spacing w:val="3"/>
        </w:rPr>
        <w:t>、</w:t>
      </w:r>
      <w:r>
        <w:rPr>
          <w:rFonts w:ascii="SimSun" w:eastAsia="SimSun" w:hAnsi="SimSun" w:cs="SimSun"/>
        </w:rPr>
        <w:t>GPR</w:t>
      </w:r>
      <w:r>
        <w:rPr>
          <w:rFonts w:ascii="SimSun" w:eastAsia="SimSun" w:hAnsi="SimSun" w:cs="SimSun"/>
          <w:spacing w:val="3"/>
        </w:rPr>
        <w:t>143、</w:t>
      </w:r>
      <w:r>
        <w:rPr>
          <w:rFonts w:ascii="SimSun" w:eastAsia="SimSun" w:hAnsi="SimSun" w:cs="SimSun"/>
        </w:rPr>
        <w:t>SLC</w:t>
      </w:r>
      <w:r>
        <w:rPr>
          <w:rFonts w:ascii="SimSun" w:eastAsia="SimSun" w:hAnsi="SimSun" w:cs="SimSun"/>
          <w:spacing w:val="3"/>
        </w:rPr>
        <w:t>38A8、</w:t>
      </w:r>
      <w:r>
        <w:rPr>
          <w:rFonts w:ascii="SimSun" w:eastAsia="SimSun" w:hAnsi="SimSun" w:cs="SimSun"/>
        </w:rPr>
        <w:t>ASB</w:t>
      </w:r>
      <w:r>
        <w:rPr>
          <w:rFonts w:ascii="SimSun" w:eastAsia="SimSun" w:hAnsi="SimSun" w:cs="SimSun"/>
          <w:spacing w:val="3"/>
        </w:rPr>
        <w:t>10</w:t>
      </w:r>
      <w:r>
        <w:rPr>
          <w:rFonts w:ascii="SimSun" w:eastAsia="SimSun" w:hAnsi="SimSun" w:cs="SimSun"/>
          <w:spacing w:val="11"/>
        </w:rPr>
        <w:t xml:space="preserve">         </w:t>
      </w:r>
      <w:r>
        <w:rPr>
          <w:spacing w:val="3"/>
        </w:rPr>
        <w:t>和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https://d.book118.com/248062102054006042</w:t>
        </w:r>
      </w:hyperlink>
    </w:p>
    <w:p>
      <w:pPr>
        <w:pStyle w:val="BodyText"/>
        <w:spacing w:before="320" w:line="221" w:lineRule="auto"/>
        <w:ind w:left="13"/>
      </w:pPr>
    </w:p>
    <w:sectPr>
      <w:headerReference w:type="default" r:id="rId24"/>
      <w:footerReference w:type="default" r:id="rId25"/>
      <w:pgSz w:w="11910" w:h="16840"/>
      <w:pgMar w:top="400" w:right="1735" w:bottom="400" w:left="1786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6" w:lineRule="auto"/>
      <w:ind w:left="3917"/>
      <w:rPr>
        <w:sz w:val="28"/>
        <w:szCs w:val="28"/>
      </w:rPr>
    </w:pPr>
    <w:r>
      <w:rPr>
        <w:b/>
        <w:bCs/>
        <w:spacing w:val="-11"/>
        <w:sz w:val="28"/>
        <w:szCs w:val="28"/>
      </w:rPr>
      <w:t>表</w:t>
    </w:r>
    <w:r>
      <w:rPr>
        <w:spacing w:val="-38"/>
        <w:sz w:val="28"/>
        <w:szCs w:val="28"/>
      </w:rPr>
      <w:t xml:space="preserve"> </w:t>
    </w:r>
    <w:r>
      <w:rPr>
        <w:b/>
        <w:bCs/>
        <w:spacing w:val="-11"/>
        <w:sz w:val="28"/>
        <w:szCs w:val="2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6" w:lineRule="auto"/>
      <w:ind w:left="3917"/>
      <w:rPr>
        <w:sz w:val="28"/>
        <w:szCs w:val="28"/>
      </w:rPr>
    </w:pPr>
    <w:r>
      <w:rPr>
        <w:b/>
        <w:bCs/>
        <w:spacing w:val="-11"/>
        <w:sz w:val="28"/>
        <w:szCs w:val="28"/>
      </w:rPr>
      <w:t>表</w:t>
    </w:r>
    <w:r>
      <w:rPr>
        <w:spacing w:val="-38"/>
        <w:sz w:val="28"/>
        <w:szCs w:val="28"/>
      </w:rPr>
      <w:t xml:space="preserve"> </w:t>
    </w:r>
    <w:r>
      <w:rPr>
        <w:b/>
        <w:bCs/>
        <w:spacing w:val="-11"/>
        <w:sz w:val="28"/>
        <w:szCs w:val="2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7"/>
      <w:szCs w:val="2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footer" Target="footer1.xml" /><Relationship Id="rId17" Type="http://schemas.openxmlformats.org/officeDocument/2006/relationships/header" Target="header9.xml" /><Relationship Id="rId18" Type="http://schemas.openxmlformats.org/officeDocument/2006/relationships/footer" Target="footer2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header" Target="header11.xml" /><Relationship Id="rId22" Type="http://schemas.openxmlformats.org/officeDocument/2006/relationships/footer" Target="footer4.xml" /><Relationship Id="rId23" Type="http://schemas.openxmlformats.org/officeDocument/2006/relationships/hyperlink" Target="https://d.book118.com/248062102054006042" TargetMode="External" /><Relationship Id="rId24" Type="http://schemas.openxmlformats.org/officeDocument/2006/relationships/header" Target="header12.xml" /><Relationship Id="rId25" Type="http://schemas.openxmlformats.org/officeDocument/2006/relationships/footer" Target="footer5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2024-03-04T19:39:33Z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2024-03-04T19:39:35Z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65e5b2f12ff0b4001f372822wl</vt:lpwstr>
  </property>
</Properties>
</file>