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Lines w:val="0"/>
        <w:pageBreakBefore w:val="0"/>
        <w:kinsoku/>
        <w:overflowPunct/>
        <w:topLinePunct w:val="0"/>
        <w:bidi w:val="0"/>
        <w:spacing w:line="240" w:lineRule="atLeast"/>
        <w:ind w:left="0" w:firstLine="0" w:leftChars="0" w:firstLineChars="0"/>
        <w:jc w:val="center"/>
        <w:textAlignment w:val="auto"/>
        <w:outlineLvl w:val="0"/>
        <w:rPr>
          <w:rFonts w:ascii="仿宋" w:eastAsia="仿宋" w:hAnsi="仿宋" w:cs="仿宋" w:hint="eastAsia"/>
          <w:sz w:val="32"/>
          <w:szCs w:val="32"/>
        </w:rPr>
      </w:pPr>
      <w:r>
        <w:rPr>
          <w:rFonts w:ascii="仿宋" w:eastAsia="仿宋" w:hAnsi="仿宋" w:cs="仿宋" w:hint="eastAsia"/>
          <w:b/>
          <w:bCs/>
          <w:sz w:val="32"/>
          <w:szCs w:val="32"/>
          <w:lang w:val="en-US" w:eastAsia="zh-CN"/>
        </w:rPr>
        <w:t>大坡度斜井压力钢管安装工法</w:t>
      </w:r>
    </w:p>
    <w:p>
      <w:pPr>
        <w:pStyle w:val="a"/>
        <w:keepLines w:val="0"/>
        <w:pageBreakBefore w:val="0"/>
        <w:kinsoku/>
        <w:overflowPunct/>
        <w:topLinePunct w:val="0"/>
        <w:bidi w:val="0"/>
        <w:spacing w:line="240" w:lineRule="atLeast"/>
        <w:ind w:left="0" w:firstLine="0" w:leftChars="0" w:firstLineChars="0"/>
        <w:jc w:val="center"/>
        <w:textAlignment w:val="auto"/>
        <w:outlineLvl w:val="0"/>
        <w:rPr>
          <w:rFonts w:ascii="仿宋" w:eastAsia="仿宋" w:hAnsi="仿宋" w:cs="仿宋" w:hint="eastAsia"/>
          <w:b/>
          <w:bCs/>
          <w:sz w:val="24"/>
        </w:rPr>
      </w:pPr>
    </w:p>
    <w:p>
      <w:pPr>
        <w:pStyle w:val="a"/>
        <w:keepLines w:val="0"/>
        <w:pageBreakBefore w:val="0"/>
        <w:kinsoku/>
        <w:overflowPunct/>
        <w:topLinePunct w:val="0"/>
        <w:bidi w:val="0"/>
        <w:spacing w:line="240" w:lineRule="atLeast"/>
        <w:ind w:left="0" w:firstLine="0" w:leftChars="0" w:firstLineChars="0"/>
        <w:jc w:val="center"/>
        <w:textAlignment w:val="auto"/>
        <w:outlineLvl w:val="0"/>
        <w:rPr>
          <w:rFonts w:ascii="仿宋" w:eastAsia="仿宋" w:hAnsi="仿宋" w:cs="仿宋" w:hint="eastAsia"/>
          <w:b/>
          <w:bCs/>
          <w:sz w:val="24"/>
        </w:rPr>
      </w:pPr>
    </w:p>
    <w:p>
      <w:pPr>
        <w:keepNext w:val="0"/>
        <w:keepLines w:val="0"/>
        <w:pageBreakBefore w:val="0"/>
        <w:widowControl/>
        <w:kinsoku/>
        <w:wordWrap/>
        <w:overflowPunct/>
        <w:topLinePunct w:val="0"/>
        <w:autoSpaceDE/>
        <w:autoSpaceDN/>
        <w:bidi w:val="0"/>
        <w:adjustRightInd w:val="0"/>
        <w:snapToGrid w:val="0"/>
        <w:spacing w:line="240" w:lineRule="atLeast"/>
        <w:ind w:left="0" w:right="0" w:firstLine="0" w:leftChars="0" w:rightChars="0" w:firstLineChars="0"/>
        <w:jc w:val="center"/>
        <w:textAlignment w:val="auto"/>
        <w:outlineLvl w:val="9"/>
        <w:rPr>
          <w:rFonts w:ascii="仿宋" w:eastAsia="仿宋" w:hAnsi="仿宋" w:cs="仿宋" w:hint="eastAsia"/>
          <w:b/>
          <w:bCs/>
          <w:sz w:val="28"/>
          <w:szCs w:val="28"/>
          <w:highlight w:val="none"/>
        </w:rPr>
      </w:pPr>
      <w:r>
        <w:rPr>
          <w:rFonts w:ascii="仿宋" w:eastAsia="仿宋" w:hAnsi="仿宋" w:cs="仿宋" w:hint="eastAsia"/>
          <w:b/>
          <w:bCs/>
          <w:sz w:val="28"/>
          <w:szCs w:val="28"/>
          <w:highlight w:val="none"/>
          <w:lang w:val="en-US" w:eastAsia="zh-CN"/>
        </w:rPr>
        <w:t>1、</w:t>
      </w:r>
      <w:r>
        <w:rPr>
          <w:rFonts w:ascii="仿宋" w:eastAsia="仿宋" w:hAnsi="仿宋" w:cs="仿宋" w:hint="eastAsia"/>
          <w:b/>
          <w:bCs/>
          <w:sz w:val="28"/>
          <w:szCs w:val="28"/>
          <w:highlight w:val="none"/>
        </w:rPr>
        <w:t>前言</w:t>
      </w:r>
    </w:p>
    <w:p>
      <w:pPr>
        <w:keepNext w:val="0"/>
        <w:keepLines w:val="0"/>
        <w:pageBreakBefore w:val="0"/>
        <w:widowControl/>
        <w:kinsoku/>
        <w:wordWrap/>
        <w:overflowPunct/>
        <w:topLinePunct w:val="0"/>
        <w:autoSpaceDE/>
        <w:autoSpaceDN/>
        <w:bidi w:val="0"/>
        <w:adjustRightInd w:val="0"/>
        <w:snapToGrid w:val="0"/>
        <w:spacing w:after="0" w:line="240" w:lineRule="atLeast"/>
        <w:ind w:left="0" w:firstLine="480" w:leftChars="0" w:firstLineChars="200"/>
        <w:textAlignment w:val="auto"/>
        <w:rPr>
          <w:rFonts w:ascii="仿宋" w:eastAsia="仿宋" w:hAnsi="仿宋" w:cs="仿宋" w:hint="eastAsia"/>
          <w:sz w:val="24"/>
          <w:highlight w:val="none"/>
        </w:rPr>
      </w:pPr>
      <w:r>
        <w:rPr>
          <w:rFonts w:ascii="仿宋" w:eastAsia="仿宋" w:hAnsi="仿宋" w:cs="仿宋" w:hint="eastAsia"/>
          <w:sz w:val="24"/>
          <w:szCs w:val="24"/>
          <w:highlight w:val="none"/>
        </w:rPr>
        <w:t>2022年两会期间，政府工作报告首次明确提出，要加强抽水蓄能电站建设；紧接着，在3月22日，国家发改委、能源局印发的《“十四五”现代能源体系规划》明确，要加快推进抽水蓄能电站建设，推动已纳入规划、条件成熟的大型抽水蓄能电站开工建设，完善抽水蓄能价格形成机制；现如今，抽水蓄能电站正迎来前所未有的爆发式建设期。而作为抽水蓄能电站输水发电系统重要组成部分的压力钢管便成为了现今的重点施工项目。其中，斜井段压力钢管安装普遍面临着坡度大、空间小的施工难题，且具有极大的安全风险，其承受着水流倾泻后的巨大负压作用。在保障斜井段压力钢管安装的位置精度、焊接质量的同时，如何合理布置各工序，高效、快速地完成斜井段压力钢管安装，便是需要亟需考虑的问题。本工法以山东文登抽水蓄能电站斜井段压力钢管安装工艺为基础，总结形成本工法。</w:t>
      </w:r>
    </w:p>
    <w:p>
      <w:pPr>
        <w:keepNext w:val="0"/>
        <w:keepLines w:val="0"/>
        <w:pageBreakBefore w:val="0"/>
        <w:widowControl/>
        <w:kinsoku/>
        <w:wordWrap/>
        <w:overflowPunct/>
        <w:topLinePunct w:val="0"/>
        <w:autoSpaceDE/>
        <w:autoSpaceDN/>
        <w:bidi w:val="0"/>
        <w:adjustRightInd w:val="0"/>
        <w:snapToGrid w:val="0"/>
        <w:spacing w:after="0" w:line="240" w:lineRule="atLeast"/>
        <w:ind w:left="0" w:right="0" w:firstLine="0" w:leftChars="0" w:rightChars="0" w:firstLineChars="0"/>
        <w:jc w:val="center"/>
        <w:textAlignment w:val="auto"/>
        <w:outlineLvl w:val="0"/>
        <w:rPr>
          <w:rFonts w:ascii="仿宋" w:eastAsia="仿宋" w:hAnsi="仿宋" w:cs="仿宋" w:hint="eastAsia"/>
          <w:b/>
          <w:bCs/>
          <w:sz w:val="28"/>
          <w:szCs w:val="28"/>
          <w:highlight w:val="none"/>
        </w:rPr>
      </w:pPr>
      <w:r>
        <w:rPr>
          <w:rFonts w:ascii="仿宋" w:eastAsia="仿宋" w:hAnsi="仿宋" w:cs="仿宋" w:hint="eastAsia"/>
          <w:b/>
          <w:bCs/>
          <w:sz w:val="28"/>
          <w:szCs w:val="28"/>
          <w:highlight w:val="none"/>
          <w:lang w:val="en-US" w:eastAsia="zh-CN"/>
        </w:rPr>
        <w:t>2、</w:t>
      </w:r>
      <w:r>
        <w:rPr>
          <w:rFonts w:ascii="仿宋" w:eastAsia="仿宋" w:hAnsi="仿宋" w:cs="仿宋" w:hint="eastAsia"/>
          <w:b/>
          <w:bCs/>
          <w:sz w:val="28"/>
          <w:szCs w:val="28"/>
          <w:highlight w:val="none"/>
        </w:rPr>
        <w:t>工法特点</w:t>
      </w:r>
    </w:p>
    <w:p>
      <w:pPr>
        <w:keepNext w:val="0"/>
        <w:keepLines w:val="0"/>
        <w:pageBreakBefore w:val="0"/>
        <w:widowControl/>
        <w:kinsoku/>
        <w:wordWrap/>
        <w:overflowPunct/>
        <w:topLinePunct w:val="0"/>
        <w:autoSpaceDE/>
        <w:autoSpaceDN/>
        <w:bidi w:val="0"/>
        <w:adjustRightInd w:val="0"/>
        <w:snapToGrid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本工法针对性强，着重于大坡度、高强钢、长斜井的压力钢管安装的施工，对斜井段压力钢管安装的施工准备、机械配置、工装制作、人员安排等均进行了阐述。</w:t>
      </w:r>
    </w:p>
    <w:p>
      <w:pPr>
        <w:keepNext w:val="0"/>
        <w:keepLines w:val="0"/>
        <w:pageBreakBefore w:val="0"/>
        <w:widowControl/>
        <w:kinsoku/>
        <w:wordWrap/>
        <w:overflowPunct/>
        <w:topLinePunct w:val="0"/>
        <w:autoSpaceDE/>
        <w:autoSpaceDN/>
        <w:bidi w:val="0"/>
        <w:adjustRightInd w:val="0"/>
        <w:snapToGrid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本工法对压缝、焊接平台、运输平台重新进行设计制作，可充分满足斜井段压力钢管安装的各项施工需求，避免了过往施工中的各种缺陷，且具备极高的安全性及可操作性，提高施工效率及作业质量的同时，降低了劳动强度。</w:t>
      </w:r>
    </w:p>
    <w:p>
      <w:pPr>
        <w:keepNext w:val="0"/>
        <w:keepLines w:val="0"/>
        <w:pageBreakBefore w:val="0"/>
        <w:widowControl/>
        <w:kinsoku/>
        <w:wordWrap/>
        <w:overflowPunct/>
        <w:topLinePunct w:val="0"/>
        <w:autoSpaceDE/>
        <w:autoSpaceDN/>
        <w:bidi w:val="0"/>
        <w:adjustRightInd w:val="0"/>
        <w:snapToGrid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本工法对斜井段压力钢管安装的具体施工工序、技术检测要求、质量控制要点等方面提出了具体要求。</w:t>
      </w:r>
    </w:p>
    <w:p>
      <w:pPr>
        <w:keepNext w:val="0"/>
        <w:keepLines w:val="0"/>
        <w:pageBreakBefore w:val="0"/>
        <w:widowControl/>
        <w:tabs>
          <w:tab w:val="left" w:pos="400"/>
        </w:tabs>
        <w:kinsoku/>
        <w:wordWrap/>
        <w:overflowPunct/>
        <w:topLinePunct w:val="0"/>
        <w:autoSpaceDE/>
        <w:autoSpaceDN/>
        <w:bidi w:val="0"/>
        <w:adjustRightInd w:val="0"/>
        <w:snapToGrid w:val="0"/>
        <w:spacing w:after="0" w:line="240" w:lineRule="atLeast"/>
        <w:ind w:left="0" w:firstLine="0" w:leftChars="0" w:firstLineChars="0"/>
        <w:jc w:val="center"/>
        <w:textAlignment w:val="auto"/>
        <w:outlineLvl w:val="0"/>
        <w:rPr>
          <w:rFonts w:ascii="仿宋" w:eastAsia="仿宋" w:hAnsi="仿宋" w:cs="仿宋" w:hint="eastAsia"/>
          <w:b/>
          <w:bCs/>
          <w:sz w:val="28"/>
          <w:szCs w:val="28"/>
        </w:rPr>
      </w:pPr>
      <w:r>
        <w:rPr>
          <w:rFonts w:ascii="仿宋" w:eastAsia="仿宋" w:hAnsi="仿宋" w:cs="仿宋" w:hint="eastAsia"/>
          <w:b/>
          <w:bCs/>
          <w:sz w:val="28"/>
          <w:szCs w:val="28"/>
          <w:lang w:val="en-US" w:eastAsia="zh-CN"/>
        </w:rPr>
        <w:t>3、适用范围</w:t>
      </w:r>
    </w:p>
    <w:p>
      <w:pPr>
        <w:keepNext w:val="0"/>
        <w:keepLines w:val="0"/>
        <w:pageBreakBefore w:val="0"/>
        <w:widowControl/>
        <w:kinsoku/>
        <w:wordWrap/>
        <w:overflowPunct/>
        <w:topLinePunct w:val="0"/>
        <w:autoSpaceDE/>
        <w:autoSpaceDN/>
        <w:bidi w:val="0"/>
        <w:adjustRightInd w:val="0"/>
        <w:snapToGrid w:val="0"/>
        <w:spacing w:after="0" w:line="240" w:lineRule="atLeast"/>
        <w:ind w:left="0" w:firstLine="480" w:leftChars="0" w:firstLineChars="200"/>
        <w:jc w:val="left"/>
        <w:textAlignment w:val="auto"/>
        <w:rPr>
          <w:rFonts w:ascii="仿宋" w:eastAsia="仿宋" w:hAnsi="仿宋" w:cs="仿宋" w:hint="eastAsia"/>
          <w:sz w:val="24"/>
        </w:rPr>
      </w:pPr>
      <w:r>
        <w:rPr>
          <w:rFonts w:ascii="仿宋" w:eastAsia="仿宋" w:hAnsi="仿宋" w:cs="仿宋" w:hint="eastAsia"/>
          <w:sz w:val="24"/>
          <w:szCs w:val="24"/>
          <w:lang w:val="en-US" w:eastAsia="zh-CN"/>
        </w:rPr>
        <w:t>本工法适用于水利水电工程斜井段压力钢管的安装施工，包含安装施工的机械人员配置、施工工序、技术要求、质检控制等内容。</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tLeast"/>
        <w:ind w:leftChars="0"/>
        <w:jc w:val="center"/>
        <w:textAlignment w:val="auto"/>
        <w:outlineLvl w:val="0"/>
        <w:rPr>
          <w:rFonts w:ascii="仿宋" w:eastAsia="仿宋" w:hAnsi="仿宋" w:cs="仿宋" w:hint="eastAsia"/>
          <w:b/>
          <w:bCs w:val="0"/>
          <w:sz w:val="28"/>
          <w:szCs w:val="28"/>
        </w:rPr>
      </w:pPr>
      <w:r>
        <w:rPr>
          <w:rFonts w:ascii="仿宋" w:eastAsia="仿宋" w:hAnsi="仿宋" w:cs="仿宋" w:hint="eastAsia"/>
          <w:b/>
          <w:bCs w:val="0"/>
          <w:sz w:val="28"/>
          <w:szCs w:val="28"/>
          <w:lang w:val="en-US" w:eastAsia="zh-CN"/>
        </w:rPr>
        <w:t>4、</w:t>
      </w:r>
      <w:r>
        <w:rPr>
          <w:rFonts w:ascii="仿宋" w:eastAsia="仿宋" w:hAnsi="仿宋" w:cs="仿宋" w:hint="eastAsia"/>
          <w:b/>
          <w:bCs w:val="0"/>
          <w:sz w:val="28"/>
          <w:szCs w:val="28"/>
        </w:rPr>
        <w:t>工艺原理</w:t>
      </w:r>
    </w:p>
    <w:p>
      <w:pPr>
        <w:keepLines w:val="0"/>
        <w:pageBreakBefore w:val="0"/>
        <w:kinsoku/>
        <w:overflowPunct/>
        <w:topLinePunct w:val="0"/>
        <w:bidi w:val="0"/>
        <w:spacing w:after="0" w:line="240" w:lineRule="atLeast"/>
        <w:ind w:left="0" w:firstLine="480" w:leftChars="0" w:firstLineChars="200"/>
        <w:jc w:val="left"/>
        <w:textAlignment w:val="auto"/>
        <w:rPr>
          <w:rFonts w:ascii="仿宋" w:eastAsia="仿宋" w:hAnsi="仿宋" w:cs="仿宋" w:hint="eastAsia"/>
          <w:b w:val="0"/>
          <w:bCs/>
          <w:sz w:val="24"/>
        </w:rPr>
      </w:pPr>
      <w:r>
        <w:rPr>
          <w:rFonts w:ascii="仿宋" w:eastAsia="仿宋" w:hAnsi="仿宋" w:cs="仿宋" w:hint="eastAsia"/>
          <w:sz w:val="24"/>
          <w:szCs w:val="24"/>
          <w:lang w:val="en-US" w:eastAsia="zh-CN"/>
        </w:rPr>
        <w:t>为减少斜井段压力钢管的安装单元数及安装环缝数量、提高钢管安装效率，在压力钢管制作期间，根据提前编制完成的压力钢管摞节计划中的安装单元划分，将压力钢管在钢管加工厂内两两组对，进行摞节压缝及焊缝焊接施工，形成一个安装标准节，即为一安装单元。在斜井段上游侧的引水隧洞与施工支洞的交叉位置处，向上扩挖约3米，并布置5组卸车天锚，用于斜井段的压力钢管卸车；在距离斜井上弯段约10米位置处，扩挖卷扬机布置耳洞，根据斜井段最重安装单元的重量，在耳洞内布置合适载荷的卷扬机（以下称其为下放卷扬机），用于斜井段钢管的下放施工。下放卷扬机出绳侧斜朝向引水隧洞上游侧，在下放卷扬机上游侧采用单轮式定滑轮进行钢丝绳导向，使得钢丝绳导向至下游侧，朝向斜井段。斜井压力钢管内部布置移动式的压缝平台、焊接平台各一台，以满足钢管安装施工的环缝压缝、环缝焊接、防腐涂料补涂及焊缝无损检测作业。</w:t>
      </w:r>
      <w:r>
        <w:rPr>
          <w:rFonts w:ascii="仿宋" w:eastAsia="仿宋" w:hAnsi="仿宋" w:cs="仿宋" w:hint="eastAsia"/>
          <w:b w:val="0"/>
          <w:bCs/>
          <w:sz w:val="24"/>
          <w:szCs w:val="24"/>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tLeast"/>
        <w:ind w:leftChars="0"/>
        <w:jc w:val="center"/>
        <w:textAlignment w:val="auto"/>
        <w:outlineLvl w:val="0"/>
        <w:rPr>
          <w:rFonts w:ascii="仿宋" w:eastAsia="仿宋" w:hAnsi="仿宋" w:cs="仿宋" w:hint="eastAsia"/>
          <w:b/>
          <w:bCs w:val="0"/>
          <w:sz w:val="28"/>
          <w:szCs w:val="28"/>
        </w:rPr>
      </w:pPr>
      <w:r>
        <w:rPr>
          <w:rFonts w:ascii="仿宋" w:eastAsia="仿宋" w:hAnsi="仿宋" w:cs="仿宋" w:hint="eastAsia"/>
          <w:b/>
          <w:bCs w:val="0"/>
          <w:sz w:val="28"/>
          <w:szCs w:val="28"/>
          <w:lang w:val="en-US" w:eastAsia="zh-CN"/>
        </w:rPr>
        <w:t>5、工艺流程及操作要点</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240" w:lineRule="atLeast"/>
        <w:ind w:leftChars="0"/>
        <w:jc w:val="both"/>
        <w:textAlignment w:val="auto"/>
        <w:outlineLvl w:val="0"/>
        <w:rPr>
          <w:rFonts w:ascii="仿宋" w:eastAsia="仿宋" w:hAnsi="仿宋" w:cs="仿宋" w:hint="eastAsia"/>
          <w:b/>
          <w:bCs w:val="0"/>
          <w:sz w:val="28"/>
          <w:szCs w:val="28"/>
        </w:rPr>
      </w:pPr>
      <w:r>
        <w:rPr>
          <w:rFonts w:ascii="仿宋" w:eastAsia="仿宋" w:hAnsi="仿宋" w:cs="仿宋" w:hint="eastAsia"/>
          <w:b/>
          <w:bCs w:val="0"/>
          <w:sz w:val="28"/>
          <w:szCs w:val="28"/>
          <w:lang w:val="en-US" w:eastAsia="zh-CN"/>
        </w:rPr>
        <w:t>5.1工艺流程图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sectPr>
          <w:footerReference w:type="even" r:id="rId4"/>
          <w:footerReference w:type="default" r:id="rId5"/>
          <w:footerReference w:type="first" r:id="rId6"/>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1"/>
          <w:cols w:num="1" w:space="720"/>
          <w:titlePg/>
          <w:docGrid w:type="lines" w:linePitch="312" w:charSpace="0"/>
        </w:sectPr>
      </w:pP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斜井段压力钢管安装关键工序包括：施工准备（含轨道布置、卷扬机布设、天锚布设等）、测量放点、钢管运输、始装节安装、其他节安装、环缝焊接、附件拆除、防腐涂料补涂等。</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本施工工艺依据山东文登抽水蓄能电站高强钢压力钢管制作进行说明，具体工艺流程见图5.1-1。</w:t>
      </w:r>
    </w:p>
    <w:p>
      <w:pPr>
        <w:keepLines w:val="0"/>
        <w:pageBreakBefore w:val="0"/>
        <w:kinsoku/>
        <w:overflowPunct/>
        <w:topLinePunct w:val="0"/>
        <w:bidi w:val="0"/>
        <w:spacing w:after="0" w:line="240" w:lineRule="atLeast"/>
        <w:ind w:left="0" w:firstLine="0" w:leftChars="0" w:firstLineChars="0"/>
        <w:jc w:val="center"/>
        <w:textAlignment w:val="auto"/>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39.2pt;height:501.25pt" o:ole="" coordsize="21600,21600" o:preferrelative="t" filled="f" stroked="f">
            <v:imagedata r:id="rId7" o:title=""/>
            <o:lock v:ext="edit" aspectratio="f"/>
            <w10:anchorlock/>
          </v:shape>
          <o:OLEObject Type="Embed" ProgID="Visio.Drawing.15" ShapeID="_x0000_i1026" DrawAspect="Content" ObjectID="_1468075725" r:id="rId8"/>
        </w:object>
      </w:r>
    </w:p>
    <w:p>
      <w:pPr>
        <w:spacing w:line="240" w:lineRule="auto"/>
        <w:ind w:firstLine="0" w:firstLineChars="0"/>
        <w:jc w:val="center"/>
        <w:rPr>
          <w:rFonts w:ascii="仿宋" w:eastAsia="仿宋" w:hAnsi="仿宋" w:cs="宋体"/>
          <w:b w:val="0"/>
          <w:bCs w:val="0"/>
          <w:sz w:val="24"/>
        </w:rPr>
      </w:pPr>
      <w:r>
        <w:rPr>
          <w:rFonts w:ascii="仿宋" w:eastAsia="仿宋" w:hAnsi="仿宋" w:cs="宋体" w:hint="eastAsia"/>
          <w:b w:val="0"/>
          <w:bCs w:val="0"/>
          <w:sz w:val="24"/>
          <w:szCs w:val="24"/>
        </w:rPr>
        <w:t>图5.1-1 高强钢压力钢管工艺流程图</w:t>
      </w:r>
    </w:p>
    <w:p>
      <w:pPr>
        <w:keepLines w:val="0"/>
        <w:pageBreakBefore w:val="0"/>
        <w:tabs>
          <w:tab w:val="left" w:leader="dot" w:pos="7371"/>
        </w:tabs>
        <w:kinsoku/>
        <w:overflowPunct/>
        <w:topLinePunct w:val="0"/>
        <w:bidi w:val="0"/>
        <w:spacing w:after="0" w:line="240" w:lineRule="atLeast"/>
        <w:ind w:left="0" w:firstLine="0" w:leftChars="0" w:firstLineChars="0"/>
        <w:textAlignment w:val="auto"/>
        <w:outlineLvl w:val="1"/>
        <w:rPr>
          <w:rFonts w:ascii="仿宋" w:eastAsia="仿宋" w:hAnsi="仿宋" w:cs="仿宋" w:hint="eastAsia"/>
          <w:sz w:val="28"/>
          <w:szCs w:val="28"/>
        </w:rPr>
      </w:pPr>
      <w:r>
        <w:rPr>
          <w:rFonts w:ascii="仿宋" w:eastAsia="仿宋" w:hAnsi="仿宋" w:cs="仿宋" w:hint="eastAsia"/>
          <w:b/>
          <w:bCs/>
          <w:sz w:val="28"/>
          <w:szCs w:val="28"/>
        </w:rPr>
        <w:t>5.2操作要点</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5.2.1 测量控制点设置</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1、钢管安装前，联合监理人将钢管中心、高程和里程等控制点测放到附近的永久或半永久构筑物或牢固的岩石上，并做出明显标识。</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sectPr>
          <w:footerReference w:type="even" r:id="rId9"/>
          <w:footerReference w:type="default" r:id="rId10"/>
          <w:footerReference w:type="first" r:id="rId11"/>
          <w:type w:val="nextPage"/>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2"/>
          <w:cols w:num="1" w:space="720"/>
          <w:titlePg w:val="0"/>
          <w:docGrid w:type="lines" w:linePitch="312" w:charSpace="0"/>
        </w:sectPr>
      </w:pP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2、控制点设在预埋于两侧左右中心高程和管轴线底部的混凝土中用膨胀螺栓及混凝土固结的小铁板或平整的混凝土面上。</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3、控制点线精度是保证安装精度的基础，严格控制在1mm以内；施工期间注意控制点线的保护，严禁破坏。</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4、钢管安装及验收所用的测量器具，按有关规范、规定进行率定，并在有效期内使用。</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5.2.2 安装洞内天锚、轨道布置</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1、天锚布置</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斜井段上游侧引水隧洞、斜井段下游侧引水隧洞与施工支洞中心线交点处，向上扩挖约3米，各布置一个卸车天锚组，用于斜井段的压力钢管卸车。天锚组由五组天锚组成，中间一组由12根锚杆组成，材料为C28螺纹钢，入岩深度4.5m，与岩壁夹角15°，其余四组分别由6根锚杆组成，材料为C28螺纹钢，入岩深度4.5m，与岩壁夹角15°，以中间一组为对称点对称布置。</w:t>
      </w:r>
    </w:p>
    <w:p>
      <w:pPr>
        <w:ind w:firstLine="0" w:firstLineChars="0"/>
        <w:jc w:val="center"/>
        <w:rPr>
          <w:rFonts w:ascii="仿宋" w:eastAsia="仿宋" w:hAnsi="仿宋"/>
        </w:rPr>
      </w:pPr>
      <w:r>
        <w:rPr>
          <w:rFonts w:ascii="仿宋" w:eastAsia="仿宋" w:hAnsi="仿宋" w:hint="eastAsia"/>
        </w:rPr>
        <w:pict>
          <v:shape id="_x0000_i1027" type="#_x0000_t75" alt="天锚1_00" style="width:405.75pt;height:247.25pt" coordsize="21600,21600" o:preferrelative="t" filled="f" stroked="f">
            <v:imagedata r:id="rId12" o:title="天锚1_00" croptop="7978f" cropbottom="6383f" cropleft="4860f" cropright="1302f"/>
            <o:lock v:ext="edit" aspectratio="t"/>
            <w10:anchorlock/>
          </v:shape>
        </w:pict>
      </w:r>
    </w:p>
    <w:p>
      <w:pPr>
        <w:spacing w:line="240" w:lineRule="auto"/>
        <w:ind w:firstLine="0" w:firstLineChars="0"/>
        <w:jc w:val="center"/>
        <w:rPr>
          <w:rFonts w:ascii="仿宋" w:eastAsia="仿宋" w:hAnsi="仿宋" w:cs="宋体" w:hint="eastAsia"/>
          <w:b w:val="0"/>
          <w:bCs w:val="0"/>
          <w:sz w:val="24"/>
        </w:rPr>
        <w:sectPr>
          <w:footerReference w:type="even" r:id="rId13"/>
          <w:footerReference w:type="default" r:id="rId14"/>
          <w:footerReference w:type="first" r:id="rId15"/>
          <w:type w:val="nextPage"/>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3"/>
          <w:cols w:num="1" w:space="720"/>
          <w:titlePg w:val="0"/>
          <w:docGrid w:type="lines" w:linePitch="312" w:charSpace="0"/>
        </w:sect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.2</w:t>
      </w:r>
      <w:r>
        <w:rPr>
          <w:rFonts w:ascii="仿宋" w:eastAsia="仿宋" w:hAnsi="仿宋" w:cs="宋体" w:hint="eastAsia"/>
          <w:b w:val="0"/>
          <w:bCs w:val="0"/>
          <w:sz w:val="24"/>
          <w:szCs w:val="24"/>
        </w:rPr>
        <w:t>-1 天锚布置示意图1</w:t>
      </w:r>
    </w:p>
    <w:p>
      <w:pPr>
        <w:ind w:firstLine="0" w:firstLineChars="0"/>
        <w:jc w:val="center"/>
        <w:rPr>
          <w:rFonts w:ascii="仿宋" w:eastAsia="仿宋" w:hAnsi="仿宋"/>
        </w:rPr>
      </w:pPr>
      <w:r>
        <w:rPr>
          <w:rFonts w:ascii="仿宋" w:eastAsia="仿宋" w:hAnsi="仿宋" w:hint="eastAsia"/>
        </w:rPr>
        <w:pict>
          <v:shape id="_x0000_i1028" type="#_x0000_t75" alt="天锚2_00" style="width:242.05pt;height:246.75pt" coordsize="21600,21600" o:preferrelative="t" filled="f" stroked="f">
            <v:imagedata r:id="rId16" o:title="天锚2_00" croptop="9206f" cropbottom="6506f" cropleft="6596f" cropright="24386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.2</w:t>
      </w:r>
      <w:r>
        <w:rPr>
          <w:rFonts w:ascii="仿宋" w:eastAsia="仿宋" w:hAnsi="仿宋" w:cs="宋体" w:hint="eastAsia"/>
          <w:b w:val="0"/>
          <w:bCs w:val="0"/>
          <w:sz w:val="24"/>
          <w:szCs w:val="24"/>
        </w:rPr>
        <w:t>-2 天锚布置示意图2</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天锚组由螺纹钢筋组成，每组天锚钢筋用钢板制作的吊耳连成一体。</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（1）按照现场已复核过的钢管轴线，在基层上弹出孔位基准线。根据基准线确定出具体锚杆位置并作好标记。</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（2）将钻孔机就位，进行钻孔施工。成孔采用专用锚杆钻机成孔，根据各天锚点的设计尺寸选择适合的钻杆。成孔达到后利用高压风力反复吹洗孔洞，将孔底粉或泥水清理干净。</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（3）锚杆放入钻孔前，检查杆体的质量，确保杆体满足强度要求。安装杆体时，防止杆体扭压，弯曲。锚杆安放后，不得随意提拔。</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4）注浆用水泥砂浆配合比委托有资质的试验室或设计单位提供。插筋后及时灌注水泥砂浆，注浆压力为0.5～1.0MPa，注浆管插入距孔底50cm处，待孔口溢出水泥砂浆时终止。由于浆体的收缩可向孔中顶部补充同样的水泥砂浆。浆液搅拌均匀，随拌随用，浆液在初凝前用完。</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（5）锚杆与钢板制作的吊耳连成一体，连接牢靠，并做拉拔力试验，合格后使用。</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2、轨道布置</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压力钢管经天锚卸车后，采用有轨台车进行运输，施工支洞垫层浇筑完毕后在施工支洞进行台车轨道的安装，轨道型号为22kg/m轻轨，轨距为2.2m，轨道沿水流中心铺设。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轨道安装前事先在垫层上进行测量放线，弹出轨道中心线，安装时以轨道中心线进行安装，安装采用人工安装。轨道安装调平后两侧打孔插入锚筋进行轨道加固。轨道安装后，轨距偏差不应超过±10mm，同一截面两条轨道高差不得大于5mm，轨道实际中心线与基准线偏差不大于5mm。轨道在接头处高低差及侧向错位≤1mm，间隙≤2mm，并用磨光机打磨过度良好。</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5.2.3 下放卷扬机布置</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sectPr>
          <w:footerReference w:type="even" r:id="rId17"/>
          <w:footerReference w:type="default" r:id="rId18"/>
          <w:footerReference w:type="first" r:id="rId19"/>
          <w:type w:val="nextPage"/>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4"/>
          <w:cols w:num="1" w:space="720"/>
          <w:titlePg w:val="0"/>
          <w:docGrid w:type="lines" w:linePitch="312" w:charSpace="0"/>
        </w:sectPr>
      </w:pP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在距离斜井上弯段约10米位置处，扩挖卷扬机布置耳洞，根据斜井段最重安装单元的重量，在耳洞内布置合适载荷的卷扬机（根据文登抽水蓄能电站斜井段压力钢管规格，选用20t卷扬机，以下统称为下放卷扬机），用于斜井段钢管的下放施工。下放卷扬机出绳侧斜朝向引水隧洞上游侧，在下放卷扬机上游侧采用单轮式定滑轮进行钢丝绳导向，使得钢丝绳导向至下游侧，朝向斜井段。</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沿卷扬机滑动方向钻孔打插筋进行卷扬机的锚固，采用12根直径φ32mm的HRB400螺纹钢做锚杆与卷扬机机座连接，锚固卷扬机。直径φ32mm锚杆插入深度3m，外露0.2m，间距0.78m。</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Φ32mm抗拉力为360N/mm2×3.14×（16mm）2=289382.4N=28.9t</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Φ32mm抗剪力=0.6×360N/mm2×3.14×（16mm）2=173629N=17.4t</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卷扬机锚杆抗拉全系数28.9t×12×0.85÷20t=14.7（0.85为不均衡系数）</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卷扬机锚杆抗剪全系数17.4t×12×0.85÷20t=8.9（0.85为不均衡系数）</w:t>
      </w:r>
    </w:p>
    <w:p>
      <w:pPr>
        <w:ind w:firstLine="0" w:firstLineChars="0"/>
        <w:jc w:val="center"/>
        <w:rPr>
          <w:rFonts w:ascii="仿宋" w:eastAsia="仿宋" w:hAnsi="仿宋"/>
        </w:rPr>
      </w:pPr>
      <w:r>
        <w:rPr>
          <w:rFonts w:ascii="仿宋" w:eastAsia="仿宋" w:hAnsi="仿宋" w:hint="eastAsia"/>
        </w:rPr>
        <w:pict>
          <v:shape id="_x0000_i1029" type="#_x0000_t75" alt="卷扬机布置1_00" style="width:429.1pt;height:149.35pt" coordsize="21600,21600" o:preferrelative="t" filled="f" stroked="f">
            <v:imagedata r:id="rId20" o:title="卷扬机布置1_00" croptop="29704f" cropbottom="5278f" cropleft="3471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.3</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1</w:t>
      </w:r>
      <w:r>
        <w:rPr>
          <w:rFonts w:ascii="仿宋" w:eastAsia="仿宋" w:hAnsi="仿宋" w:cs="宋体" w:hint="eastAsia"/>
          <w:b w:val="0"/>
          <w:bCs w:val="0"/>
          <w:sz w:val="24"/>
          <w:szCs w:val="24"/>
        </w:rPr>
        <w:t xml:space="preserve"> 卷扬机布置示意图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5.2.4 压力钢管下放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1、压力钢管一般下放方式</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确保放置稳固可靠后，用4个5t倒链将钢管与运输台车连接固定牢靠，钢管两侧各布置两台倒链，倒链一端通过钩板连接于钢管串浆孔，另一端连接于运输台车的耳板处。钢管固定措施见下图5.2.4-1：</w:t>
      </w:r>
    </w:p>
    <w:p>
      <w:pPr>
        <w:ind w:firstLine="0" w:firstLineChars="0"/>
        <w:jc w:val="center"/>
        <w:sectPr>
          <w:footerReference w:type="even" r:id="rId21"/>
          <w:footerReference w:type="default" r:id="rId22"/>
          <w:footerReference w:type="first" r:id="rId23"/>
          <w:type w:val="nextPage"/>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5"/>
          <w:cols w:num="1" w:space="720"/>
          <w:titlePg w:val="0"/>
          <w:docGrid w:type="lines" w:linePitch="312" w:charSpace="0"/>
        </w:sectPr>
      </w:pPr>
      <w:r>
        <w:rPr>
          <w:rFonts w:hint="eastAsia"/>
        </w:rPr>
        <w:pict>
          <v:shape id="_x0000_i1030" type="#_x0000_t75" alt="锚固_00" style="width:269.5pt;height:255.1pt" coordsize="21600,21600" o:preferrelative="t" filled="f" stroked="f">
            <v:imagedata r:id="rId24" o:title="锚固_00" croptop="12643f" cropbottom="2332f" cropleft="8938f" cropright="18832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.4</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1</w:t>
      </w:r>
      <w:r>
        <w:rPr>
          <w:rFonts w:ascii="仿宋" w:eastAsia="仿宋" w:hAnsi="仿宋" w:cs="宋体" w:hint="eastAsia"/>
          <w:b w:val="0"/>
          <w:bCs w:val="0"/>
          <w:sz w:val="24"/>
          <w:szCs w:val="24"/>
        </w:rPr>
        <w:t xml:space="preserve"> 钢管锚固示意图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通过下放卷扬机将钢管下放至斜井安装位置。卷扬机为双股绳牵引，在卷扬机上游端采用50t定滑轮（单个滑轮）进行导向，斜井上弯段洞底圆弧位置设置5组导向轮（托辊），用于牵引钢丝绳导向。下放压力钢管设置50t动滑轮（单个滑轮），通过丁字钩板，挂钩于下放钢管的串浆孔。具体挂钩方式见下图</w:t>
      </w:r>
      <w:r>
        <w:rPr>
          <w:rFonts w:ascii="仿宋" w:eastAsia="仿宋" w:hAnsi="仿宋" w:cs="宋体" w:hint="eastAsia"/>
          <w:b w:val="0"/>
          <w:bCs w:val="0"/>
          <w:sz w:val="24"/>
          <w:szCs w:val="24"/>
        </w:rPr>
        <w:t>5.2</w:t>
      </w:r>
      <w:r>
        <w:rPr>
          <w:rFonts w:ascii="仿宋" w:eastAsia="仿宋" w:hAnsi="仿宋" w:cs="宋体" w:hint="eastAsia"/>
          <w:b w:val="0"/>
          <w:bCs w:val="0"/>
          <w:sz w:val="24"/>
          <w:szCs w:val="24"/>
          <w:lang w:val="en-US" w:eastAsia="zh-CN"/>
        </w:rPr>
        <w:t>.4</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2</w:t>
      </w:r>
      <w:r>
        <w:rPr>
          <w:rFonts w:ascii="仿宋" w:eastAsia="仿宋" w:hAnsi="仿宋" w:cs="仿宋" w:hint="eastAsia"/>
          <w:sz w:val="24"/>
          <w:szCs w:val="24"/>
          <w:lang w:val="en-US" w:eastAsia="zh-CN"/>
        </w:rPr>
        <w:t>，下放过程见下图</w:t>
      </w:r>
      <w:r>
        <w:rPr>
          <w:rFonts w:ascii="仿宋" w:eastAsia="仿宋" w:hAnsi="仿宋" w:cs="宋体" w:hint="eastAsia"/>
          <w:b w:val="0"/>
          <w:bCs w:val="0"/>
          <w:sz w:val="24"/>
          <w:szCs w:val="24"/>
        </w:rPr>
        <w:t>5.2</w:t>
      </w:r>
      <w:r>
        <w:rPr>
          <w:rFonts w:ascii="仿宋" w:eastAsia="仿宋" w:hAnsi="仿宋" w:cs="宋体" w:hint="eastAsia"/>
          <w:b w:val="0"/>
          <w:bCs w:val="0"/>
          <w:sz w:val="24"/>
          <w:szCs w:val="24"/>
          <w:lang w:val="en-US" w:eastAsia="zh-CN"/>
        </w:rPr>
        <w:t>.4</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3</w:t>
      </w:r>
      <w:r>
        <w:rPr>
          <w:rFonts w:ascii="仿宋" w:eastAsia="仿宋" w:hAnsi="仿宋" w:cs="仿宋" w:hint="eastAsia"/>
          <w:sz w:val="24"/>
          <w:szCs w:val="24"/>
          <w:lang w:val="en-US" w:eastAsia="zh-CN"/>
        </w:rPr>
        <w:t>：</w:t>
      </w:r>
    </w:p>
    <w:p>
      <w:pPr>
        <w:ind w:firstLine="0" w:firstLineChars="0"/>
        <w:jc w:val="center"/>
      </w:pPr>
      <w:r>
        <w:rPr>
          <w:rFonts w:hint="eastAsia"/>
        </w:rPr>
        <w:pict>
          <v:shape id="_x0000_i1031" type="#_x0000_t75" alt="下放_00" style="width:274.05pt;height:270.25pt" coordsize="21600,21600" o:preferrelative="t" filled="f" stroked="f">
            <v:imagedata r:id="rId25" o:title="下放_00" croptop="9376f" cropbottom="3975f" cropleft="6248f" cropright="21869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.4</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2</w:t>
      </w:r>
      <w:r>
        <w:rPr>
          <w:rFonts w:ascii="仿宋" w:eastAsia="仿宋" w:hAnsi="仿宋" w:cs="宋体" w:hint="eastAsia"/>
          <w:b w:val="0"/>
          <w:bCs w:val="0"/>
          <w:sz w:val="24"/>
          <w:szCs w:val="24"/>
        </w:rPr>
        <w:t xml:space="preserve"> 下放钢管挂钩方式示意图</w:t>
      </w:r>
    </w:p>
    <w:p>
      <w:pPr>
        <w:ind w:firstLine="0" w:firstLineChars="0"/>
        <w:jc w:val="center"/>
        <w:sectPr>
          <w:footerReference w:type="even" r:id="rId26"/>
          <w:footerReference w:type="default" r:id="rId27"/>
          <w:footerReference w:type="first" r:id="rId28"/>
          <w:type w:val="nextPage"/>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6"/>
          <w:cols w:num="1" w:space="720"/>
          <w:titlePg w:val="0"/>
          <w:docGrid w:type="lines" w:linePitch="312" w:charSpace="0"/>
        </w:sectPr>
      </w:pPr>
    </w:p>
    <w:p>
      <w:pPr>
        <w:ind w:firstLine="0" w:firstLineChars="0"/>
        <w:jc w:val="center"/>
        <w:rPr>
          <w:rFonts w:ascii="仿宋" w:eastAsia="仿宋" w:hAnsi="仿宋"/>
        </w:rPr>
      </w:pPr>
      <w:r>
        <w:rPr>
          <w:rFonts w:ascii="仿宋" w:eastAsia="仿宋" w:hAnsi="仿宋" w:hint="eastAsia"/>
          <w:szCs w:val="24"/>
        </w:rPr>
        <w:pict>
          <v:shape id="_x0000_i1032" type="#_x0000_t75" alt="卷扬机布置2_00" style="width:425.2pt;height:309.7pt" coordsize="21600,21600" o:preferrelative="t" filled="f" stroked="f">
            <v:imagedata r:id="rId29" o:title="卷扬机布置2_00" croptop="6751f" cropbottom="2087f" cropleft="2950f" cropright="7550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.4</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3</w:t>
      </w:r>
      <w:r>
        <w:rPr>
          <w:rFonts w:ascii="仿宋" w:eastAsia="仿宋" w:hAnsi="仿宋" w:cs="宋体" w:hint="eastAsia"/>
          <w:b w:val="0"/>
          <w:bCs w:val="0"/>
          <w:sz w:val="24"/>
          <w:szCs w:val="24"/>
        </w:rPr>
        <w:t xml:space="preserve"> 斜井段钢管下放示意图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2、始装节及斜井下弯段钢管运输</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（1）在斜井下弯段根据压力钢管安装走向浇筑台阶，作为压力钢管安装平台，每层台阶高度不大于1米，台阶与压力钢管外壁直线距离不小于0.6米。</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（2）斜井段始装节从斜井段下游侧引水隧洞进入，经有轨台车运输至斜井下弯段下游起始位置后，使用10t卷扬机，经提前埋设在下弯段台阶上的导向滑轮反拉至安装位置进行安装。</w:t>
      </w:r>
    </w:p>
    <w:p>
      <w:pPr>
        <w:ind w:firstLine="480"/>
        <w:jc w:val="center"/>
        <w:rPr>
          <w:rFonts w:ascii="仿宋" w:eastAsia="仿宋" w:hAnsi="仿宋"/>
        </w:rPr>
      </w:pPr>
      <w:r>
        <w:rPr>
          <w:rFonts w:ascii="仿宋" w:eastAsia="仿宋" w:hAnsi="仿宋" w:hint="eastAsia"/>
          <w:szCs w:val="24"/>
        </w:rPr>
        <w:pict>
          <v:shape id="_x0000_i1033" type="#_x0000_t75" alt="下弯段_00" style="width:368.5pt;height:166.1pt" coordsize="21600,21600" o:preferrelative="t" filled="f" stroked="f">
            <v:imagedata r:id="rId30" o:title="下弯段_00" cropbottom="54038f" cropleft="13811f" cropright="15635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.4</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4</w:t>
      </w:r>
      <w:r>
        <w:rPr>
          <w:rFonts w:ascii="仿宋" w:eastAsia="仿宋" w:hAnsi="仿宋" w:cs="宋体" w:hint="eastAsia"/>
          <w:b w:val="0"/>
          <w:bCs w:val="0"/>
          <w:sz w:val="24"/>
          <w:szCs w:val="24"/>
        </w:rPr>
        <w:t xml:space="preserve"> 斜井段始装节安装示意图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sectPr>
          <w:footerReference w:type="even" r:id="rId31"/>
          <w:footerReference w:type="default" r:id="rId32"/>
          <w:footerReference w:type="first" r:id="rId33"/>
          <w:type w:val="nextPage"/>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7"/>
          <w:cols w:num="1" w:space="720"/>
          <w:titlePg w:val="0"/>
          <w:docGrid w:type="lines" w:linePitch="312" w:charSpace="0"/>
        </w:sectPr>
      </w:pPr>
      <w:r>
        <w:rPr>
          <w:rFonts w:ascii="仿宋" w:eastAsia="仿宋" w:hAnsi="仿宋" w:cs="仿宋" w:hint="eastAsia"/>
          <w:sz w:val="24"/>
          <w:szCs w:val="24"/>
          <w:lang w:val="en-US" w:eastAsia="zh-CN"/>
        </w:rPr>
        <w:t>（3）始装节下游侧其余部分钢管在反拉过程中导向轮钢丝绳在已安装钢管内部，使用同样方法安装至平段区域。</w:t>
      </w:r>
    </w:p>
    <w:p>
      <w:pPr>
        <w:ind w:firstLine="480"/>
        <w:jc w:val="center"/>
        <w:rPr>
          <w:rFonts w:ascii="仿宋" w:eastAsia="仿宋" w:hAnsi="仿宋"/>
        </w:rPr>
      </w:pPr>
      <w:r>
        <w:rPr>
          <w:rFonts w:ascii="仿宋" w:eastAsia="仿宋" w:hAnsi="仿宋" w:hint="eastAsia"/>
          <w:szCs w:val="24"/>
        </w:rPr>
        <w:pict>
          <v:shape id="_x0000_i1034" type="#_x0000_t75" alt="下弯段_00" style="width:368.5pt;height:170.5pt" coordsize="21600,21600" o:preferrelative="t" filled="f" stroked="f">
            <v:imagedata r:id="rId30" o:title="下弯段_00" croptop="15720f" cropbottom="38011f" cropleft="13811f" cropright="15635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.4</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5</w:t>
      </w:r>
      <w:r>
        <w:rPr>
          <w:rFonts w:ascii="仿宋" w:eastAsia="仿宋" w:hAnsi="仿宋" w:cs="宋体" w:hint="eastAsia"/>
          <w:b w:val="0"/>
          <w:bCs w:val="0"/>
          <w:sz w:val="24"/>
          <w:szCs w:val="24"/>
        </w:rPr>
        <w:t xml:space="preserve"> 斜井段始装节下游侧钢管安装示意图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（4）对已安装的始装节及下游侧钢管进行混凝土回填，在始装节混凝土强度达到设计强度的75%后，方可进行后续管节的安装。</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（5）始装节上游部分钢管采用斜井段上游侧的下放卷扬机从斜井顶部溜放至安装位置进行对位安装。</w:t>
      </w:r>
    </w:p>
    <w:p>
      <w:pPr>
        <w:ind w:firstLine="0" w:firstLineChars="0"/>
        <w:jc w:val="center"/>
        <w:rPr>
          <w:rFonts w:ascii="仿宋" w:eastAsia="仿宋" w:hAnsi="仿宋"/>
        </w:rPr>
      </w:pPr>
      <w:r>
        <w:rPr>
          <w:rFonts w:ascii="仿宋" w:eastAsia="仿宋" w:hAnsi="仿宋" w:hint="eastAsia"/>
          <w:szCs w:val="24"/>
        </w:rPr>
        <w:pict>
          <v:shape id="_x0000_i1035" type="#_x0000_t75" alt="下弯段_00" style="width:406pt;height:283.45pt" coordsize="21600,21600" o:preferrelative="t" filled="f" stroked="f">
            <v:imagedata r:id="rId34" o:title="下弯段_00" croptop="33467f" cropbottom="9887f" cropleft="4517f" cropright="16069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.4</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6</w:t>
      </w:r>
      <w:r>
        <w:rPr>
          <w:rFonts w:ascii="仿宋" w:eastAsia="仿宋" w:hAnsi="仿宋" w:cs="宋体" w:hint="eastAsia"/>
          <w:b w:val="0"/>
          <w:bCs w:val="0"/>
          <w:sz w:val="24"/>
          <w:szCs w:val="24"/>
        </w:rPr>
        <w:t xml:space="preserve"> 斜井段始装节上游侧钢管安装示意图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5.2.5 钢管安装</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1、始装节安装</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sectPr>
          <w:footerReference w:type="even" r:id="rId35"/>
          <w:footerReference w:type="default" r:id="rId36"/>
          <w:footerReference w:type="first" r:id="rId37"/>
          <w:type w:val="nextPage"/>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8"/>
          <w:cols w:num="1" w:space="720"/>
          <w:titlePg w:val="0"/>
          <w:docGrid w:type="lines" w:linePitch="312" w:charSpace="0"/>
        </w:sectPr>
      </w:pPr>
      <w:r>
        <w:rPr>
          <w:rFonts w:ascii="仿宋" w:eastAsia="仿宋" w:hAnsi="仿宋" w:cs="仿宋" w:hint="eastAsia"/>
          <w:sz w:val="24"/>
          <w:szCs w:val="24"/>
          <w:lang w:val="en-US" w:eastAsia="zh-CN"/>
        </w:rPr>
        <w:t>（1）安装前通过全站仪对始装节两侧管口的最低点和两侧腰线（以下简称：最低点为-Y、左侧腰线为-X、右侧腰线为X、最高点为Y）的地面投影进行放样做点，放点位置见下图5.2.5-1：</w:t>
      </w:r>
    </w:p>
    <w:p>
      <w:pPr>
        <w:ind w:firstLine="0" w:firstLineChars="0"/>
        <w:jc w:val="center"/>
        <w:rPr>
          <w:rFonts w:ascii="仿宋" w:eastAsia="仿宋" w:hAnsi="仿宋"/>
        </w:rPr>
      </w:pPr>
      <w:r>
        <w:rPr>
          <w:rFonts w:ascii="仿宋" w:eastAsia="仿宋" w:hAnsi="仿宋" w:hint="eastAsia"/>
          <w:szCs w:val="24"/>
        </w:rPr>
        <w:pict>
          <v:shape id="_x0000_i1036" type="#_x0000_t75" alt="首装节放点_00" style="width:425.2pt;height:233.8pt" coordsize="21600,21600" o:preferrelative="t" filled="f" stroked="f">
            <v:imagedata r:id="rId38" o:title="首装节放点_00" croptop="14116f" cropbottom="8347f" cropleft="7377f" cropright="2777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图5.2</w:t>
      </w:r>
      <w:r>
        <w:rPr>
          <w:rFonts w:ascii="仿宋" w:eastAsia="仿宋" w:hAnsi="仿宋" w:cs="宋体" w:hint="eastAsia"/>
          <w:b w:val="0"/>
          <w:bCs w:val="0"/>
          <w:sz w:val="24"/>
          <w:szCs w:val="24"/>
          <w:lang w:val="en-US" w:eastAsia="zh-CN"/>
        </w:rPr>
        <w:t>.5</w:t>
      </w:r>
      <w:r>
        <w:rPr>
          <w:rFonts w:ascii="仿宋" w:eastAsia="仿宋" w:hAnsi="仿宋" w:cs="宋体" w:hint="eastAsia"/>
          <w:b w:val="0"/>
          <w:bCs w:val="0"/>
          <w:sz w:val="24"/>
          <w:szCs w:val="24"/>
        </w:rPr>
        <w:t>-</w:t>
      </w:r>
      <w:r>
        <w:rPr>
          <w:rFonts w:ascii="仿宋" w:eastAsia="仿宋" w:hAnsi="仿宋" w:cs="宋体" w:hint="eastAsia"/>
          <w:b w:val="0"/>
          <w:bCs w:val="0"/>
          <w:sz w:val="24"/>
          <w:szCs w:val="24"/>
          <w:lang w:val="en-US" w:eastAsia="zh-CN"/>
        </w:rPr>
        <w:t>1</w:t>
      </w:r>
      <w:r>
        <w:rPr>
          <w:rFonts w:ascii="仿宋" w:eastAsia="仿宋" w:hAnsi="仿宋" w:cs="宋体" w:hint="eastAsia"/>
          <w:b w:val="0"/>
          <w:bCs w:val="0"/>
          <w:sz w:val="24"/>
          <w:szCs w:val="24"/>
        </w:rPr>
        <w:t xml:space="preserve"> 斜井段始装节上游侧钢管安装示意图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2）使用千斤顶将台车顶起调整钢管安装位置，通过坠线方法使其轴线与设计轴线重合，然后使用水准仪利用预先放置点位的高程将钢管的高程调至误差允许范围内。千斤顶在顶升过程中密切观察钢管的平稳性，顶升过程中应四个千斤顶同步进行，将台车顶升后在台车底部加设枕木防止钢管失稳时造成倾覆现象</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sectPr>
          <w:footerReference w:type="even" r:id="rId39"/>
          <w:footerReference w:type="default" r:id="rId40"/>
          <w:footerReference w:type="first" r:id="rId41"/>
          <w:type w:val="nextPage"/>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9"/>
          <w:cols w:num="1" w:space="720"/>
          <w:titlePg w:val="0"/>
          <w:docGrid w:type="lines" w:linePitch="312" w:charSpace="0"/>
        </w:sectPr>
      </w:pPr>
      <w:r>
        <w:rPr>
          <w:rFonts w:ascii="仿宋" w:eastAsia="仿宋" w:hAnsi="仿宋" w:cs="仿宋" w:hint="eastAsia"/>
          <w:sz w:val="24"/>
          <w:szCs w:val="24"/>
          <w:lang w:val="en-US" w:eastAsia="zh-CN"/>
        </w:rPr>
        <w:t>（3）调整钢管安装位置使其安装偏差符合设计图纸和相关规范要求后，即可进行钢管的外支撑加固，外支撑加固对称进行，应牢固可靠，以确保钢管在混凝土回填时不产生变形和位移。在洞壁和管壁之间用I16#工字钢按下图来支撑，并且每支撑点打锚杆进行固定。钢管加固材料应焊接在加劲环上，不得直接焊接在钢管管壁上，始装节外支撑加固见下图</w:t>
      </w:r>
      <w:r>
        <w:rPr>
          <w:rFonts w:ascii="仿宋" w:eastAsia="仿宋" w:hAnsi="仿宋" w:cs="宋体" w:hint="default"/>
          <w:b w:val="0"/>
          <w:bCs w:val="0"/>
          <w:sz w:val="24"/>
          <w:szCs w:val="24"/>
          <w:lang w:val="en-US" w:eastAsia="zh-CN"/>
        </w:rPr>
        <w:t>5.2.5-</w:t>
      </w:r>
      <w:r>
        <w:rPr>
          <w:rFonts w:ascii="仿宋" w:eastAsia="仿宋" w:hAnsi="仿宋" w:cs="宋体" w:hint="eastAsia"/>
          <w:b w:val="0"/>
          <w:bCs w:val="0"/>
          <w:sz w:val="24"/>
          <w:szCs w:val="24"/>
          <w:lang w:val="en-US" w:eastAsia="zh-CN"/>
        </w:rPr>
        <w:t>2所示：</w:t>
      </w:r>
    </w:p>
    <w:p>
      <w:pPr>
        <w:ind w:firstLine="0" w:firstLineChars="0"/>
        <w:jc w:val="center"/>
        <w:rPr>
          <w:rFonts w:ascii="仿宋" w:eastAsia="仿宋" w:hAnsi="仿宋"/>
        </w:rPr>
      </w:pPr>
      <w:r>
        <w:rPr>
          <w:rFonts w:ascii="仿宋" w:eastAsia="仿宋" w:hAnsi="仿宋" w:hint="eastAsia"/>
          <w:szCs w:val="24"/>
        </w:rPr>
        <w:pict>
          <v:shape id="_x0000_i1037" type="#_x0000_t75" alt="外支撑_00" style="width:313.1pt;height:283.45pt" coordsize="21600,21600" o:preferrelative="t" filled="f" stroked="f">
            <v:imagedata r:id="rId42" o:title="外支撑_00" croptop="11538f" cropbottom="9083f" cropleft="5554f" cropright="24907f"/>
            <o:lock v:ext="edit" aspectratio="t"/>
            <w10:anchorlock/>
          </v:shape>
        </w:pict>
      </w:r>
    </w:p>
    <w:p>
      <w:pPr>
        <w:spacing w:line="240" w:lineRule="auto"/>
        <w:ind w:firstLine="0" w:firstLineChars="0"/>
        <w:jc w:val="center"/>
        <w:rPr>
          <w:rFonts w:ascii="仿宋" w:eastAsia="仿宋" w:hAnsi="仿宋" w:cs="宋体" w:hint="eastAsia"/>
          <w:b w:val="0"/>
          <w:bCs w:val="0"/>
          <w:sz w:val="24"/>
        </w:rPr>
      </w:pPr>
      <w:r>
        <w:rPr>
          <w:rFonts w:ascii="仿宋" w:eastAsia="仿宋" w:hAnsi="仿宋" w:cs="宋体" w:hint="eastAsia"/>
          <w:b w:val="0"/>
          <w:bCs w:val="0"/>
          <w:sz w:val="24"/>
          <w:szCs w:val="24"/>
        </w:rPr>
        <w:t>图</w:t>
      </w:r>
      <w:r>
        <w:rPr>
          <w:rFonts w:ascii="仿宋" w:eastAsia="仿宋" w:hAnsi="仿宋" w:cs="宋体" w:hint="default"/>
          <w:b w:val="0"/>
          <w:bCs w:val="0"/>
          <w:sz w:val="24"/>
          <w:szCs w:val="24"/>
          <w:lang w:val="en-US" w:eastAsia="zh-CN"/>
        </w:rPr>
        <w:t>5.2.5-</w:t>
      </w:r>
      <w:r>
        <w:rPr>
          <w:rFonts w:ascii="仿宋" w:eastAsia="仿宋" w:hAnsi="仿宋" w:cs="宋体" w:hint="eastAsia"/>
          <w:b w:val="0"/>
          <w:bCs w:val="0"/>
          <w:sz w:val="24"/>
          <w:szCs w:val="24"/>
          <w:lang w:val="en-US" w:eastAsia="zh-CN"/>
        </w:rPr>
        <w:t>2</w:t>
      </w:r>
      <w:r>
        <w:rPr>
          <w:rFonts w:ascii="仿宋" w:eastAsia="仿宋" w:hAnsi="仿宋" w:cs="宋体" w:hint="eastAsia"/>
          <w:b w:val="0"/>
          <w:bCs w:val="0"/>
          <w:sz w:val="24"/>
          <w:szCs w:val="24"/>
        </w:rPr>
        <w:t xml:space="preserve"> 钢管外支撑示意图</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（4）钢管加固完毕，千斤顶收缩，解掉钢管与台车的连接倒链，将台车落放至轨道上，使用卷扬机牵引台车脱离钢管底部，完成始装节钢管安装。</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2、其余管节安装</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1）始装节安装完毕后，根据压力钢管安装顺序，依次将标准管节运输下放至已装管节处，用液压千斤顶将钢管顶起并在底部用型钢支架支撑管节，抽出台车用倒链配合调整管节的各项安装尺寸。符合要求后，即可进行环缝对接，为提高安装效率，环缝采用专门制造的压缝平台（带可旋转的顶杠和千斤顶）进行压缝。钢管安装位置符合规范要求后即可进行钢管对接环缝点焊，点焊长度为80～100mm，间距控制在100～400mm之间，厚度不宜大于焊缝厚度的1/2，最厚不宜大于8mm</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（2）钢管纵缝在钢管制作过程中，已通过奇数节、偶数节区分开，通过钢管内标识的水流方向和轴线位置进行安装定位，相邻管节的纵缝均可错开90°。</w:t>
      </w:r>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r>
        <w:rPr>
          <w:rFonts w:ascii="仿宋" w:eastAsia="仿宋" w:hAnsi="仿宋" w:cs="仿宋" w:hint="eastAsia"/>
          <w:sz w:val="24"/>
          <w:szCs w:val="24"/>
          <w:lang w:val="en-US" w:eastAsia="zh-CN"/>
        </w:rPr>
        <w:t>（3）环缝点焊完毕即可进行钢管加固，钢管加固要牢固可靠，为确保钢管在混凝土浇筑时不产生变形和位移，在洞壁和管壁之间分八个点位用工字钢支撑（使用I16#工字钢）并固定，固定过程中不得将工字钢焊接在管壁上应焊接在加劲环上。钢管底部每一单元钢管加固两道工字钢（每3m一道），钢管侧面每一单元钢管加固一道工字钢（每6m一道），钢管顶部每两个单元钢管加固一道（每12m一道或根据现场施工情况进行加固）。在钢管对接过程中随时监测钢管的高程、里程及中心变化。</w:t>
      </w:r>
      <w:r>
        <w:rPr>
          <w:rFonts w:ascii="仿宋" w:eastAsia="仿宋" w:hAnsi="仿宋" w:cs="仿宋" w:hint="eastAsia"/>
          <w:sz w:val="24"/>
        </w:rPr>
        <w:br/>
      </w:r>
      <w:r>
        <w:rPr>
          <w:rFonts w:ascii="仿宋" w:eastAsia="仿宋" w:hAnsi="仿宋" w:cs="仿宋"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https://d.book118.com/248065011143006043</w:t>
        </w:r>
      </w:hyperlink>
    </w:p>
    <w:p>
      <w:pPr>
        <w:keepLines w:val="0"/>
        <w:pageBreakBefore w:val="0"/>
        <w:numPr>
          <w:ilvl w:val="0"/>
          <w:numId w:val="0"/>
        </w:numPr>
        <w:kinsoku/>
        <w:overflowPunct/>
        <w:topLinePunct w:val="0"/>
        <w:bidi w:val="0"/>
        <w:spacing w:after="0" w:line="240" w:lineRule="atLeast"/>
        <w:ind w:firstLine="480" w:firstLineChars="200"/>
        <w:textAlignment w:val="auto"/>
        <w:rPr>
          <w:rFonts w:ascii="仿宋" w:eastAsia="仿宋" w:hAnsi="仿宋" w:cs="仿宋" w:hint="eastAsia"/>
          <w:sz w:val="24"/>
        </w:rPr>
      </w:pPr>
    </w:p>
    <w:sectPr>
      <w:footerReference w:type="even" r:id="rId44"/>
      <w:footerReference w:type="default" r:id="rId45"/>
      <w:footerReference w:type="first" r:id="rId46"/>
      <w:type w:val="nextPage"/>
      <w:pgSz w:w="11906" w:h="16838"/>
      <w:pgMar w:top="1985" w:right="1418" w:bottom="1418" w:left="1701" w:header="851" w:footer="992" w:gutter="0"/>
      <w:pgBorders>
        <w:top w:val="none" w:sz="0" w:space="0" w:color="auto"/>
        <w:left w:val="none" w:sz="0" w:space="0" w:color="auto"/>
        <w:bottom w:val="none" w:sz="0" w:space="0" w:color="auto"/>
        <w:right w:val="none" w:sz="0" w:space="0" w:color="auto"/>
      </w:pgBorders>
      <w:pgNumType w:fmt="decimal"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34"/>
    <w:family w:val="auto"/>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9"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CAC702D8"/>
    <w:rsid w:val="DED75D36"/>
    <w:rsid w:val="EBDDC4E1"/>
    <w:rsid w:val="FFEF0B03"/>
    <w:rsid w:val="FFEFC606"/>
    <w:rsid w:val="000C2DC5"/>
    <w:rsid w:val="001873FD"/>
    <w:rsid w:val="002D269B"/>
    <w:rsid w:val="004E61EE"/>
    <w:rsid w:val="005A6D5F"/>
    <w:rsid w:val="00661600"/>
    <w:rsid w:val="007A0913"/>
    <w:rsid w:val="00B05698"/>
    <w:rsid w:val="00B828E9"/>
    <w:rsid w:val="00D57D58"/>
    <w:rsid w:val="00EA3510"/>
    <w:rsid w:val="00EC092E"/>
    <w:rsid w:val="00F12BD8"/>
    <w:rsid w:val="015B62A9"/>
    <w:rsid w:val="01883901"/>
    <w:rsid w:val="0212454D"/>
    <w:rsid w:val="029C6965"/>
    <w:rsid w:val="02E334E5"/>
    <w:rsid w:val="02F30B55"/>
    <w:rsid w:val="034D13E5"/>
    <w:rsid w:val="03634626"/>
    <w:rsid w:val="042518DB"/>
    <w:rsid w:val="08366CF7"/>
    <w:rsid w:val="083F6D79"/>
    <w:rsid w:val="08C31697"/>
    <w:rsid w:val="08F47F8D"/>
    <w:rsid w:val="08F8202B"/>
    <w:rsid w:val="0A09738A"/>
    <w:rsid w:val="0A4D5167"/>
    <w:rsid w:val="0A534E29"/>
    <w:rsid w:val="0AF81E83"/>
    <w:rsid w:val="0B112FDA"/>
    <w:rsid w:val="0BA452A8"/>
    <w:rsid w:val="0C174B76"/>
    <w:rsid w:val="0C9F6E57"/>
    <w:rsid w:val="0CAB6E4C"/>
    <w:rsid w:val="0CCB3468"/>
    <w:rsid w:val="0ECE329B"/>
    <w:rsid w:val="0F740752"/>
    <w:rsid w:val="0FC419ED"/>
    <w:rsid w:val="0FE046FA"/>
    <w:rsid w:val="11AC68A8"/>
    <w:rsid w:val="132043DD"/>
    <w:rsid w:val="13A9D822"/>
    <w:rsid w:val="162E63C7"/>
    <w:rsid w:val="164D5BED"/>
    <w:rsid w:val="16570429"/>
    <w:rsid w:val="171E4694"/>
    <w:rsid w:val="17765A6B"/>
    <w:rsid w:val="186E33F9"/>
    <w:rsid w:val="18B75D60"/>
    <w:rsid w:val="18F769B0"/>
    <w:rsid w:val="19E74BAE"/>
    <w:rsid w:val="19EB76AA"/>
    <w:rsid w:val="1A192812"/>
    <w:rsid w:val="1ACD3678"/>
    <w:rsid w:val="1BF5759F"/>
    <w:rsid w:val="1EDD63A4"/>
    <w:rsid w:val="1F114B0A"/>
    <w:rsid w:val="1F634D2F"/>
    <w:rsid w:val="1F8F3577"/>
    <w:rsid w:val="1FA15286"/>
    <w:rsid w:val="1FF0679A"/>
    <w:rsid w:val="20172590"/>
    <w:rsid w:val="21E14C3C"/>
    <w:rsid w:val="221B4BFC"/>
    <w:rsid w:val="22CF7901"/>
    <w:rsid w:val="22EE2C74"/>
    <w:rsid w:val="233C227A"/>
    <w:rsid w:val="23567486"/>
    <w:rsid w:val="25144194"/>
    <w:rsid w:val="27075144"/>
    <w:rsid w:val="275D2FB6"/>
    <w:rsid w:val="27E9484A"/>
    <w:rsid w:val="281C0A3F"/>
    <w:rsid w:val="28404045"/>
    <w:rsid w:val="2911365C"/>
    <w:rsid w:val="2B067511"/>
    <w:rsid w:val="2B230073"/>
    <w:rsid w:val="2C81139E"/>
    <w:rsid w:val="2CC104B3"/>
    <w:rsid w:val="2D572346"/>
    <w:rsid w:val="2DF1372E"/>
    <w:rsid w:val="2F6A76E2"/>
    <w:rsid w:val="2F710B1E"/>
    <w:rsid w:val="2FA33F67"/>
    <w:rsid w:val="2FAC6794"/>
    <w:rsid w:val="30FC42C1"/>
    <w:rsid w:val="318818EE"/>
    <w:rsid w:val="330538E2"/>
    <w:rsid w:val="35F25212"/>
    <w:rsid w:val="364C141B"/>
    <w:rsid w:val="36555879"/>
    <w:rsid w:val="368A2D9C"/>
    <w:rsid w:val="36EA17F5"/>
    <w:rsid w:val="37FC402D"/>
    <w:rsid w:val="39802131"/>
    <w:rsid w:val="3A9656E4"/>
    <w:rsid w:val="3ADF7B01"/>
    <w:rsid w:val="3BC74A4B"/>
    <w:rsid w:val="3D340002"/>
    <w:rsid w:val="3F9143EB"/>
    <w:rsid w:val="3FF1116B"/>
    <w:rsid w:val="41E67AC2"/>
    <w:rsid w:val="423157A6"/>
    <w:rsid w:val="43543ADC"/>
    <w:rsid w:val="44CA7995"/>
    <w:rsid w:val="456A174C"/>
    <w:rsid w:val="45F2392B"/>
    <w:rsid w:val="465A117B"/>
    <w:rsid w:val="465A6F43"/>
    <w:rsid w:val="475C0A15"/>
    <w:rsid w:val="47FD2D6A"/>
    <w:rsid w:val="48227D5C"/>
    <w:rsid w:val="48D846AE"/>
    <w:rsid w:val="4A0128D9"/>
    <w:rsid w:val="4A6E5461"/>
    <w:rsid w:val="4B9468AA"/>
    <w:rsid w:val="4BA43B23"/>
    <w:rsid w:val="4D034087"/>
    <w:rsid w:val="4D817591"/>
    <w:rsid w:val="4D9554C7"/>
    <w:rsid w:val="4DA95242"/>
    <w:rsid w:val="4E570934"/>
    <w:rsid w:val="4E680546"/>
    <w:rsid w:val="4EAB2279"/>
    <w:rsid w:val="4FD37AF9"/>
    <w:rsid w:val="4FDB5637"/>
    <w:rsid w:val="50117574"/>
    <w:rsid w:val="50EC4AB2"/>
    <w:rsid w:val="53611077"/>
    <w:rsid w:val="53A11C64"/>
    <w:rsid w:val="53AB6CD4"/>
    <w:rsid w:val="544B13C7"/>
    <w:rsid w:val="54B22545"/>
    <w:rsid w:val="56F20DBB"/>
    <w:rsid w:val="570C2F00"/>
    <w:rsid w:val="587C1811"/>
    <w:rsid w:val="5B7E2F4A"/>
    <w:rsid w:val="5B992A76"/>
    <w:rsid w:val="5E023ABA"/>
    <w:rsid w:val="5E693A13"/>
    <w:rsid w:val="5F724B4A"/>
    <w:rsid w:val="60FF77C8"/>
    <w:rsid w:val="61800971"/>
    <w:rsid w:val="61A134C4"/>
    <w:rsid w:val="61E664C3"/>
    <w:rsid w:val="62021420"/>
    <w:rsid w:val="6329758E"/>
    <w:rsid w:val="63573FA1"/>
    <w:rsid w:val="650977F4"/>
    <w:rsid w:val="65D36341"/>
    <w:rsid w:val="66076DFD"/>
    <w:rsid w:val="67F865C0"/>
    <w:rsid w:val="687F3E33"/>
    <w:rsid w:val="6C88775B"/>
    <w:rsid w:val="6CF467DD"/>
    <w:rsid w:val="6D156934"/>
    <w:rsid w:val="6D690CB4"/>
    <w:rsid w:val="6DE02FDB"/>
    <w:rsid w:val="6DE6283E"/>
    <w:rsid w:val="6FCA6467"/>
    <w:rsid w:val="71B608C6"/>
    <w:rsid w:val="740C3ED0"/>
    <w:rsid w:val="74805773"/>
    <w:rsid w:val="75A01ECF"/>
    <w:rsid w:val="75E403DD"/>
    <w:rsid w:val="762F1321"/>
    <w:rsid w:val="763A4B00"/>
    <w:rsid w:val="777823F6"/>
    <w:rsid w:val="77843521"/>
    <w:rsid w:val="77FF4733"/>
    <w:rsid w:val="78E772F0"/>
    <w:rsid w:val="79B37DE1"/>
    <w:rsid w:val="7AB93609"/>
    <w:rsid w:val="7C1015AA"/>
    <w:rsid w:val="7C8030EC"/>
    <w:rsid w:val="7CE47FDB"/>
    <w:rsid w:val="7D9D3A60"/>
    <w:rsid w:val="7DD6070F"/>
    <w:rsid w:val="7E4D4F7E"/>
    <w:rsid w:val="7E8A2134"/>
    <w:rsid w:val="7EC62364"/>
    <w:rsid w:val="7FB72CB7"/>
  </w:rsids>
  <w:docVars>
    <w:docVar w:name="commondata" w:val="eyJoZGlkIjoiMzM1OTAyYTYwZmE5MTczMWZkOWY1NzgxMjA1YWE0ZTM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lsdException w:name="footer" w:semiHidden="0" w:uiPriority="0" w:unhideWhenUsed="0"/>
    <w:lsdException w:name="index heading"/>
    <w:lsdException w:name="caption" w:uiPriority="35" w:qFormat="1"/>
    <w:lsdException w:name="table of figures" w:semiHidden="0" w:uiPriority="0" w:unhideWhenUsed="0" w:qFormat="1"/>
    <w:lsdException w:name="envelope address"/>
    <w:lsdException w:name="envelope return"/>
    <w:lsdException w:name="footnote reference"/>
    <w:lsdException w:name="annotation reference"/>
    <w:lsdException w:name="line number"/>
    <w:lsdException w:name="page number" w:semiHidden="0" w:uiPriority="0" w:unhideWhenUsed="0"/>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0" w:unhideWhenUsed="0"/>
    <w:lsdException w:name="Body Text" w:semiHidden="0" w:uiPriority="1" w:unhideWhenUsed="0" w:qFormat="1"/>
    <w:lsdException w:name="Body Text Indent" w:semiHidden="0" w:uiPriority="0" w:unhideWhenUsed="0"/>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semiHidden="0" w:uiPriority="0" w:unhideWhenUsed="0"/>
    <w:lsdException w:name="Plain Text"/>
    <w:lsdException w:name="E-mail Signature"/>
    <w:lsdException w:name="Normal (Web)" w:semiHidden="0" w:uiPriority="0" w:unhideWhenUsed="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lsdException w:name="Table Grid" w:semiHidden="0" w:uiPriority="0"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link w:val="Style2"/>
  </w:style>
  <w:style w:type="table" w:default="1" w:styleId="TableNormal">
    <w:name w:val="Normal Table"/>
    <w:uiPriority w:val="99"/>
    <w:unhideWhenUsed/>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paragraph" w:styleId="DocumentMap">
    <w:name w:val="Document Map"/>
    <w:basedOn w:val="Normal"/>
    <w:pPr>
      <w:shd w:val="clear" w:color="auto" w:fill="000080"/>
    </w:pPr>
  </w:style>
  <w:style w:type="paragraph" w:styleId="BodyTextIndent">
    <w:name w:val="Body Text Indent"/>
    <w:basedOn w:val="Normal"/>
    <w:pPr>
      <w:spacing w:after="120" w:afterLines="0"/>
      <w:ind w:left="420" w:leftChars="200"/>
    </w:pPr>
  </w:style>
  <w:style w:type="paragraph" w:styleId="Date">
    <w:name w:val="Date"/>
    <w:basedOn w:val="Normal"/>
    <w:next w:val="Normal"/>
    <w:qFormat/>
    <w:pPr>
      <w:ind w:left="100" w:leftChars="2500"/>
    </w:pPr>
  </w:style>
  <w:style w:type="paragraph" w:styleId="BalloonText">
    <w:name w:val="Balloon Text"/>
    <w:basedOn w:val="Normal"/>
    <w:rPr>
      <w:sz w:val="18"/>
      <w:szCs w:val="18"/>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styleId="TableofFigures">
    <w:name w:val="table of figures"/>
    <w:basedOn w:val="Normal"/>
    <w:next w:val="Normal"/>
    <w:autoRedefine/>
    <w:qFormat/>
    <w:pPr>
      <w:ind w:left="200" w:hanging="200" w:leftChars="200" w:hangingChars="200"/>
    </w:pPr>
  </w:style>
  <w:style w:type="paragraph" w:styleId="NormalWeb">
    <w:name w:val="Normal (Web)"/>
    <w:basedOn w:val="Normal"/>
    <w:pPr>
      <w:widowControl/>
      <w:spacing w:before="100" w:beforeLines="0" w:beforeAutospacing="1" w:after="100" w:afterLines="0" w:afterAutospacing="1"/>
      <w:jc w:val="left"/>
    </w:pPr>
    <w:rPr>
      <w:rFonts w:ascii="宋体" w:hAnsi="宋体" w:cs="宋体"/>
      <w:kern w:val="0"/>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_Style 2"/>
    <w:basedOn w:val="Normal"/>
    <w:link w:val="DefaultParagraphFont"/>
    <w:autoRedefine/>
    <w:qFormat/>
    <w:pPr>
      <w:widowControl/>
      <w:spacing w:before="80"/>
    </w:pPr>
    <w:rPr>
      <w:szCs w:val="20"/>
    </w:rPr>
  </w:style>
  <w:style w:type="character" w:styleId="PageNumber">
    <w:name w:val="page number"/>
    <w:basedOn w:val="DefaultParagraphFont"/>
  </w:style>
  <w:style w:type="character" w:styleId="Hyperlink">
    <w:name w:val="Hyperlink"/>
    <w:basedOn w:val="DefaultParagraphFont"/>
    <w:qFormat/>
    <w:rPr>
      <w:color w:val="0000FF"/>
      <w:u w:val="single"/>
    </w:rPr>
  </w:style>
  <w:style w:type="paragraph" w:customStyle="1" w:styleId="a">
    <w:name w:val="四级标题"/>
    <w:basedOn w:val="Date"/>
    <w:qFormat/>
    <w:pPr>
      <w:widowControl w:val="0"/>
      <w:ind w:left="100" w:leftChars="2500"/>
      <w:jc w:val="both"/>
    </w:pPr>
    <w:rPr>
      <w:rFonts w:ascii="Calibri" w:eastAsia="黑体" w:hAnsi="Calibri" w:cs="Times New Roman"/>
      <w:kern w:val="2"/>
      <w:sz w:val="21"/>
      <w:szCs w:val="24"/>
      <w:lang w:val="en-US" w:eastAsia="zh-CN" w:bidi="ar-SA"/>
    </w:rPr>
  </w:style>
  <w:style w:type="paragraph" w:customStyle="1" w:styleId="ParaCharCharCharCharCharCharChar">
    <w:name w:val="默认段落字体 Para Char Char Char Char Char Char Char"/>
    <w:basedOn w:val="DocumentMap"/>
    <w:pPr>
      <w:adjustRightInd w:val="0"/>
      <w:spacing w:line="436" w:lineRule="exact"/>
      <w:ind w:left="357"/>
      <w:jc w:val="left"/>
      <w:outlineLvl w:val="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image" Target="media/image3.png"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image" Target="media/image5.png" /><Relationship Id="rId25" Type="http://schemas.openxmlformats.org/officeDocument/2006/relationships/image" Target="media/image6.png"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image" Target="media/image7.png" /><Relationship Id="rId3" Type="http://schemas.openxmlformats.org/officeDocument/2006/relationships/fontTable" Target="fontTable.xml" /><Relationship Id="rId30" Type="http://schemas.openxmlformats.org/officeDocument/2006/relationships/image" Target="media/image8.png"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footer" Target="footer21.xml" /><Relationship Id="rId34" Type="http://schemas.openxmlformats.org/officeDocument/2006/relationships/image" Target="media/image9.png" /><Relationship Id="rId35" Type="http://schemas.openxmlformats.org/officeDocument/2006/relationships/footer" Target="footer22.xml" /><Relationship Id="rId36" Type="http://schemas.openxmlformats.org/officeDocument/2006/relationships/footer" Target="footer23.xml" /><Relationship Id="rId37" Type="http://schemas.openxmlformats.org/officeDocument/2006/relationships/footer" Target="footer24.xml" /><Relationship Id="rId38" Type="http://schemas.openxmlformats.org/officeDocument/2006/relationships/image" Target="media/image10.png" /><Relationship Id="rId39" Type="http://schemas.openxmlformats.org/officeDocument/2006/relationships/footer" Target="footer25.xml" /><Relationship Id="rId4" Type="http://schemas.openxmlformats.org/officeDocument/2006/relationships/footer" Target="footer1.xml" /><Relationship Id="rId40" Type="http://schemas.openxmlformats.org/officeDocument/2006/relationships/footer" Target="footer26.xml" /><Relationship Id="rId41" Type="http://schemas.openxmlformats.org/officeDocument/2006/relationships/footer" Target="footer27.xml" /><Relationship Id="rId42" Type="http://schemas.openxmlformats.org/officeDocument/2006/relationships/image" Target="media/image11.png" /><Relationship Id="rId43" Type="http://schemas.openxmlformats.org/officeDocument/2006/relationships/hyperlink" Target="https://d.book118.com/248065011143006043" TargetMode="External" /><Relationship Id="rId44" Type="http://schemas.openxmlformats.org/officeDocument/2006/relationships/footer" Target="footer28.xml" /><Relationship Id="rId45" Type="http://schemas.openxmlformats.org/officeDocument/2006/relationships/footer" Target="footer29.xml" /><Relationship Id="rId46" Type="http://schemas.openxmlformats.org/officeDocument/2006/relationships/footer" Target="footer30.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emf" /><Relationship Id="rId8" Type="http://schemas.openxmlformats.org/officeDocument/2006/relationships/oleObject" Target="embeddings/oleObject1.bin" /><Relationship Id="rId9" Type="http://schemas.openxmlformats.org/officeDocument/2006/relationships/footer" Target="footer4.xml" /></Relationships>
</file>

<file path=word/_rels/settings.xml.rels><?xml version="1.0" encoding="utf-8" standalone="yes"?><Relationships xmlns="http://schemas.openxmlformats.org/package/2006/relationships"><Relationship Id="rId1" Type="http://schemas.openxmlformats.org/officeDocument/2006/relationships/attachedTemplate" Target="file:///C:\WINDOWS\system32\Normal.wpt"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4716</Words>
  <Characters>5033</Characters>
  <Application>Microsoft Office Word</Application>
  <DocSecurity>0</DocSecurity>
  <Lines>25</Lines>
  <Paragraphs>7</Paragraphs>
  <ScaleCrop>false</ScaleCrop>
  <Company/>
  <LinksUpToDate>false</LinksUpToDate>
  <CharactersWithSpaces>5088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关于开展2013年度省级工法申报工作的通知</dc:title>
  <dc:creator>sjf</dc:creator>
  <cp:lastModifiedBy>FishflyHeirin</cp:lastModifiedBy>
  <cp:revision>4</cp:revision>
  <cp:lastPrinted>2022-04-06T11:38:00Z</cp:lastPrinted>
  <dcterms:created xsi:type="dcterms:W3CDTF">2018-03-16T09:44:00Z</dcterms:created>
  <dcterms:modified xsi:type="dcterms:W3CDTF">2024-03-09T03:19:13Z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04F71D7016BB483DB0C2E1BAF87E540C_13</vt:lpwstr>
  </property>
  <property fmtid="{D5CDD505-2E9C-101B-9397-08002B2CF9AE}" pid="3" name="KSOProductBuildVer">
    <vt:lpwstr>2052-12.1.0.16388</vt:lpwstr>
  </property>
  <property fmtid="{D5CDD505-2E9C-101B-9397-08002B2CF9AE}" pid="4" name="KSOSaveFontToCloudKey">
    <vt:lpwstr>249463601_cloud</vt:lpwstr>
  </property>
</Properties>
</file>