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11"/>
        <w:ind w:left="0"/>
        <w:rPr>
          <w:rFonts w:ascii="Times New Roman"/>
          <w:sz w:val="23"/>
        </w:rPr>
      </w:pPr>
    </w:p>
    <w:p>
      <w:pPr>
        <w:pStyle w:val="Heading1"/>
        <w:spacing w:before="6"/>
        <w:ind w:right="1066"/>
      </w:pPr>
      <w:r>
        <w:rPr>
          <w:w w:val="95"/>
        </w:rPr>
        <w:t>白塔初级中学资料室工作人员职责</w:t>
      </w:r>
    </w:p>
    <w:p>
      <w:pPr>
        <w:pStyle w:val="BodyText"/>
        <w:spacing w:before="452"/>
      </w:pPr>
      <w:r>
        <w:t>1、负责本院图书资料借阅、治理及保护工作。</w:t>
      </w:r>
    </w:p>
    <w:p>
      <w:pPr>
        <w:pStyle w:val="BodyText"/>
        <w:ind w:left="0"/>
        <w:rPr>
          <w:sz w:val="31"/>
        </w:rPr>
      </w:pPr>
    </w:p>
    <w:p>
      <w:pPr>
        <w:pStyle w:val="BodyText"/>
      </w:pPr>
      <w:r>
        <w:t>2、负责订购全院的图书资料。</w:t>
      </w:r>
    </w:p>
    <w:p>
      <w:pPr>
        <w:pStyle w:val="BodyText"/>
        <w:spacing w:before="1"/>
        <w:ind w:left="0"/>
        <w:rPr>
          <w:sz w:val="31"/>
        </w:rPr>
      </w:pPr>
    </w:p>
    <w:p>
      <w:pPr>
        <w:pStyle w:val="BodyText"/>
        <w:spacing w:line="417" w:lineRule="auto"/>
        <w:ind w:right="529"/>
      </w:pPr>
      <w:r>
        <w:t>3、负责图书资料的分类、编目、登帐、上架、剔旧、注销统计工作和建帐工作。</w:t>
      </w:r>
    </w:p>
    <w:p>
      <w:pPr>
        <w:pStyle w:val="BodyText"/>
      </w:pPr>
      <w:r>
        <w:t>4、负责图书资料借阅中的询问工作。</w:t>
      </w:r>
    </w:p>
    <w:p>
      <w:pPr>
        <w:pStyle w:val="BodyText"/>
        <w:spacing w:before="1"/>
        <w:ind w:left="0"/>
        <w:rPr>
          <w:sz w:val="31"/>
        </w:rPr>
      </w:pPr>
    </w:p>
    <w:p>
      <w:pPr>
        <w:pStyle w:val="BodyText"/>
      </w:pPr>
      <w:r>
        <w:t>5、开展图书资料的宣传工作。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"/>
      </w:pPr>
      <w:r>
        <w:t>6、负责与校内外有关单位进展图书资料杂志的交换与赠送工作。</w:t>
      </w:r>
    </w:p>
    <w:p>
      <w:pPr>
        <w:pStyle w:val="BodyText"/>
        <w:ind w:left="0"/>
        <w:rPr>
          <w:sz w:val="31"/>
        </w:rPr>
      </w:pPr>
    </w:p>
    <w:p>
      <w:pPr>
        <w:pStyle w:val="BodyText"/>
      </w:pPr>
      <w:r>
        <w:t>7、负责进展图书资料的现代化借阅治理和分析推测工作。</w:t>
      </w:r>
    </w:p>
    <w:p>
      <w:pPr>
        <w:pStyle w:val="BodyText"/>
        <w:spacing w:before="1"/>
        <w:ind w:left="0"/>
        <w:rPr>
          <w:sz w:val="31"/>
        </w:rPr>
      </w:pPr>
    </w:p>
    <w:p>
      <w:pPr>
        <w:pStyle w:val="BodyText"/>
      </w:pPr>
      <w:r>
        <w:t>8、完成院领导交办的其他工作。</w: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33"/>
        </w:rPr>
      </w:pPr>
    </w:p>
    <w:p>
      <w:pPr>
        <w:pStyle w:val="Heading1"/>
        <w:ind w:right="1059"/>
      </w:pPr>
      <w:r>
        <w:rPr>
          <w:w w:val="95"/>
        </w:rPr>
        <w:t>白塔初级中学试验室治理规章</w:t>
      </w:r>
    </w:p>
    <w:p>
      <w:pPr>
        <w:pStyle w:val="BodyText"/>
        <w:spacing w:before="452" w:line="417" w:lineRule="auto"/>
        <w:ind w:right="320" w:firstLine="842"/>
        <w:jc w:val="both"/>
      </w:pPr>
      <w:r>
        <w:t>一、试验室〔含仪器室、预备空〕是学校进展教育教学的重要场所，要充分发挥其在试验教学、课外科技活动、试验教学争论与培训诸方面的作用，在完成试验教学任务的同时，应发挥其多功能作用，</w:t>
      </w:r>
      <w:r>
        <w:rPr>
          <w:spacing w:val="-208"/>
        </w:rPr>
        <w:t xml:space="preserve"> </w:t>
      </w:r>
      <w:r>
        <w:t>为当地经济建设效劳。</w:t>
      </w:r>
    </w:p>
    <w:p>
      <w:pPr>
        <w:pStyle w:val="BodyText"/>
        <w:spacing w:line="417" w:lineRule="auto"/>
        <w:ind w:right="273" w:firstLine="842"/>
      </w:pPr>
      <w:r>
        <w:t>二、教学仪器、药品要依据国家统一的配备名目编号〔或教材章节</w:t>
      </w:r>
      <w:r>
        <w:rPr>
          <w:spacing w:val="-58"/>
        </w:rPr>
        <w:t>〕</w:t>
      </w:r>
      <w:r>
        <w:rPr>
          <w:spacing w:val="-19"/>
        </w:rPr>
        <w:t>分科、分类、分室，科学、合理地存放。要张贴明显的分类标签、</w:t>
      </w:r>
      <w:r>
        <w:t>橱目标签，注明编号、名称和数量，每件仪器〔每瓶药品〕也应标明编号和名称〔微型仪器和玻璃器皿除外</w:t>
      </w:r>
      <w:r>
        <w:rPr>
          <w:spacing w:val="-186"/>
        </w:rPr>
        <w:t>〕</w:t>
      </w:r>
      <w:r>
        <w:t>。贵重仪器、危急药品〔易燃品、易爆品、氧化剂、腐蚀品和毒害品〕应设专库〔柜〕存放。形</w:t>
      </w:r>
    </w:p>
    <w:p>
      <w:pPr>
        <w:spacing w:after="0" w:line="417" w:lineRule="auto"/>
        <w:sectPr>
          <w:headerReference w:type="default" r:id="rId4"/>
          <w:footerReference w:type="default" r:id="rId5"/>
          <w:type w:val="continuous"/>
          <w:pgSz w:w="17860" w:h="25260"/>
          <w:pgMar w:top="1600" w:right="2200" w:bottom="2040" w:left="2540" w:header="1053" w:footer="1848"/>
          <w:pgNumType w:start="1"/>
          <w:cols w:space="708"/>
        </w:sectPr>
      </w:pP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before="42" w:line="417" w:lineRule="auto"/>
        <w:ind w:right="487"/>
      </w:pPr>
      <w:r>
        <w:rPr>
          <w:spacing w:val="-13"/>
        </w:rPr>
        <w:t>体特别的仪器、标本应存放在专用橱内或支架上。自制教具也应像教</w:t>
      </w:r>
      <w:r>
        <w:t>学仪器一样科学存放，妥当保管。</w:t>
      </w:r>
    </w:p>
    <w:p>
      <w:pPr>
        <w:pStyle w:val="BodyText"/>
        <w:spacing w:line="417" w:lineRule="auto"/>
        <w:ind w:right="320" w:firstLine="842"/>
        <w:jc w:val="both"/>
      </w:pPr>
      <w:r>
        <w:t>三、各学科要依据仪器、药品的特点，做好防尘、防腐、防潮、防晒、防震、防压、防磁、防冻等养护工作。保持清洁卫生，做到室内及仪器外表无尘土，到达干净、整齐、美观。</w:t>
      </w:r>
    </w:p>
    <w:p>
      <w:pPr>
        <w:pStyle w:val="BodyText"/>
        <w:spacing w:line="417" w:lineRule="auto"/>
        <w:ind w:right="322" w:firstLine="842"/>
      </w:pPr>
      <w:r>
        <w:t>四、试验室应有防火、防盗设施，并定期检查设备是否完好、有效。室内无人时，要切断火源、电源，并关好门窗。</w:t>
      </w:r>
    </w:p>
    <w:p>
      <w:pPr>
        <w:pStyle w:val="BodyText"/>
        <w:spacing w:line="417" w:lineRule="auto"/>
        <w:ind w:right="279" w:firstLine="842"/>
        <w:jc w:val="both"/>
      </w:pPr>
      <w:r>
        <w:rPr>
          <w:spacing w:val="-22"/>
        </w:rPr>
        <w:t>五、要建立、健全科学的教学仪器、药品帐目，设仪器设备总帐、</w:t>
      </w:r>
      <w:r>
        <w:t>分类帐、明细帐、低值、易耗品明细帐和自制教具帐。严格帐目治理制度，做到帐目清楚、完整，帐帐相符，帐物相符。调拨和购进的教学仪器、药品，要准时清点、验收、入帐、上橱。对不合格产品，</w:t>
      </w:r>
      <w:r>
        <w:rPr>
          <w:spacing w:val="-208"/>
        </w:rPr>
        <w:t xml:space="preserve"> </w:t>
      </w:r>
      <w:r>
        <w:t>要准时与有关单位联系调换或退货，严把产品质量关。</w:t>
      </w:r>
    </w:p>
    <w:p>
      <w:pPr>
        <w:pStyle w:val="BodyText"/>
        <w:spacing w:line="417" w:lineRule="auto"/>
        <w:ind w:right="320" w:firstLine="842"/>
      </w:pPr>
      <w:r>
        <w:rPr>
          <w:spacing w:val="-14"/>
        </w:rPr>
        <w:t>六、装备符合标准的工作台和修理工具，加强对仪器的定期保养</w:t>
      </w:r>
      <w:r>
        <w:t>与维护工作，对损坏的教学仪器，应尽快修理，保证仪器的完好率在</w:t>
      </w:r>
    </w:p>
    <w:p>
      <w:pPr>
        <w:pStyle w:val="BodyText"/>
        <w:spacing w:line="417" w:lineRule="auto"/>
        <w:ind w:right="320"/>
      </w:pPr>
      <w:r>
        <w:t>95 ％以上。应设立仪器修理与保养记录册，每次修理与保养都要记录在案。对丧失、损坏的教学仪器要准时登记，按有关规定处理。对短缺的仪器设备和消耗品要准时补充，保证明验教学的需要。</w:t>
      </w:r>
    </w:p>
    <w:p>
      <w:pPr>
        <w:pStyle w:val="BodyText"/>
        <w:spacing w:line="417" w:lineRule="auto"/>
        <w:ind w:right="275" w:firstLine="842"/>
        <w:jc w:val="both"/>
      </w:pPr>
      <w:r>
        <w:rPr>
          <w:spacing w:val="-33"/>
        </w:rPr>
        <w:t>七、危急品库</w:t>
      </w:r>
      <w:r>
        <w:t>〔柜</w:t>
      </w:r>
      <w:r>
        <w:rPr>
          <w:spacing w:val="-91"/>
        </w:rPr>
        <w:t>〕</w:t>
      </w:r>
      <w:r>
        <w:rPr>
          <w:spacing w:val="-11"/>
        </w:rPr>
        <w:t>要有专人负责，严格执行双人双锁治理制度。</w:t>
      </w:r>
      <w:r>
        <w:t>危急品的取用要经主管主任批准、定量取用，登记在册。对储存的危急品，要定期检查，要求包装完好，标签齐备，标志明显。对于废包装和试验中产生的废液、废渣等有毒物质，不得乱扔，要妥当处理，</w:t>
      </w:r>
      <w:r>
        <w:rPr>
          <w:spacing w:val="-208"/>
        </w:rPr>
        <w:t xml:space="preserve"> </w:t>
      </w:r>
      <w:r>
        <w:t>以防发生危急。</w:t>
      </w:r>
    </w:p>
    <w:p>
      <w:pPr>
        <w:spacing w:after="0" w:line="417" w:lineRule="auto"/>
        <w:jc w:val="both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https://d.book118.com/248123121134006023</w:t>
        </w:r>
      </w:hyperlink>
    </w:p>
    <w:p>
      <w:pPr>
        <w:spacing w:after="0" w:line="417" w:lineRule="auto"/>
        <w:jc w:val="both"/>
      </w:pPr>
    </w:p>
    <w:sectPr>
      <w:headerReference w:type="default" r:id="rId7"/>
      <w:footerReference w:type="default" r:id="rId8"/>
      <w:pgSz w:w="17860" w:h="25260"/>
      <w:pgMar w:top="1600" w:right="2200" w:bottom="2040" w:left="2540" w:header="1053" w:footer="1848"/>
      <w:pgNumType w:start="2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 Narrow">
    <w:altName w:val="Arial Narrow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19.7pt;height:15.5pt;margin-top:1159.5pt;margin-left:436.8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30" w:line="280" w:lineRule="exact"/>
                  <w:ind w:left="60" w:right="0" w:firstLine="0"/>
                  <w:jc w:val="left"/>
                  <w:rPr>
                    <w:rFonts w:ascii="Arial Narrow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w w:val="110"/>
                    <w:sz w:val="27"/>
                  </w:rPr>
                  <w:instrText xml:space="preserve"> 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19.7pt;height:15.5pt;margin-top:1159.5pt;margin-left:436.8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30" w:line="280" w:lineRule="exact"/>
                  <w:ind w:left="60" w:right="0" w:firstLine="0"/>
                  <w:jc w:val="left"/>
                  <w:rPr>
                    <w:rFonts w:ascii="Arial Narrow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w w:val="110"/>
                    <w:sz w:val="27"/>
                  </w:rPr>
                  <w:instrText xml:space="preserve"> 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line id="_x0000_s2049" style="mso-position-horizontal-relative:page;mso-position-vertical-relative:page;position:absolute;z-index:-251658240" from="132pt,67pt" to="762pt,67pt" stroked="t" strokecolor="black" strokeweight="2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99.95pt;height:17.1pt;margin-top:51.63pt;margin-left:350.26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3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Arial Narrow" w:eastAsia="Arial Narrow"/>
                    <w:sz w:val="27"/>
                  </w:rPr>
                  <w:t>2023</w:t>
                </w:r>
                <w:r>
                  <w:rPr>
                    <w:rFonts w:ascii="Arial Narrow" w:eastAsia="Arial Narrow"/>
                    <w:spacing w:val="42"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年学校制度</w:t>
                </w:r>
              </w:p>
            </w:txbxContent>
          </v:textbox>
        </v:shape>
      </w:pict>
    </w:r>
    <w:r>
      <w:pict>
        <v:shape id="_x0000_s2051" type="#_x0000_t202" style="width:96.5pt;height:15.5pt;margin-top:53.2pt;margin-left:134.0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z w:val="27"/>
                  </w:rPr>
                  <w:t>连云港市东海县</w:t>
                </w:r>
              </w:p>
            </w:txbxContent>
          </v:textbox>
        </v:shape>
      </w:pict>
    </w:r>
    <w:r>
      <w:pict>
        <v:shape id="_x0000_s2052" type="#_x0000_t202" style="width:83pt;height:15.5pt;margin-top:53.2pt;margin-left:242.26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z w:val="27"/>
                  </w:rPr>
                  <w:t>白塔初级中学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line id="_x0000_s2054" style="mso-position-horizontal-relative:page;mso-position-vertical-relative:page;position:absolute;z-index:-251654144" from="132pt,67pt" to="762pt,67pt" stroked="t" strokecolor="black" strokeweight="2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99.95pt;height:17.1pt;margin-top:51.63pt;margin-left:350.26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3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Arial Narrow" w:eastAsia="Arial Narrow"/>
                    <w:sz w:val="27"/>
                  </w:rPr>
                  <w:t>2023</w:t>
                </w:r>
                <w:r>
                  <w:rPr>
                    <w:rFonts w:ascii="Arial Narrow" w:eastAsia="Arial Narrow"/>
                    <w:spacing w:val="42"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年学校制度</w:t>
                </w:r>
              </w:p>
            </w:txbxContent>
          </v:textbox>
        </v:shape>
      </w:pict>
    </w:r>
    <w:r>
      <w:pict>
        <v:shape id="_x0000_s2056" type="#_x0000_t202" style="width:96.5pt;height:15.5pt;margin-top:53.2pt;margin-left:134.0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z w:val="27"/>
                  </w:rPr>
                  <w:t>连云港市东海县</w:t>
                </w:r>
              </w:p>
            </w:txbxContent>
          </v:textbox>
        </v:shape>
      </w:pict>
    </w:r>
    <w:r>
      <w:pict>
        <v:shape id="_x0000_s2057" type="#_x0000_t202" style="width:83pt;height:15.5pt;margin-top:53.2pt;margin-left:242.26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z w:val="27"/>
                  </w:rPr>
                  <w:t>白塔初级中学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0539E"/>
    <w:multiLevelType w:val="hybridMultilevel"/>
    <w:tmpl w:val="00000000"/>
    <w:lvl w:ilvl="0">
      <w:start w:val="1"/>
      <w:numFmt w:val="decimal"/>
      <w:lvlText w:val="（%1）"/>
      <w:lvlJc w:val="left"/>
      <w:pPr>
        <w:ind w:left="160" w:hanging="1060"/>
        <w:jc w:val="left"/>
      </w:pPr>
      <w:rPr>
        <w:rFonts w:ascii="宋体" w:eastAsia="宋体" w:hAnsi="宋体" w:cs="宋体" w:hint="default"/>
        <w:spacing w:val="-1"/>
        <w:w w:val="100"/>
        <w:sz w:val="40"/>
        <w:szCs w:val="40"/>
      </w:rPr>
    </w:lvl>
    <w:lvl w:ilvl="1">
      <w:start w:val="2"/>
      <w:numFmt w:val="decimal"/>
      <w:lvlText w:val="（%2）"/>
      <w:lvlJc w:val="left"/>
      <w:pPr>
        <w:ind w:left="160" w:hanging="1056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2">
      <w:start w:val="0"/>
      <w:numFmt w:val="bullet"/>
      <w:lvlText w:val="•"/>
      <w:lvlJc w:val="left"/>
      <w:pPr>
        <w:ind w:left="2751" w:hanging="10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43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39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35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31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1056"/>
      </w:pPr>
      <w:rPr>
        <w:rFonts w:hint="default"/>
      </w:rPr>
    </w:lvl>
  </w:abstractNum>
  <w:abstractNum w:abstractNumId="1">
    <w:nsid w:val="525DC08C"/>
    <w:multiLevelType w:val="hybridMultilevel"/>
    <w:tmpl w:val="00000000"/>
    <w:lvl w:ilvl="0">
      <w:start w:val="1"/>
      <w:numFmt w:val="decimal"/>
      <w:lvlText w:val="%1."/>
      <w:lvlJc w:val="left"/>
      <w:pPr>
        <w:ind w:left="160" w:hanging="843"/>
        <w:jc w:val="left"/>
      </w:pPr>
      <w:rPr>
        <w:rFonts w:ascii="宋体" w:eastAsia="宋体" w:hAnsi="宋体" w:cs="宋体" w:hint="default"/>
        <w:spacing w:val="0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1455" w:hanging="8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1" w:hanging="8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8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43" w:hanging="8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39" w:hanging="8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35" w:hanging="8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31" w:hanging="8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843"/>
      </w:pPr>
      <w:rPr>
        <w:rFonts w:hint="default"/>
      </w:rPr>
    </w:lvl>
  </w:abstractNum>
  <w:abstractNum w:abstractNumId="2">
    <w:nsid w:val="64F49A7C"/>
    <w:multiLevelType w:val="hybridMultilevel"/>
    <w:tmpl w:val="00000000"/>
    <w:lvl w:ilvl="0">
      <w:start w:val="18"/>
      <w:numFmt w:val="decimal"/>
      <w:lvlText w:val="%1."/>
      <w:lvlJc w:val="left"/>
      <w:pPr>
        <w:ind w:left="1004" w:hanging="844"/>
        <w:jc w:val="left"/>
      </w:pPr>
      <w:rPr>
        <w:rFonts w:ascii="宋体" w:eastAsia="宋体" w:hAnsi="宋体" w:cs="宋体" w:hint="default"/>
        <w:spacing w:val="-1"/>
        <w:w w:val="100"/>
        <w:sz w:val="40"/>
        <w:szCs w:val="40"/>
      </w:rPr>
    </w:lvl>
    <w:lvl w:ilvl="1">
      <w:start w:val="1"/>
      <w:numFmt w:val="decimal"/>
      <w:lvlText w:val="%2."/>
      <w:lvlJc w:val="left"/>
      <w:pPr>
        <w:ind w:left="1634" w:hanging="631"/>
        <w:jc w:val="left"/>
      </w:pPr>
      <w:rPr>
        <w:rFonts w:ascii="宋体" w:eastAsia="宋体" w:hAnsi="宋体" w:cs="宋体" w:hint="default"/>
        <w:spacing w:val="-2"/>
        <w:w w:val="100"/>
        <w:sz w:val="40"/>
        <w:szCs w:val="40"/>
      </w:rPr>
    </w:lvl>
    <w:lvl w:ilvl="2">
      <w:start w:val="0"/>
      <w:numFmt w:val="bullet"/>
      <w:lvlText w:val="•"/>
      <w:lvlJc w:val="left"/>
      <w:pPr>
        <w:ind w:left="2491" w:hanging="6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2" w:hanging="6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3" w:hanging="6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5" w:hanging="6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6" w:hanging="6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7" w:hanging="6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99" w:hanging="631"/>
      </w:pPr>
      <w:rPr>
        <w:rFonts w:hint="default"/>
      </w:rPr>
    </w:lvl>
  </w:abstractNum>
  <w:abstractNum w:abstractNumId="3">
    <w:nsid w:val="69554313"/>
    <w:multiLevelType w:val="hybridMultilevel"/>
    <w:tmpl w:val="00000000"/>
    <w:lvl w:ilvl="0">
      <w:start w:val="1"/>
      <w:numFmt w:val="decimal"/>
      <w:lvlText w:val="（%1）"/>
      <w:lvlJc w:val="left"/>
      <w:pPr>
        <w:ind w:left="160" w:hanging="1217"/>
        <w:jc w:val="left"/>
      </w:pPr>
      <w:rPr>
        <w:rFonts w:ascii="宋体" w:eastAsia="宋体" w:hAnsi="宋体" w:cs="宋体" w:hint="default"/>
        <w:spacing w:val="-1"/>
        <w:w w:val="100"/>
        <w:sz w:val="42"/>
        <w:szCs w:val="42"/>
      </w:rPr>
    </w:lvl>
    <w:lvl w:ilvl="1">
      <w:start w:val="1"/>
      <w:numFmt w:val="decimal"/>
      <w:lvlText w:val="（%2）"/>
      <w:lvlJc w:val="left"/>
      <w:pPr>
        <w:ind w:left="160" w:hanging="1056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2">
      <w:start w:val="0"/>
      <w:numFmt w:val="bullet"/>
      <w:lvlText w:val="•"/>
      <w:lvlJc w:val="left"/>
      <w:pPr>
        <w:ind w:left="2751" w:hanging="10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7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43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39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35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31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1056"/>
      </w:pPr>
      <w:rPr>
        <w:rFonts w:hint="default"/>
      </w:rPr>
    </w:lvl>
  </w:abstractNum>
  <w:abstractNum w:abstractNumId="4">
    <w:nsid w:val="699E6028"/>
    <w:multiLevelType w:val="hybridMultilevel"/>
    <w:tmpl w:val="00000000"/>
    <w:lvl w:ilvl="0">
      <w:start w:val="11"/>
      <w:numFmt w:val="decimal"/>
      <w:lvlText w:val="%1."/>
      <w:lvlJc w:val="left"/>
      <w:pPr>
        <w:ind w:left="1004" w:hanging="844"/>
        <w:jc w:val="left"/>
      </w:pPr>
      <w:rPr>
        <w:rFonts w:ascii="宋体" w:eastAsia="宋体" w:hAnsi="宋体" w:cs="宋体" w:hint="default"/>
        <w:spacing w:val="-1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11" w:hanging="8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23" w:hanging="8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35" w:hanging="8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47" w:hanging="8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59" w:hanging="8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71" w:hanging="8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83" w:hanging="8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95" w:hanging="844"/>
      </w:pPr>
      <w:rPr>
        <w:rFonts w:hint="default"/>
      </w:rPr>
    </w:lvl>
  </w:abstractNum>
  <w:abstractNum w:abstractNumId="5">
    <w:nsid w:val="79D6C35E"/>
    <w:multiLevelType w:val="hybridMultilevel"/>
    <w:tmpl w:val="00000000"/>
    <w:lvl w:ilvl="0">
      <w:start w:val="5"/>
      <w:numFmt w:val="decimal"/>
      <w:lvlText w:val="%1."/>
      <w:lvlJc w:val="left"/>
      <w:pPr>
        <w:ind w:left="795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031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3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95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5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91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23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63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宋体" w:eastAsia="宋体" w:hAnsi="宋体" w:cs="宋体"/>
      <w:sz w:val="42"/>
      <w:szCs w:val="42"/>
    </w:rPr>
  </w:style>
  <w:style w:type="paragraph" w:customStyle="1" w:styleId="Heading1">
    <w:name w:val="Heading 1"/>
    <w:basedOn w:val="Normal"/>
    <w:uiPriority w:val="1"/>
    <w:qFormat/>
    <w:pPr>
      <w:ind w:left="672"/>
      <w:jc w:val="center"/>
      <w:outlineLvl w:val="1"/>
    </w:pPr>
    <w:rPr>
      <w:rFonts w:ascii="宋体" w:eastAsia="宋体" w:hAnsi="宋体" w:cs="宋体"/>
      <w:b/>
      <w:bCs/>
      <w:sz w:val="66"/>
      <w:szCs w:val="66"/>
    </w:rPr>
  </w:style>
  <w:style w:type="paragraph" w:styleId="ListParagraph">
    <w:name w:val="List Paragraph"/>
    <w:basedOn w:val="Normal"/>
    <w:uiPriority w:val="1"/>
    <w:qFormat/>
    <w:pPr>
      <w:ind w:left="160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yperlink" Target="https://d.book118.com/248123121134006023" TargetMode="Externa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2023-10-06T12:53:36Z</dcterms:created>
  <dcterms:modified xsi:type="dcterms:W3CDTF">2023-10-06T12:53:36Z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LastSaved">
    <vt:filetime>2023-10-06T00:00:00Z</vt:filetime>
  </property>
</Properties>
</file>