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OC1"/>
        <w:tabs>
          <w:tab w:val="right" w:leader="dot" w:pos="8777"/>
        </w:tabs>
        <w:jc w:val="center"/>
        <w:rPr>
          <w:rFonts w:ascii="宋体" w:hAnsi="宋体" w:hint="eastAsia"/>
          <w:sz w:val="44"/>
          <w:szCs w:val="44"/>
        </w:rPr>
      </w:pPr>
    </w:p>
    <w:p>
      <w:pPr>
        <w:rPr>
          <w:rFonts w:hint="eastAsia"/>
        </w:rPr>
      </w:pPr>
    </w:p>
    <w:p>
      <w:pPr>
        <w:rPr>
          <w:rFonts w:hint="eastAsia"/>
        </w:rPr>
      </w:pPr>
    </w:p>
    <w:p>
      <w:pPr>
        <w:jc w:val="center"/>
        <w:rPr>
          <w:rFonts w:ascii="宋体" w:hAnsi="宋体" w:hint="eastAsia"/>
          <w:sz w:val="44"/>
          <w:szCs w:val="44"/>
        </w:rPr>
      </w:pPr>
      <w:r>
        <w:rPr>
          <w:rFonts w:ascii="宋体" w:hAnsi="宋体" w:hint="eastAsia"/>
          <w:sz w:val="44"/>
          <w:szCs w:val="44"/>
        </w:rPr>
        <w:t>中交一公局重庆酉沿高速马路</w:t>
      </w:r>
    </w:p>
    <w:p>
      <w:pPr>
        <w:jc w:val="center"/>
        <w:rPr>
          <w:rFonts w:ascii="宋体" w:hAnsi="宋体" w:hint="eastAsia"/>
          <w:sz w:val="44"/>
          <w:szCs w:val="44"/>
        </w:rPr>
      </w:pPr>
      <w:r>
        <w:rPr>
          <w:rFonts w:ascii="宋体" w:hAnsi="宋体" w:hint="eastAsia"/>
          <w:sz w:val="44"/>
          <w:szCs w:val="44"/>
        </w:rPr>
        <w:t>总承包项目一分部</w:t>
      </w: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黑体" w:eastAsia="黑体" w:hAnsi="宋体" w:hint="eastAsia"/>
          <w:b/>
          <w:sz w:val="52"/>
          <w:szCs w:val="52"/>
        </w:rPr>
      </w:pPr>
      <w:r>
        <w:rPr>
          <w:rFonts w:ascii="黑体" w:eastAsia="黑体" w:hAnsi="宋体" w:hint="eastAsia"/>
          <w:b/>
          <w:sz w:val="52"/>
          <w:szCs w:val="52"/>
        </w:rPr>
        <w:t>施工平安风险评估报告</w:t>
      </w: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b/>
          <w:sz w:val="32"/>
          <w:szCs w:val="32"/>
        </w:rPr>
      </w:pPr>
      <w:r>
        <w:rPr>
          <w:rFonts w:ascii="宋体" w:hAnsi="宋体" w:hint="eastAsia"/>
          <w:b/>
          <w:sz w:val="32"/>
          <w:szCs w:val="32"/>
        </w:rPr>
        <w:t>2013年3月20日</w:t>
      </w: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32"/>
          <w:szCs w:val="32"/>
        </w:rPr>
        <w:sectPr>
          <w:pgSz w:w="11906" w:h="16838"/>
          <w:pgMar w:top="1440" w:right="1418" w:bottom="1134" w:left="1701" w:header="851" w:footer="992" w:gutter="0"/>
          <w:pgNumType w:start="0"/>
          <w:cols w:space="708"/>
          <w:titlePg/>
          <w:docGrid w:linePitch="312"/>
        </w:sectPr>
      </w:pPr>
    </w:p>
    <w:p>
      <w:pPr>
        <w:jc w:val="center"/>
        <w:rPr>
          <w:rFonts w:ascii="宋体" w:hAnsi="宋体" w:hint="eastAsia"/>
          <w:sz w:val="32"/>
          <w:szCs w:val="32"/>
        </w:rPr>
      </w:pPr>
      <w:r>
        <w:rPr>
          <w:rFonts w:ascii="宋体" w:hAnsi="宋体" w:hint="eastAsia"/>
          <w:sz w:val="32"/>
          <w:szCs w:val="32"/>
        </w:rPr>
        <w:t>中交一公局重庆酉沿高速马路</w:t>
      </w:r>
    </w:p>
    <w:p>
      <w:pPr>
        <w:jc w:val="center"/>
        <w:rPr>
          <w:rFonts w:ascii="宋体" w:hAnsi="宋体" w:hint="eastAsia"/>
          <w:sz w:val="32"/>
          <w:szCs w:val="32"/>
        </w:rPr>
      </w:pPr>
      <w:r>
        <w:rPr>
          <w:rFonts w:ascii="宋体" w:hAnsi="宋体" w:hint="eastAsia"/>
          <w:sz w:val="32"/>
          <w:szCs w:val="32"/>
        </w:rPr>
        <w:t>总承包项目一分部</w:t>
      </w: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b/>
          <w:sz w:val="44"/>
          <w:szCs w:val="44"/>
        </w:rPr>
      </w:pPr>
      <w:r>
        <w:rPr>
          <w:rFonts w:ascii="宋体" w:hAnsi="宋体" w:hint="eastAsia"/>
          <w:b/>
          <w:sz w:val="44"/>
          <w:szCs w:val="44"/>
        </w:rPr>
        <w:t>施工平安风险评估报告</w:t>
      </w: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ind w:firstLine="1932" w:firstLineChars="690"/>
        <w:rPr>
          <w:rFonts w:ascii="宋体" w:hAnsi="宋体" w:hint="eastAsia"/>
          <w:b/>
          <w:sz w:val="28"/>
          <w:szCs w:val="28"/>
        </w:rPr>
      </w:pPr>
      <w:r>
        <w:rPr>
          <w:rFonts w:ascii="宋体" w:hAnsi="宋体" w:hint="eastAsia"/>
          <w:b/>
          <w:sz w:val="28"/>
          <w:szCs w:val="28"/>
        </w:rPr>
        <w:t>编制单位：中交一公局重庆酉沿高速马路</w:t>
      </w:r>
    </w:p>
    <w:p>
      <w:pPr>
        <w:ind w:firstLine="3612" w:firstLineChars="1290"/>
        <w:rPr>
          <w:rFonts w:ascii="宋体" w:hAnsi="宋体" w:hint="eastAsia"/>
          <w:b/>
          <w:sz w:val="28"/>
          <w:szCs w:val="28"/>
        </w:rPr>
      </w:pPr>
      <w:r>
        <w:rPr>
          <w:rFonts w:ascii="宋体" w:hAnsi="宋体" w:hint="eastAsia"/>
          <w:b/>
          <w:sz w:val="28"/>
          <w:szCs w:val="28"/>
        </w:rPr>
        <w:t>总承包项目一分部</w:t>
      </w:r>
    </w:p>
    <w:p>
      <w:pPr>
        <w:ind w:firstLine="2352" w:firstLineChars="840"/>
        <w:rPr>
          <w:rFonts w:ascii="宋体" w:hAnsi="宋体" w:hint="eastAsia"/>
          <w:b/>
          <w:sz w:val="28"/>
          <w:szCs w:val="28"/>
        </w:rPr>
      </w:pPr>
    </w:p>
    <w:p>
      <w:pPr>
        <w:ind w:firstLine="1932" w:firstLineChars="690"/>
        <w:rPr>
          <w:rFonts w:ascii="宋体" w:hAnsi="宋体" w:hint="eastAsia"/>
          <w:b/>
          <w:sz w:val="28"/>
          <w:szCs w:val="28"/>
        </w:rPr>
      </w:pPr>
      <w:r>
        <w:rPr>
          <w:rFonts w:ascii="宋体" w:hAnsi="宋体" w:hint="eastAsia"/>
          <w:b/>
          <w:sz w:val="28"/>
          <w:szCs w:val="28"/>
        </w:rPr>
        <w:t>评估小组负责人：</w:t>
      </w:r>
    </w:p>
    <w:p>
      <w:pPr>
        <w:ind w:firstLine="2352" w:firstLineChars="840"/>
        <w:rPr>
          <w:rFonts w:ascii="宋体" w:hAnsi="宋体" w:hint="eastAsia"/>
          <w:b/>
          <w:sz w:val="28"/>
          <w:szCs w:val="28"/>
        </w:rPr>
      </w:pPr>
    </w:p>
    <w:p>
      <w:pPr>
        <w:ind w:firstLine="1932" w:firstLineChars="690"/>
        <w:rPr>
          <w:rFonts w:ascii="宋体" w:hAnsi="宋体" w:hint="eastAsia"/>
          <w:b/>
          <w:sz w:val="28"/>
          <w:szCs w:val="28"/>
        </w:rPr>
      </w:pPr>
      <w:r>
        <w:rPr>
          <w:rFonts w:ascii="宋体" w:hAnsi="宋体" w:hint="eastAsia"/>
          <w:b/>
          <w:sz w:val="28"/>
          <w:szCs w:val="28"/>
        </w:rPr>
        <w:t>日  期：2013年3月20日</w:t>
      </w: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sectPr>
          <w:type w:val="nextPage"/>
          <w:pgSz w:w="11906" w:h="16838"/>
          <w:pgMar w:top="1440" w:right="1418" w:bottom="1134" w:left="1701" w:header="851" w:footer="992" w:gutter="0"/>
          <w:pgNumType w:start="1"/>
          <w:cols w:space="708"/>
          <w:titlePg w:val="0"/>
          <w:docGrid w:linePitch="312"/>
        </w:sect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r>
        <w:rPr>
          <w:rFonts w:ascii="宋体" w:hAnsi="宋体" w:hint="eastAsia"/>
          <w:sz w:val="44"/>
          <w:szCs w:val="44"/>
          <w:lang w:eastAsia="zh-CN"/>
        </w:rPr>
        <w:t>评估小组人员名单及职称：</w:t>
      </w:r>
    </w:p>
    <w:p>
      <w:pPr>
        <w:jc w:val="center"/>
        <w:rPr>
          <w:rFonts w:ascii="宋体" w:hAnsi="宋体" w:hint="eastAsia"/>
          <w:sz w:val="44"/>
          <w:szCs w:val="44"/>
        </w:rPr>
      </w:pPr>
      <w:r>
        <w:rPr>
          <w:rFonts w:ascii="宋体" w:hAnsi="宋体" w:hint="eastAsia"/>
          <w:sz w:val="44"/>
          <w:szCs w:val="44"/>
          <w:lang w:eastAsia="zh-CN"/>
        </w:rPr>
        <w:t>（亲笔签名）</w:t>
      </w: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jc w:val="center"/>
        <w:rPr>
          <w:rFonts w:ascii="宋体" w:hAnsi="宋体" w:hint="eastAsia"/>
          <w:sz w:val="44"/>
          <w:szCs w:val="44"/>
        </w:rPr>
      </w:pPr>
    </w:p>
    <w:p>
      <w:pPr>
        <w:pStyle w:val="TOC1"/>
        <w:tabs>
          <w:tab w:val="right" w:leader="dot" w:pos="8777"/>
        </w:tabs>
        <w:jc w:val="center"/>
        <w:rPr>
          <w:rFonts w:ascii="宋体" w:hAnsi="宋体" w:hint="eastAsia"/>
          <w:b/>
          <w:sz w:val="32"/>
          <w:szCs w:val="32"/>
        </w:rPr>
        <w:sectPr>
          <w:type w:val="nextPage"/>
          <w:pgSz w:w="11906" w:h="16838"/>
          <w:pgMar w:top="1440" w:right="1418" w:bottom="1134" w:left="1701" w:header="851" w:footer="992" w:gutter="0"/>
          <w:pgNumType w:start="2"/>
          <w:cols w:space="708"/>
          <w:titlePg w:val="0"/>
          <w:docGrid w:linePitch="312"/>
        </w:sectPr>
      </w:pPr>
      <w:r>
        <w:rPr>
          <w:rFonts w:ascii="宋体" w:hAnsi="宋体" w:hint="eastAsia"/>
          <w:b/>
          <w:sz w:val="32"/>
          <w:szCs w:val="32"/>
        </w:rPr>
        <w:t>目 录</w:t>
      </w:r>
    </w:p>
    <w:p>
      <w:pPr>
        <w:pStyle w:val="TOC1"/>
        <w:tabs>
          <w:tab w:val="right" w:leader="dot" w:pos="8777"/>
        </w:tabs>
        <w:spacing w:line="360" w:lineRule="auto"/>
        <w:jc w:val="left"/>
        <w:rPr>
          <w:rFonts w:ascii="宋体" w:hAnsi="宋体"/>
          <w:sz w:val="28"/>
          <w:szCs w:val="28"/>
        </w:rPr>
      </w:pPr>
      <w:r>
        <w:rPr>
          <w:rFonts w:ascii="宋体" w:hAnsi="宋体"/>
          <w:sz w:val="28"/>
          <w:szCs w:val="28"/>
        </w:rPr>
        <w:fldChar w:fldCharType="begin"/>
      </w:r>
      <w:r>
        <w:rPr>
          <w:rFonts w:ascii="宋体" w:hAnsi="宋体"/>
          <w:sz w:val="28"/>
          <w:szCs w:val="28"/>
        </w:rPr>
        <w:instrText xml:space="preserve"> TOC \o "1-3" \h \z \u </w:instrText>
      </w:r>
      <w:r>
        <w:rPr>
          <w:rFonts w:ascii="宋体" w:hAnsi="宋体"/>
          <w:sz w:val="28"/>
          <w:szCs w:val="28"/>
        </w:rPr>
        <w:fldChar w:fldCharType="separate"/>
      </w:r>
      <w:hyperlink w:anchor="_Toc306288986" w:history="1">
        <w:r>
          <w:rPr>
            <w:rStyle w:val="Hyperlink"/>
            <w:rFonts w:ascii="宋体" w:hAnsi="宋体" w:hint="eastAsia"/>
            <w:sz w:val="28"/>
            <w:szCs w:val="28"/>
          </w:rPr>
          <w:t xml:space="preserve">一、编制依据 </w:t>
        </w:r>
        <w:r>
          <w:rPr>
            <w:rStyle w:val="Hyperlink"/>
            <w:rFonts w:ascii="宋体" w:hAnsi="宋体" w:hint="eastAsia"/>
            <w:color w:val="auto"/>
            <w:sz w:val="28"/>
            <w:szCs w:val="28"/>
            <w:u w:val="none"/>
          </w:rPr>
          <w:t>………………………………………………………………</w:t>
        </w:r>
        <w:r>
          <w:rPr>
            <w:rFonts w:ascii="宋体" w:hAnsi="宋体" w:hint="eastAsia"/>
            <w:sz w:val="28"/>
            <w:szCs w:val="28"/>
            <w:lang w:val="en-US" w:eastAsia="zh-CN"/>
          </w:rPr>
          <w:t>1</w:t>
        </w:r>
      </w:hyperlink>
    </w:p>
    <w:p>
      <w:pPr>
        <w:pStyle w:val="TOC1"/>
        <w:tabs>
          <w:tab w:val="right" w:leader="dot" w:pos="8777"/>
        </w:tabs>
        <w:spacing w:line="360" w:lineRule="auto"/>
        <w:jc w:val="left"/>
        <w:rPr>
          <w:rStyle w:val="Hyperlink"/>
          <w:rFonts w:ascii="宋体" w:hAnsi="宋体" w:hint="eastAsia"/>
          <w:sz w:val="28"/>
          <w:szCs w:val="28"/>
        </w:rPr>
      </w:pPr>
      <w:hyperlink w:anchor="_Toc306288987" w:history="1">
        <w:r>
          <w:rPr>
            <w:rStyle w:val="Hyperlink"/>
            <w:rFonts w:ascii="宋体" w:hAnsi="宋体" w:hint="eastAsia"/>
            <w:sz w:val="28"/>
            <w:szCs w:val="28"/>
          </w:rPr>
          <w:t xml:space="preserve">二、工程概况 </w:t>
        </w:r>
        <w:r>
          <w:rPr>
            <w:rFonts w:ascii="宋体" w:hAnsi="宋体" w:hint="eastAsia"/>
            <w:sz w:val="28"/>
            <w:szCs w:val="28"/>
          </w:rPr>
          <w:t>………………………………………………………………</w:t>
        </w:r>
        <w:r>
          <w:rPr>
            <w:rFonts w:ascii="宋体" w:hAnsi="宋体" w:hint="eastAsia"/>
            <w:sz w:val="28"/>
            <w:szCs w:val="28"/>
            <w:lang w:val="en-US" w:eastAsia="zh-CN"/>
          </w:rPr>
          <w:t>1</w:t>
        </w:r>
      </w:hyperlink>
    </w:p>
    <w:p>
      <w:pPr>
        <w:pStyle w:val="TOC1"/>
        <w:tabs>
          <w:tab w:val="right" w:leader="dot" w:pos="8777"/>
        </w:tabs>
        <w:spacing w:line="360" w:lineRule="auto"/>
        <w:jc w:val="left"/>
        <w:rPr>
          <w:rStyle w:val="Hyperlink"/>
          <w:rFonts w:ascii="宋体" w:hAnsi="宋体" w:hint="eastAsia"/>
          <w:color w:val="auto"/>
          <w:sz w:val="28"/>
          <w:szCs w:val="28"/>
          <w:u w:val="none"/>
        </w:rPr>
      </w:pPr>
      <w:r>
        <w:rPr>
          <w:rStyle w:val="Hyperlink"/>
          <w:rFonts w:ascii="宋体" w:hAnsi="宋体" w:hint="eastAsia"/>
          <w:color w:val="auto"/>
          <w:sz w:val="28"/>
          <w:szCs w:val="28"/>
          <w:u w:val="none"/>
        </w:rPr>
        <w:t xml:space="preserve">三、评估过程和评估方法 </w:t>
      </w:r>
      <w:r>
        <w:rPr>
          <w:rStyle w:val="Hyperlink"/>
          <w:rFonts w:ascii="宋体" w:hAnsi="宋体" w:hint="eastAsia"/>
          <w:color w:val="auto"/>
          <w:sz w:val="28"/>
          <w:szCs w:val="28"/>
          <w:u w:val="none"/>
        </w:rPr>
        <w:t>…………………………………………………</w:t>
      </w:r>
      <w:r>
        <w:rPr>
          <w:rStyle w:val="Hyperlink"/>
          <w:rFonts w:ascii="宋体" w:hAnsi="宋体" w:hint="eastAsia"/>
          <w:color w:val="auto"/>
          <w:sz w:val="28"/>
          <w:szCs w:val="28"/>
          <w:u w:val="none"/>
          <w:lang w:val="en-US" w:eastAsia="zh-CN"/>
        </w:rPr>
        <w:t>3</w:t>
      </w:r>
    </w:p>
    <w:p>
      <w:pPr>
        <w:pStyle w:val="TOC1"/>
        <w:tabs>
          <w:tab w:val="right" w:leader="dot" w:pos="8777"/>
        </w:tabs>
        <w:spacing w:line="360" w:lineRule="auto"/>
        <w:jc w:val="left"/>
        <w:rPr>
          <w:rFonts w:ascii="宋体" w:hAnsi="宋体"/>
          <w:sz w:val="28"/>
          <w:szCs w:val="28"/>
        </w:rPr>
      </w:pPr>
      <w:hyperlink w:anchor="_Toc306288988" w:history="1">
        <w:r>
          <w:rPr>
            <w:rStyle w:val="Hyperlink"/>
            <w:rFonts w:ascii="宋体" w:hAnsi="宋体" w:hint="eastAsia"/>
            <w:sz w:val="28"/>
            <w:szCs w:val="28"/>
          </w:rPr>
          <w:t xml:space="preserve">四、评估内容 </w:t>
        </w:r>
        <w:r>
          <w:rPr>
            <w:rFonts w:ascii="宋体" w:hAnsi="宋体" w:hint="eastAsia"/>
            <w:sz w:val="28"/>
            <w:szCs w:val="28"/>
          </w:rPr>
          <w:t>………………………………………………………………</w:t>
        </w:r>
        <w:r>
          <w:rPr>
            <w:rFonts w:ascii="宋体" w:hAnsi="宋体" w:hint="eastAsia"/>
            <w:sz w:val="28"/>
            <w:szCs w:val="28"/>
            <w:lang w:val="en-US" w:eastAsia="zh-CN"/>
          </w:rPr>
          <w:t>5</w:t>
        </w:r>
      </w:hyperlink>
    </w:p>
    <w:p>
      <w:pPr>
        <w:pStyle w:val="TOC2"/>
        <w:tabs>
          <w:tab w:val="right" w:leader="dot" w:pos="8777"/>
        </w:tabs>
        <w:spacing w:line="360" w:lineRule="auto"/>
        <w:ind w:left="420"/>
        <w:jc w:val="left"/>
        <w:rPr>
          <w:rFonts w:ascii="宋体" w:hAnsi="宋体"/>
          <w:sz w:val="28"/>
          <w:szCs w:val="28"/>
        </w:rPr>
      </w:pPr>
      <w:hyperlink w:anchor="_Toc306288989" w:history="1">
        <w:r>
          <w:rPr>
            <w:rStyle w:val="Hyperlink"/>
            <w:rFonts w:ascii="宋体" w:hAnsi="宋体"/>
            <w:sz w:val="28"/>
            <w:szCs w:val="28"/>
          </w:rPr>
          <w:t>1</w:t>
        </w:r>
        <w:r>
          <w:rPr>
            <w:rStyle w:val="Hyperlink"/>
            <w:rFonts w:ascii="宋体" w:hAnsi="宋体" w:hint="eastAsia"/>
            <w:sz w:val="28"/>
            <w:szCs w:val="28"/>
          </w:rPr>
          <w:t>、</w:t>
        </w:r>
        <w:r>
          <w:rPr>
            <w:rStyle w:val="Hyperlink"/>
            <w:rFonts w:ascii="宋体" w:hAnsi="宋体" w:hint="eastAsia"/>
            <w:kern w:val="0"/>
            <w:sz w:val="28"/>
            <w:szCs w:val="28"/>
          </w:rPr>
          <w:t>桥梁工程总体风险</w:t>
        </w:r>
        <w:r>
          <w:rPr>
            <w:rStyle w:val="Hyperlink"/>
            <w:rFonts w:ascii="宋体" w:hAnsi="宋体" w:hint="eastAsia"/>
            <w:kern w:val="0"/>
            <w:sz w:val="28"/>
            <w:szCs w:val="28"/>
            <w:lang w:eastAsia="zh-CN"/>
          </w:rPr>
          <w:t>评</w:t>
        </w:r>
        <w:r>
          <w:rPr>
            <w:rStyle w:val="Hyperlink"/>
            <w:rFonts w:ascii="宋体" w:hAnsi="宋体" w:hint="eastAsia"/>
            <w:kern w:val="0"/>
            <w:sz w:val="28"/>
            <w:szCs w:val="28"/>
          </w:rPr>
          <w:t xml:space="preserve">估 </w:t>
        </w:r>
        <w:r>
          <w:rPr>
            <w:rFonts w:ascii="宋体" w:hAnsi="宋体" w:hint="eastAsia"/>
            <w:sz w:val="28"/>
            <w:szCs w:val="28"/>
          </w:rPr>
          <w:t>……………………………………………</w:t>
        </w:r>
        <w:r>
          <w:rPr>
            <w:rFonts w:ascii="宋体" w:hAnsi="宋体" w:hint="eastAsia"/>
            <w:sz w:val="28"/>
            <w:szCs w:val="28"/>
            <w:lang w:val="en-US" w:eastAsia="zh-CN"/>
          </w:rPr>
          <w:t>5</w:t>
        </w:r>
      </w:hyperlink>
    </w:p>
    <w:p>
      <w:pPr>
        <w:pStyle w:val="TOC2"/>
        <w:tabs>
          <w:tab w:val="right" w:leader="dot" w:pos="8777"/>
        </w:tabs>
        <w:spacing w:line="360" w:lineRule="auto"/>
        <w:ind w:left="420"/>
        <w:jc w:val="left"/>
        <w:rPr>
          <w:rStyle w:val="Hyperlink"/>
          <w:rFonts w:ascii="宋体" w:hAnsi="宋体" w:hint="eastAsia"/>
          <w:sz w:val="28"/>
          <w:szCs w:val="28"/>
        </w:rPr>
      </w:pPr>
      <w:hyperlink w:anchor="_Toc306288990" w:history="1">
        <w:r>
          <w:rPr>
            <w:rStyle w:val="Hyperlink"/>
            <w:rFonts w:ascii="宋体" w:hAnsi="宋体"/>
            <w:kern w:val="0"/>
            <w:sz w:val="28"/>
            <w:szCs w:val="28"/>
          </w:rPr>
          <w:t>2</w:t>
        </w:r>
        <w:r>
          <w:rPr>
            <w:rStyle w:val="Hyperlink"/>
            <w:rFonts w:ascii="宋体" w:hAnsi="宋体" w:hint="eastAsia"/>
            <w:kern w:val="0"/>
            <w:sz w:val="28"/>
            <w:szCs w:val="28"/>
          </w:rPr>
          <w:t>、隧道工程总体风险评估</w:t>
        </w:r>
        <w:r>
          <w:rPr>
            <w:rStyle w:val="Hyperlink"/>
            <w:rFonts w:ascii="宋体" w:hAnsi="宋体" w:hint="eastAsia"/>
            <w:color w:val="auto"/>
            <w:sz w:val="28"/>
            <w:szCs w:val="28"/>
            <w:u w:val="none"/>
          </w:rPr>
          <w:t>………</w:t>
        </w:r>
        <w:r>
          <w:rPr>
            <w:rFonts w:ascii="宋体" w:hAnsi="宋体" w:hint="eastAsia"/>
            <w:sz w:val="28"/>
            <w:szCs w:val="28"/>
          </w:rPr>
          <w:t>……………………………………</w:t>
        </w:r>
        <w:r>
          <w:rPr>
            <w:rFonts w:ascii="宋体" w:hAnsi="宋体" w:hint="eastAsia"/>
            <w:sz w:val="28"/>
            <w:szCs w:val="28"/>
            <w:lang w:val="en-US" w:eastAsia="zh-CN"/>
          </w:rPr>
          <w:t>9</w:t>
        </w:r>
      </w:hyperlink>
    </w:p>
    <w:p>
      <w:pPr>
        <w:pStyle w:val="TOC1"/>
        <w:tabs>
          <w:tab w:val="right" w:leader="dot" w:pos="8777"/>
        </w:tabs>
        <w:spacing w:line="360" w:lineRule="auto"/>
        <w:jc w:val="left"/>
        <w:rPr>
          <w:rFonts w:ascii="宋体" w:hAnsi="宋体" w:hint="eastAsia"/>
          <w:sz w:val="28"/>
          <w:szCs w:val="28"/>
        </w:rPr>
      </w:pPr>
      <w:r>
        <w:rPr>
          <w:rFonts w:ascii="宋体" w:hAnsi="宋体" w:hint="eastAsia"/>
          <w:sz w:val="28"/>
          <w:szCs w:val="28"/>
        </w:rPr>
        <w:t xml:space="preserve">五、对策措施及建议  </w:t>
      </w:r>
      <w:r>
        <w:rPr>
          <w:rFonts w:ascii="宋体" w:hAnsi="宋体" w:hint="eastAsia"/>
          <w:sz w:val="28"/>
          <w:szCs w:val="28"/>
        </w:rPr>
        <w:t>……………………………………………………</w:t>
      </w:r>
      <w:r>
        <w:rPr>
          <w:rFonts w:ascii="宋体" w:hAnsi="宋体" w:hint="eastAsia"/>
          <w:sz w:val="28"/>
          <w:szCs w:val="28"/>
        </w:rPr>
        <w:t>1</w:t>
      </w:r>
      <w:r>
        <w:rPr>
          <w:rFonts w:ascii="宋体" w:hAnsi="宋体" w:hint="eastAsia"/>
          <w:sz w:val="28"/>
          <w:szCs w:val="28"/>
          <w:lang w:val="en-US" w:eastAsia="zh-CN"/>
        </w:rPr>
        <w:t>2</w:t>
      </w:r>
      <w:r>
        <w:rPr>
          <w:rFonts w:ascii="宋体" w:hAnsi="宋体" w:hint="eastAsia"/>
          <w:sz w:val="28"/>
          <w:szCs w:val="28"/>
        </w:rPr>
        <w:t xml:space="preserve">                                                                </w:t>
      </w:r>
    </w:p>
    <w:p>
      <w:pPr>
        <w:pStyle w:val="TOC1"/>
        <w:tabs>
          <w:tab w:val="right" w:leader="dot" w:pos="8777"/>
        </w:tabs>
        <w:spacing w:line="360" w:lineRule="auto"/>
        <w:jc w:val="left"/>
        <w:rPr>
          <w:rFonts w:ascii="宋体" w:hAnsi="宋体" w:hint="eastAsia"/>
          <w:sz w:val="28"/>
          <w:szCs w:val="28"/>
        </w:rPr>
      </w:pPr>
      <w:hyperlink w:anchor="_Toc306288991" w:history="1">
        <w:r>
          <w:rPr>
            <w:rStyle w:val="Hyperlink"/>
            <w:rFonts w:ascii="宋体" w:hAnsi="宋体" w:hint="eastAsia"/>
            <w:kern w:val="0"/>
            <w:sz w:val="28"/>
            <w:szCs w:val="28"/>
          </w:rPr>
          <w:t>六、评估结论</w:t>
        </w:r>
        <w:r>
          <w:rPr>
            <w:rFonts w:ascii="宋体" w:hAnsi="宋体" w:hint="eastAsia"/>
            <w:sz w:val="28"/>
            <w:szCs w:val="28"/>
          </w:rPr>
          <w:t>………………………………………………………………</w:t>
        </w:r>
        <w:r>
          <w:rPr>
            <w:rFonts w:ascii="宋体" w:hAnsi="宋体" w:hint="eastAsia"/>
            <w:sz w:val="28"/>
            <w:szCs w:val="28"/>
            <w:lang w:val="en-US" w:eastAsia="zh-CN"/>
          </w:rPr>
          <w:t>1</w:t>
        </w:r>
      </w:hyperlink>
      <w:r>
        <w:rPr>
          <w:rFonts w:ascii="宋体" w:hAnsi="宋体" w:hint="eastAsia"/>
          <w:sz w:val="28"/>
          <w:szCs w:val="28"/>
          <w:lang w:val="en-US" w:eastAsia="zh-CN"/>
        </w:rPr>
        <w:t>8</w:t>
      </w:r>
    </w:p>
    <w:p>
      <w:pPr>
        <w:adjustRightInd w:val="0"/>
        <w:snapToGrid w:val="0"/>
        <w:spacing w:line="300" w:lineRule="auto"/>
        <w:sectPr>
          <w:type w:val="nextPage"/>
          <w:pgSz w:w="11906" w:h="16838"/>
          <w:pgMar w:top="1440" w:right="1418" w:bottom="1134" w:left="1701" w:header="851" w:footer="992" w:gutter="0"/>
          <w:pgNumType w:start="3"/>
          <w:cols w:space="708"/>
          <w:titlePg w:val="0"/>
          <w:docGrid w:linePitch="312"/>
        </w:sectPr>
      </w:pPr>
      <w:r>
        <w:fldChar w:fldCharType="end"/>
      </w:r>
      <w:bookmarkStart w:id="0" w:name="_Toc306288986"/>
    </w:p>
    <w:p>
      <w:pPr>
        <w:adjustRightInd w:val="0"/>
        <w:snapToGrid w:val="0"/>
        <w:spacing w:line="300" w:lineRule="auto"/>
        <w:rPr>
          <w:rFonts w:hint="eastAsia"/>
        </w:rPr>
      </w:pPr>
    </w:p>
    <w:p>
      <w:pPr>
        <w:adjustRightInd w:val="0"/>
        <w:snapToGrid w:val="0"/>
        <w:spacing w:line="300" w:lineRule="auto"/>
        <w:rPr>
          <w:rFonts w:ascii="宋体" w:hAnsi="宋体"/>
          <w:b/>
          <w:sz w:val="32"/>
          <w:szCs w:val="32"/>
        </w:rPr>
      </w:pPr>
      <w:r>
        <w:rPr>
          <w:rFonts w:ascii="宋体" w:hAnsi="宋体"/>
          <w:b/>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113pt;height:16pt;margin-top:552pt;margin-left:266pt;mso-wrap-style:square;position:absolute;z-index:-251658240" filled="f" stroked="f">
            <v:imagedata r:id="rId4" o:title="108"/>
            <v:path o:extrusionok="f"/>
            <o:lock v:ext="edit" aspectratio="t"/>
            <w10:anchorlock/>
          </v:shape>
        </w:pict>
      </w:r>
      <w:bookmarkStart w:id="1" w:name="_Toc136855726"/>
      <w:bookmarkStart w:id="2" w:name="_Toc136883205"/>
      <w:bookmarkStart w:id="3" w:name="_Toc136922864"/>
      <w:bookmarkStart w:id="4" w:name="_Toc140307987"/>
      <w:r>
        <w:rPr>
          <w:rFonts w:ascii="宋体" w:hAnsi="宋体" w:hint="eastAsia"/>
          <w:b/>
          <w:sz w:val="32"/>
          <w:szCs w:val="32"/>
        </w:rPr>
        <w:t>一、</w:t>
      </w:r>
      <w:r>
        <w:rPr>
          <w:rFonts w:ascii="宋体" w:hAnsi="宋体"/>
          <w:b/>
          <w:sz w:val="32"/>
          <w:szCs w:val="32"/>
        </w:rPr>
        <w:t>编制依据</w:t>
      </w:r>
      <w:bookmarkEnd w:id="0"/>
      <w:bookmarkEnd w:id="1"/>
      <w:bookmarkEnd w:id="2"/>
      <w:bookmarkEnd w:id="3"/>
      <w:bookmarkEnd w:id="4"/>
    </w:p>
    <w:p>
      <w:pPr>
        <w:adjustRightInd w:val="0"/>
        <w:snapToGrid w:val="0"/>
        <w:spacing w:line="300" w:lineRule="auto"/>
        <w:ind w:firstLine="560" w:firstLineChars="200"/>
        <w:rPr>
          <w:rFonts w:ascii="宋体" w:hAnsi="宋体" w:hint="eastAsia"/>
          <w:sz w:val="28"/>
          <w:szCs w:val="28"/>
        </w:rPr>
      </w:pPr>
      <w:r>
        <w:rPr>
          <w:rFonts w:ascii="宋体" w:hAnsi="宋体"/>
          <w:sz w:val="28"/>
          <w:szCs w:val="28"/>
        </w:rPr>
        <w:t>1、</w:t>
      </w:r>
      <w:r>
        <w:rPr>
          <w:rFonts w:ascii="宋体" w:hAnsi="宋体" w:hint="eastAsia"/>
          <w:sz w:val="28"/>
          <w:szCs w:val="28"/>
        </w:rPr>
        <w:t>交通运输部《关于开展马路桥梁和隧道工程施工平安风险评估试行工作的通知》（交质监发[2011]217号）文件及《马路桥梁和隧道工程施工平安风险评估指南（试行）》；</w:t>
      </w:r>
    </w:p>
    <w:p>
      <w:pPr>
        <w:adjustRightInd w:val="0"/>
        <w:snapToGrid w:val="0"/>
        <w:spacing w:line="300" w:lineRule="auto"/>
        <w:ind w:firstLine="560" w:firstLineChars="200"/>
        <w:rPr>
          <w:rFonts w:ascii="宋体" w:hAnsi="宋体" w:hint="eastAsia"/>
          <w:sz w:val="28"/>
          <w:szCs w:val="28"/>
        </w:rPr>
      </w:pPr>
      <w:r>
        <w:rPr>
          <w:rFonts w:ascii="宋体" w:hAnsi="宋体" w:hint="eastAsia"/>
          <w:sz w:val="28"/>
          <w:szCs w:val="28"/>
        </w:rPr>
        <w:t>2、重庆市交通委员会《关于转发交通运输部开展马路桥梁和隧道工程施工平安风险评估试行工作的通知》（渝交委路〔2011〕50号）；</w:t>
      </w:r>
    </w:p>
    <w:p>
      <w:pPr>
        <w:adjustRightInd w:val="0"/>
        <w:snapToGrid w:val="0"/>
        <w:spacing w:line="300" w:lineRule="auto"/>
        <w:rPr>
          <w:rFonts w:ascii="宋体" w:hAnsi="宋体" w:hint="eastAsia"/>
          <w:sz w:val="28"/>
          <w:szCs w:val="28"/>
        </w:rPr>
      </w:pPr>
      <w:r>
        <w:rPr>
          <w:rFonts w:ascii="宋体" w:hAnsi="宋体" w:hint="eastAsia"/>
          <w:sz w:val="28"/>
          <w:szCs w:val="28"/>
        </w:rPr>
        <w:t xml:space="preserve">    3、重庆酉阳至贵州沿河高速马路（重庆段）项目投资合同；</w:t>
      </w:r>
    </w:p>
    <w:p>
      <w:pPr>
        <w:adjustRightInd w:val="0"/>
        <w:snapToGrid w:val="0"/>
        <w:spacing w:line="300" w:lineRule="auto"/>
        <w:rPr>
          <w:rFonts w:ascii="宋体" w:hAnsi="宋体"/>
          <w:sz w:val="28"/>
          <w:szCs w:val="28"/>
        </w:rPr>
      </w:pPr>
      <w:r>
        <w:rPr>
          <w:rFonts w:ascii="宋体" w:hAnsi="宋体" w:hint="eastAsia"/>
          <w:sz w:val="28"/>
          <w:szCs w:val="28"/>
        </w:rPr>
        <w:t xml:space="preserve">    4、重庆酉阳至贵州沿河高速马路（重庆段）施工图设计；</w:t>
      </w:r>
    </w:p>
    <w:p>
      <w:pPr>
        <w:adjustRightInd w:val="0"/>
        <w:snapToGrid w:val="0"/>
        <w:spacing w:line="300" w:lineRule="auto"/>
        <w:rPr>
          <w:rFonts w:ascii="宋体" w:hAnsi="宋体"/>
          <w:sz w:val="28"/>
          <w:szCs w:val="28"/>
        </w:rPr>
      </w:pPr>
      <w:r>
        <w:rPr>
          <w:rFonts w:ascii="宋体" w:hAnsi="宋体" w:hint="eastAsia"/>
          <w:sz w:val="28"/>
          <w:szCs w:val="28"/>
        </w:rPr>
        <w:t xml:space="preserve">    5、交通部施工技术规范、质量检验评定标准等标准、规范；</w:t>
      </w:r>
    </w:p>
    <w:p>
      <w:pPr>
        <w:adjustRightInd w:val="0"/>
        <w:snapToGrid w:val="0"/>
        <w:spacing w:line="300" w:lineRule="auto"/>
        <w:rPr>
          <w:rFonts w:ascii="宋体" w:hAnsi="宋体"/>
          <w:sz w:val="28"/>
          <w:szCs w:val="28"/>
        </w:rPr>
      </w:pPr>
      <w:r>
        <w:rPr>
          <w:rFonts w:ascii="宋体" w:hAnsi="宋体" w:hint="eastAsia"/>
          <w:sz w:val="28"/>
          <w:szCs w:val="28"/>
        </w:rPr>
        <w:t xml:space="preserve">    6</w:t>
      </w:r>
      <w:r>
        <w:rPr>
          <w:rFonts w:ascii="宋体" w:hAnsi="宋体"/>
          <w:sz w:val="28"/>
          <w:szCs w:val="28"/>
        </w:rPr>
        <w:t>、交通部颁发的《马路工程标准施工招标文件(2007年版)》、现行《马路工程技术标准》、现行《马路桥涵施工技术规范》、现行《马路</w:t>
      </w:r>
      <w:r>
        <w:rPr>
          <w:rFonts w:ascii="宋体" w:hAnsi="宋体" w:hint="eastAsia"/>
          <w:sz w:val="28"/>
          <w:szCs w:val="28"/>
        </w:rPr>
        <w:t>隧</w:t>
      </w:r>
      <w:r>
        <w:rPr>
          <w:rFonts w:ascii="宋体" w:hAnsi="宋体"/>
          <w:sz w:val="28"/>
          <w:szCs w:val="28"/>
        </w:rPr>
        <w:t>道施工技术规范》</w:t>
      </w:r>
      <w:r>
        <w:rPr>
          <w:rFonts w:ascii="宋体" w:hAnsi="宋体" w:hint="eastAsia"/>
          <w:sz w:val="28"/>
          <w:szCs w:val="28"/>
        </w:rPr>
        <w:t>、</w:t>
      </w:r>
      <w:r>
        <w:rPr>
          <w:rFonts w:ascii="宋体" w:hAnsi="宋体"/>
          <w:sz w:val="28"/>
          <w:szCs w:val="28"/>
        </w:rPr>
        <w:t>《马路工程施工平安技术规程》等相关规范。</w:t>
      </w:r>
    </w:p>
    <w:p>
      <w:pPr>
        <w:adjustRightInd w:val="0"/>
        <w:snapToGrid w:val="0"/>
        <w:spacing w:line="300" w:lineRule="auto"/>
        <w:rPr>
          <w:rFonts w:ascii="宋体" w:hAnsi="宋体"/>
          <w:sz w:val="28"/>
          <w:szCs w:val="28"/>
        </w:rPr>
      </w:pPr>
      <w:r>
        <w:rPr>
          <w:rFonts w:ascii="宋体" w:hAnsi="宋体" w:hint="eastAsia"/>
          <w:sz w:val="28"/>
          <w:szCs w:val="28"/>
        </w:rPr>
        <w:t xml:space="preserve">    7</w:t>
      </w:r>
      <w:r>
        <w:rPr>
          <w:rFonts w:ascii="宋体" w:hAnsi="宋体"/>
          <w:sz w:val="28"/>
          <w:szCs w:val="28"/>
        </w:rPr>
        <w:t>、现场踏勘调查的资料。</w:t>
      </w:r>
    </w:p>
    <w:p>
      <w:pPr>
        <w:adjustRightInd w:val="0"/>
        <w:snapToGrid w:val="0"/>
        <w:spacing w:line="300" w:lineRule="auto"/>
        <w:rPr>
          <w:rFonts w:ascii="宋体" w:hAnsi="宋体" w:hint="eastAsia"/>
          <w:sz w:val="28"/>
          <w:szCs w:val="28"/>
        </w:rPr>
      </w:pPr>
      <w:r>
        <w:rPr>
          <w:rFonts w:ascii="宋体" w:hAnsi="宋体" w:hint="eastAsia"/>
          <w:sz w:val="28"/>
          <w:szCs w:val="28"/>
        </w:rPr>
        <w:t xml:space="preserve">    8</w:t>
      </w:r>
      <w:r>
        <w:rPr>
          <w:rFonts w:ascii="宋体" w:hAnsi="宋体"/>
          <w:sz w:val="28"/>
          <w:szCs w:val="28"/>
        </w:rPr>
        <w:t>、</w:t>
      </w:r>
      <w:r>
        <w:rPr>
          <w:rFonts w:ascii="宋体" w:hAnsi="宋体" w:hint="eastAsia"/>
          <w:sz w:val="28"/>
          <w:szCs w:val="28"/>
        </w:rPr>
        <w:t>国内</w:t>
      </w:r>
      <w:r>
        <w:rPr>
          <w:rFonts w:ascii="宋体" w:hAnsi="宋体"/>
          <w:sz w:val="28"/>
          <w:szCs w:val="28"/>
        </w:rPr>
        <w:t>在类似工程中的施工阅历和相关工程的技术总结、</w:t>
      </w:r>
      <w:r>
        <w:rPr>
          <w:rFonts w:ascii="宋体" w:hAnsi="宋体" w:hint="eastAsia"/>
          <w:sz w:val="28"/>
          <w:szCs w:val="28"/>
        </w:rPr>
        <w:t>成</w:t>
      </w:r>
      <w:r>
        <w:rPr>
          <w:rFonts w:ascii="宋体" w:hAnsi="宋体"/>
          <w:sz w:val="28"/>
          <w:szCs w:val="28"/>
        </w:rPr>
        <w:t>果等</w:t>
      </w:r>
      <w:r>
        <w:rPr>
          <w:rFonts w:ascii="宋体" w:hAnsi="宋体" w:hint="eastAsia"/>
          <w:sz w:val="28"/>
          <w:szCs w:val="28"/>
        </w:rPr>
        <w:t>，</w:t>
      </w:r>
      <w:r>
        <w:rPr>
          <w:rFonts w:ascii="宋体" w:hAnsi="宋体"/>
          <w:sz w:val="28"/>
          <w:szCs w:val="28"/>
        </w:rPr>
        <w:t>结合</w:t>
      </w:r>
      <w:r>
        <w:rPr>
          <w:rFonts w:ascii="宋体" w:hAnsi="宋体" w:hint="eastAsia"/>
          <w:sz w:val="28"/>
          <w:szCs w:val="28"/>
        </w:rPr>
        <w:t>重庆</w:t>
      </w:r>
      <w:r>
        <w:rPr>
          <w:rFonts w:ascii="宋体" w:hAnsi="宋体"/>
          <w:sz w:val="28"/>
          <w:szCs w:val="28"/>
        </w:rPr>
        <w:t>地区</w:t>
      </w:r>
      <w:r>
        <w:rPr>
          <w:rFonts w:ascii="宋体" w:hAnsi="宋体" w:hint="eastAsia"/>
          <w:sz w:val="28"/>
          <w:szCs w:val="28"/>
        </w:rPr>
        <w:t>桥梁、隧道</w:t>
      </w:r>
      <w:r>
        <w:rPr>
          <w:rFonts w:ascii="宋体" w:hAnsi="宋体"/>
          <w:sz w:val="28"/>
          <w:szCs w:val="28"/>
        </w:rPr>
        <w:t>施工的阅历，并针对本工程施工特点，以</w:t>
      </w:r>
      <w:r>
        <w:rPr>
          <w:rFonts w:ascii="宋体" w:hAnsi="宋体" w:hint="eastAsia"/>
          <w:sz w:val="28"/>
          <w:szCs w:val="28"/>
        </w:rPr>
        <w:t>“</w:t>
      </w:r>
      <w:r>
        <w:rPr>
          <w:rFonts w:ascii="宋体" w:hAnsi="宋体" w:hint="eastAsia"/>
          <w:sz w:val="28"/>
          <w:szCs w:val="28"/>
        </w:rPr>
        <w:t>关爱生命、关注健康，平安第一、预防为主，</w:t>
      </w:r>
      <w:r>
        <w:rPr>
          <w:rFonts w:ascii="宋体" w:hAnsi="宋体" w:hint="eastAsia"/>
          <w:sz w:val="28"/>
          <w:szCs w:val="28"/>
          <w:lang w:eastAsia="zh-CN"/>
        </w:rPr>
        <w:t>综合治理</w:t>
      </w:r>
      <w:r>
        <w:rPr>
          <w:rFonts w:ascii="宋体" w:hAnsi="宋体" w:hint="eastAsia"/>
          <w:sz w:val="28"/>
          <w:szCs w:val="28"/>
        </w:rPr>
        <w:t>”</w:t>
      </w:r>
      <w:r>
        <w:rPr>
          <w:rFonts w:ascii="宋体" w:hAnsi="宋体"/>
          <w:sz w:val="28"/>
          <w:szCs w:val="28"/>
        </w:rPr>
        <w:t>为目标，编制本</w:t>
      </w:r>
      <w:r>
        <w:rPr>
          <w:rFonts w:ascii="宋体" w:hAnsi="宋体" w:hint="eastAsia"/>
          <w:sz w:val="28"/>
          <w:szCs w:val="28"/>
        </w:rPr>
        <w:t>报告</w:t>
      </w:r>
      <w:r>
        <w:rPr>
          <w:rFonts w:ascii="宋体" w:hAnsi="宋体"/>
          <w:sz w:val="28"/>
          <w:szCs w:val="28"/>
        </w:rPr>
        <w:t>。</w:t>
      </w:r>
    </w:p>
    <w:p>
      <w:pPr>
        <w:adjustRightInd w:val="0"/>
        <w:snapToGrid w:val="0"/>
        <w:spacing w:line="300" w:lineRule="auto"/>
        <w:rPr>
          <w:rFonts w:ascii="宋体" w:hAnsi="宋体" w:hint="eastAsia"/>
          <w:b/>
          <w:sz w:val="32"/>
          <w:szCs w:val="32"/>
        </w:rPr>
      </w:pPr>
      <w:bookmarkStart w:id="5" w:name="_Toc306288987"/>
      <w:r>
        <w:rPr>
          <w:rFonts w:ascii="宋体" w:hAnsi="宋体" w:hint="eastAsia"/>
          <w:b/>
          <w:sz w:val="32"/>
          <w:szCs w:val="32"/>
        </w:rPr>
        <w:t>二、工程概况</w:t>
      </w:r>
      <w:bookmarkEnd w:id="5"/>
    </w:p>
    <w:p>
      <w:pPr>
        <w:adjustRightInd w:val="0"/>
        <w:snapToGrid w:val="0"/>
        <w:spacing w:line="300" w:lineRule="auto"/>
        <w:ind w:firstLine="560" w:firstLineChars="200"/>
        <w:rPr>
          <w:rFonts w:ascii="宋体" w:hAnsi="宋体" w:hint="eastAsia"/>
          <w:sz w:val="28"/>
          <w:szCs w:val="28"/>
        </w:rPr>
      </w:pPr>
      <w:r>
        <w:rPr>
          <w:rFonts w:ascii="宋体" w:hAnsi="宋体" w:hint="eastAsia"/>
          <w:sz w:val="28"/>
          <w:szCs w:val="28"/>
        </w:rPr>
        <w:t>重庆酉阳至贵州沿河高速马路（重庆段）是重庆市</w:t>
      </w:r>
      <w:r>
        <w:rPr>
          <w:rFonts w:ascii="宋体" w:hAnsi="宋体" w:hint="eastAsia"/>
          <w:sz w:val="28"/>
          <w:szCs w:val="28"/>
        </w:rPr>
        <w:t>“</w:t>
      </w:r>
      <w:r>
        <w:rPr>
          <w:rFonts w:ascii="宋体" w:hAnsi="宋体" w:hint="eastAsia"/>
          <w:sz w:val="28"/>
          <w:szCs w:val="28"/>
        </w:rPr>
        <w:t>三环十射三联线</w:t>
      </w:r>
      <w:r>
        <w:rPr>
          <w:rFonts w:ascii="宋体" w:hAnsi="宋体" w:hint="eastAsia"/>
          <w:sz w:val="28"/>
          <w:szCs w:val="28"/>
        </w:rPr>
        <w:t>”</w:t>
      </w:r>
      <w:r>
        <w:rPr>
          <w:rFonts w:ascii="宋体" w:hAnsi="宋体" w:hint="eastAsia"/>
          <w:sz w:val="28"/>
          <w:szCs w:val="28"/>
        </w:rPr>
        <w:t>高速马路网规划中的六射支线，起于酉阳城南小米坑落水洞旁边，设酉阳互通连接G65包茂高速（渝湘高速重庆段）,经大沟旁边设置铜西隧道、在铜西旁边设铜西特大桥跨越铜西河、经官路滩设宜居河大桥、经红岩水库、银场岩、新塘、叶家湾、庙湾、小河镇、在河脚旁边接贵州省沿河至榕江高速马路，预留铜西枢纽互通一处。</w:t>
      </w:r>
    </w:p>
    <w:p>
      <w:pPr>
        <w:pStyle w:val="4"/>
        <w:ind w:firstLine="560"/>
        <w:rPr>
          <w:rFonts w:ascii="宋体" w:eastAsia="宋体" w:hAnsi="宋体" w:hint="eastAsia"/>
          <w:b w:val="0"/>
          <w:szCs w:val="28"/>
        </w:rPr>
      </w:pPr>
      <w:r>
        <w:rPr>
          <w:rFonts w:ascii="宋体" w:eastAsia="宋体" w:hAnsi="宋体" w:hint="eastAsia"/>
          <w:b w:val="0"/>
          <w:szCs w:val="28"/>
        </w:rPr>
        <w:t>本合同段为酉沿高速马路（重庆段）第一标段，线路全长7.962km，其主要结构物为酉阳1号隧道、酉阳2号隧道进口、酉阳互通立交、柳家坝中桥、11道涵洞。其线路全部座落在酉阳县境内。所走线路地形均为大山和峡谷，地势变形较大，地势环境较差，地质也比较困难，依据设计的地勘报告显示，其地质均存在暗河、岩溶等不良地质结构。</w:t>
      </w:r>
    </w:p>
    <w:p>
      <w:pPr>
        <w:pStyle w:val="4"/>
        <w:ind w:firstLine="560"/>
        <w:rPr>
          <w:rFonts w:ascii="宋体" w:eastAsia="宋体" w:hAnsi="宋体" w:hint="eastAsia"/>
          <w:b w:val="0"/>
          <w:szCs w:val="28"/>
        </w:rPr>
      </w:pPr>
      <w:r>
        <w:rPr>
          <w:rFonts w:ascii="宋体" w:eastAsia="宋体" w:hAnsi="宋体" w:hint="eastAsia"/>
          <w:b w:val="0"/>
          <w:szCs w:val="28"/>
        </w:rPr>
        <w:br/>
      </w:r>
      <w:r>
        <w:rPr>
          <w:rFonts w:ascii="宋体" w:eastAsia="宋体" w:hAnsi="宋体" w:hint="eastAsia"/>
          <w:b w:val="0"/>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https://d.book118.com/248140122004006042</w:t>
        </w:r>
      </w:hyperlink>
    </w:p>
    <w:p>
      <w:pPr>
        <w:pStyle w:val="4"/>
        <w:ind w:firstLine="560"/>
        <w:rPr>
          <w:rFonts w:ascii="宋体" w:eastAsia="宋体" w:hAnsi="宋体" w:hint="eastAsia"/>
          <w:b w:val="0"/>
          <w:szCs w:val="28"/>
        </w:rPr>
      </w:pPr>
    </w:p>
    <w:sectPr>
      <w:type w:val="nextPage"/>
      <w:pgSz w:w="11906" w:h="16838"/>
      <w:pgMar w:top="1440" w:right="1418" w:bottom="1134" w:left="1701" w:header="851" w:footer="992" w:gutter="0"/>
      <w:pgNumType w:fmt="decimal" w:start="0"/>
      <w:cols w:space="708"/>
      <w:titlePg/>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楷体">
    <w:altName w:val="宋体"/>
    <w:panose1 w:val="02010609060101010101"/>
    <w:charset w:val="86"/>
    <w:family w:val="modern"/>
    <w:pitch w:val="default"/>
    <w:sig w:usb0="800002BF" w:usb1="38CF7CFA" w:usb2="00000016" w:usb3="00000000" w:csb0="00040001"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 w:name="仿宋_GB2312">
    <w:panose1 w:val="02010609030101010101"/>
    <w:charset w:val="86"/>
    <w:family w:val="modern"/>
    <w:pitch w:val="default"/>
    <w:sig w:usb0="00000001" w:usb1="080E0000" w:usb2="00000000" w:usb3="00000000" w:csb0="00040000" w:csb1="00000000"/>
  </w:font>
  <w:font w:name="Calibri">
    <w:panose1 w:val="020F0502020204030204"/>
    <w:charset w:val="00"/>
    <w:family w:val="swiss"/>
    <w:pitch w:val="default"/>
    <w:sig w:usb0="A00002EF" w:usb1="4000207B" w:usb2="00000000" w:usb3="00000000" w:csb0="2000009F" w:csb1="00000000"/>
  </w:font>
  <w:font w:name="仿宋">
    <w:altName w:val="宋体"/>
    <w:panose1 w:val="02010609060101010101"/>
    <w:charset w:val="86"/>
    <w:family w:val="modern"/>
    <w:pitch w:val="default"/>
    <w:sig w:usb0="800002BF" w:usb1="38CF7CFA" w:usb2="00000016" w:usb3="00000000" w:csb0="00040001" w:csb1="00000000"/>
  </w:font>
  <w:font w:name="方正小标宋简体">
    <w:altName w:val="黑体"/>
    <w:panose1 w:val="03000509000000000000"/>
    <w:charset w:val="86"/>
    <w:family w:val="script"/>
    <w:pitch w:val="default"/>
    <w:sig w:usb0="00000001" w:usb1="080E0000" w:usb2="00000010" w:usb3="00000000" w:csb0="00040000" w:csb1="00000000"/>
  </w:font>
  <w:font w:name="Tahoma">
    <w:panose1 w:val="020B0604030504040204"/>
    <w:charset w:val="00"/>
    <w:family w:val="swiss"/>
    <w:pitch w:val="default"/>
    <w:sig w:usb0="61007A87" w:usb1="80000000" w:usb2="00000008" w:usb3="00000000" w:csb0="200101FF" w:csb1="20280000"/>
  </w:font>
  <w:font w:name="Arial Unicode MS">
    <w:altName w:val="Arial"/>
    <w:panose1 w:val="020B0604020202020204"/>
    <w:charset w:val="00"/>
    <w:family w:val="roman"/>
    <w:pitch w:val="default"/>
    <w:sig w:usb0="00000003" w:usb1="00000000" w:usb2="00000000" w:usb3="00000000" w:csb0="00000001" w:csb1="00000000"/>
  </w:font>
  <w:font w:name="Times New Roman CE">
    <w:altName w:val="Times New Roman"/>
    <w:panose1 w:val="00000000000000000000"/>
    <w:charset w:val="EE"/>
    <w:family w:val="roman"/>
    <w:pitch w:val="default"/>
    <w:sig w:usb0="00000000" w:usb1="00000000" w:usb2="00000000" w:usb3="00000000" w:csb0="00000002" w:csb1="00000000"/>
  </w:font>
  <w:font w:name="Times New Roman Cyr">
    <w:altName w:val="Times New Roman"/>
    <w:panose1 w:val="00000000000000000000"/>
    <w:charset w:val="CC"/>
    <w:family w:val="roman"/>
    <w:pitch w:val="default"/>
    <w:sig w:usb0="00000000" w:usb1="00000000" w:usb2="00000000" w:usb3="00000000" w:csb0="00000004" w:csb1="00000000"/>
  </w:font>
  <w:font w:name="Times New Roman Greek">
    <w:altName w:val="Times New Roman"/>
    <w:panose1 w:val="00000000000000000000"/>
    <w:charset w:val="A1"/>
    <w:family w:val="roman"/>
    <w:pitch w:val="default"/>
    <w:sig w:usb0="00000000" w:usb1="00000000" w:usb2="00000000" w:usb3="00000000" w:csb0="00000008" w:csb1="00000000"/>
  </w:font>
  <w:font w:name="Times New Roman Tur">
    <w:altName w:val="Times New Roman"/>
    <w:panose1 w:val="00000000000000000000"/>
    <w:charset w:val="A2"/>
    <w:family w:val="roman"/>
    <w:pitch w:val="default"/>
    <w:sig w:usb0="00000000" w:usb1="00000000" w:usb2="00000000" w:usb3="00000000" w:csb0="00000010" w:csb1="00000000"/>
  </w:font>
  <w:font w:name="Times New Roman (Hebrew)">
    <w:altName w:val="Times New Roman"/>
    <w:panose1 w:val="00000000000000000000"/>
    <w:charset w:val="B1"/>
    <w:family w:val="roman"/>
    <w:pitch w:val="default"/>
    <w:sig w:usb0="00000000" w:usb1="00000000" w:usb2="00000000" w:usb3="00000000" w:csb0="00000020" w:csb1="00000000"/>
  </w:font>
  <w:font w:name="Times New Roman (Arabic)">
    <w:altName w:val="Times New Roman"/>
    <w:panose1 w:val="00000000000000000000"/>
    <w:charset w:val="B2"/>
    <w:family w:val="roman"/>
    <w:pitch w:val="default"/>
    <w:sig w:usb0="00000000" w:usb1="00000000" w:usb2="00000000" w:usb3="00000000" w:csb0="00000040" w:csb1="00000000"/>
  </w:font>
  <w:font w:name="Times New Roman Baltic">
    <w:altName w:val="Times New Roman"/>
    <w:panose1 w:val="00000000000000000000"/>
    <w:charset w:val="BA"/>
    <w:family w:val="roman"/>
    <w:pitch w:val="default"/>
    <w:sig w:usb0="00000000" w:usb1="00000000" w:usb2="00000000" w:usb3="00000000" w:csb0="00000080" w:csb1="00000000"/>
  </w:font>
  <w:font w:name="Times New Roman (Vietnamese)">
    <w:altName w:val="Times New Roman"/>
    <w:panose1 w:val="00000000000000000000"/>
    <w:charset w:val="A3"/>
    <w:family w:val="roman"/>
    <w:pitch w:val="default"/>
    <w:sig w:usb0="00000000" w:usb1="00000000" w:usb2="00000000" w:usb3="00000000" w:csb0="00000100" w:csb1="00000000"/>
  </w:font>
  <w:font w:name="SimSun Western">
    <w:altName w:val="宋体"/>
    <w:panose1 w:val="00000000000000000000"/>
    <w:charset w:val="00"/>
    <w:family w:val="auto"/>
    <w:pitch w:val="default"/>
    <w:sig w:usb0="00000000" w:usb1="00000000" w:usb2="00000000" w:usb3="00000000" w:csb0="00000001" w:csb1="00000000"/>
  </w:font>
  <w:font w:name="Arial CE">
    <w:altName w:val="Arial"/>
    <w:panose1 w:val="00000000000000000000"/>
    <w:charset w:val="EE"/>
    <w:family w:val="swiss"/>
    <w:pitch w:val="default"/>
    <w:sig w:usb0="00000000" w:usb1="00000000" w:usb2="00000000" w:usb3="00000000" w:csb0="00000002" w:csb1="00000000"/>
  </w:font>
  <w:font w:name="Arial Cyr">
    <w:altName w:val="Arial"/>
    <w:panose1 w:val="00000000000000000000"/>
    <w:charset w:val="CC"/>
    <w:family w:val="swiss"/>
    <w:pitch w:val="default"/>
    <w:sig w:usb0="00000000" w:usb1="00000000" w:usb2="00000000" w:usb3="00000000" w:csb0="00000004" w:csb1="00000000"/>
  </w:font>
  <w:font w:name="Arial Greek">
    <w:altName w:val="Arial"/>
    <w:panose1 w:val="00000000000000000000"/>
    <w:charset w:val="A1"/>
    <w:family w:val="swiss"/>
    <w:pitch w:val="default"/>
    <w:sig w:usb0="00000000" w:usb1="00000000" w:usb2="00000000" w:usb3="00000000" w:csb0="00000008" w:csb1="00000000"/>
  </w:font>
  <w:font w:name="Arial Tur">
    <w:altName w:val="Arial"/>
    <w:panose1 w:val="00000000000000000000"/>
    <w:charset w:val="A2"/>
    <w:family w:val="swiss"/>
    <w:pitch w:val="default"/>
    <w:sig w:usb0="00000000" w:usb1="00000000" w:usb2="00000000" w:usb3="00000000" w:csb0="00000010" w:csb1="00000000"/>
  </w:font>
  <w:font w:name="Arial (Hebrew)">
    <w:altName w:val="Arial"/>
    <w:panose1 w:val="00000000000000000000"/>
    <w:charset w:val="B1"/>
    <w:family w:val="swiss"/>
    <w:pitch w:val="default"/>
    <w:sig w:usb0="00000000" w:usb1="00000000" w:usb2="00000000" w:usb3="00000000" w:csb0="00000020" w:csb1="00000000"/>
  </w:font>
  <w:font w:name="Arial (Arabic)">
    <w:altName w:val="Arial"/>
    <w:panose1 w:val="00000000000000000000"/>
    <w:charset w:val="B2"/>
    <w:family w:val="swiss"/>
    <w:pitch w:val="default"/>
    <w:sig w:usb0="00000000" w:usb1="00000000" w:usb2="00000000" w:usb3="00000000" w:csb0="00000040" w:csb1="00000000"/>
  </w:font>
  <w:font w:name="Arial Baltic">
    <w:altName w:val="Arial"/>
    <w:panose1 w:val="00000000000000000000"/>
    <w:charset w:val="BA"/>
    <w:family w:val="swiss"/>
    <w:pitch w:val="default"/>
    <w:sig w:usb0="00000000" w:usb1="00000000" w:usb2="00000000" w:usb3="00000000" w:csb0="00000080" w:csb1="00000000"/>
  </w:font>
  <w:font w:name="Arial (Vietnamese)">
    <w:altName w:val="Arial"/>
    <w:panose1 w:val="00000000000000000000"/>
    <w:charset w:val="A3"/>
    <w:family w:val="swiss"/>
    <w:pitch w:val="default"/>
    <w:sig w:usb0="00000000" w:usb1="00000000" w:usb2="00000000" w:usb3="00000000" w:csb0="00000100" w:csb1="00000000"/>
  </w:font>
  <w:font w:name="华文仿宋">
    <w:altName w:val="宋体"/>
    <w:panose1 w:val="02010600040101010101"/>
    <w:charset w:val="86"/>
    <w:family w:val="auto"/>
    <w:pitch w:val="default"/>
    <w:sig w:usb0="00000287" w:usb1="080F0000" w:usb2="00000010" w:usb3="00000000" w:csb0="0004009F" w:csb1="00000000"/>
  </w:font>
  <w:font w:name="华文隶书">
    <w:altName w:val="宋体"/>
    <w:panose1 w:val="02010800040101010101"/>
    <w:charset w:val="86"/>
    <w:family w:val="auto"/>
    <w:pitch w:val="default"/>
    <w:sig w:usb0="00000001" w:usb1="080F0000" w:usb2="00000010" w:usb3="00000000" w:csb0="00040000" w:csb1="00000000"/>
  </w:font>
  <w:font w:name="方正黑体_GBK">
    <w:altName w:val="黑体"/>
    <w:panose1 w:val="03000509000000000000"/>
    <w:charset w:val="86"/>
    <w:family w:val="script"/>
    <w:pitch w:val="default"/>
    <w:sig w:usb0="00000001" w:usb1="080E0000" w:usb2="00000010" w:usb3="00000000" w:csb0="00040000" w:csb1="00000000"/>
  </w:font>
  <w:font w:name="宋体-18030">
    <w:altName w:val="宋体"/>
    <w:panose1 w:val="02010609060101010101"/>
    <w:charset w:val="86"/>
    <w:family w:val="modern"/>
    <w:pitch w:val="default"/>
    <w:sig w:usb0="800022A7" w:usb1="880F3C78" w:usb2="000A005E" w:usb3="00000000" w:csb0="00040001" w:csb1="00000000"/>
  </w:font>
  <w:font w:name="Times">
    <w:altName w:val="Times New Roman"/>
    <w:panose1 w:val="02020603050405020304"/>
    <w:charset w:val="00"/>
    <w:family w:val="roman"/>
    <w:pitch w:val="default"/>
    <w:sig w:usb0="20007A87" w:usb1="80000000" w:usb2="00000008" w:usb3="00000000" w:csb0="000001FF" w:csb1="00000000"/>
  </w:font>
  <w:font w:name="Romantic">
    <w:altName w:val="MT Extra"/>
    <w:panose1 w:val="00000400000000000000"/>
    <w:charset w:val="02"/>
    <w:family w:val="auto"/>
    <w:pitch w:val="default"/>
    <w:sig w:usb0="00000000" w:usb1="10000000" w:usb2="00000000" w:usb3="00000000" w:csb0="80000000" w:csb1="00000000"/>
  </w:font>
  <w:font w:name="华文细黑">
    <w:altName w:val="黑体"/>
    <w:panose1 w:val="02010600040101010101"/>
    <w:charset w:val="86"/>
    <w:family w:val="auto"/>
    <w:pitch w:val="default"/>
    <w:sig w:usb0="00000287" w:usb1="080F0000" w:usb2="00000010" w:usb3="00000000" w:csb0="0004009F" w:csb1="00000000"/>
  </w:font>
  <w:font w:name="Albertus Extra Bold">
    <w:altName w:val="Candara"/>
    <w:panose1 w:val="020E0802040304020204"/>
    <w:charset w:val="00"/>
    <w:family w:val="swiss"/>
    <w:pitch w:val="default"/>
    <w:sig w:usb0="00000007" w:usb1="00000000" w:usb2="00000000" w:usb3="00000000" w:csb0="00000093" w:csb1="00000000"/>
  </w:font>
  <w:font w:name="MT Extra">
    <w:panose1 w:val="05050102010205020202"/>
    <w:charset w:val="02"/>
    <w:family w:val="auto"/>
    <w:pitch w:val="default"/>
    <w:sig w:usb0="80000000" w:usb1="00000000" w:usb2="00000000" w:usb3="00000000" w:csb0="80000000" w:csb1="00000000"/>
  </w:font>
  <w:font w:name="Candara">
    <w:panose1 w:val="020E0502030303020204"/>
    <w:charset w:val="00"/>
    <w:family w:val="auto"/>
    <w:pitch w:val="default"/>
    <w:sig w:usb0="A00002EF" w:usb1="4000204B" w:usb2="00000000" w:usb3="00000000" w:csb0="2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CharCharChar"/>
    <w:uiPriority w:val="9"/>
    <w:qFormat/>
    <w:pPr>
      <w:keepNext/>
      <w:keepLines/>
      <w:spacing w:before="340" w:beforeLines="0" w:after="330" w:afterLines="0" w:line="576" w:lineRule="auto"/>
      <w:outlineLvl w:val="0"/>
    </w:pPr>
    <w:rPr>
      <w:rFonts w:eastAsia="宋体"/>
      <w:b/>
      <w:bCs/>
      <w:kern w:val="44"/>
      <w:sz w:val="28"/>
      <w:szCs w:val="44"/>
      <w:lang w:val="en-US" w:eastAsia="zh-CN" w:bidi="ar-SA"/>
    </w:rPr>
  </w:style>
  <w:style w:type="paragraph" w:styleId="Heading2">
    <w:name w:val="heading 2"/>
    <w:basedOn w:val="Normal"/>
    <w:next w:val="Normal"/>
    <w:uiPriority w:val="9"/>
    <w:qFormat/>
    <w:pPr>
      <w:keepNext/>
      <w:keepLines/>
      <w:spacing w:before="260" w:beforeLines="0" w:after="260" w:afterLines="0" w:line="413" w:lineRule="auto"/>
      <w:outlineLvl w:val="1"/>
    </w:pPr>
    <w:rPr>
      <w:rFonts w:ascii="Arial" w:hAnsi="Arial"/>
      <w:bCs/>
      <w:sz w:val="28"/>
      <w:szCs w:val="32"/>
    </w:rPr>
  </w:style>
  <w:style w:type="paragraph" w:styleId="Heading3">
    <w:name w:val="heading 3"/>
    <w:basedOn w:val="Normal"/>
    <w:next w:val="Normal"/>
    <w:uiPriority w:val="9"/>
    <w:qFormat/>
    <w:pPr>
      <w:keepNext/>
      <w:keepLines/>
      <w:spacing w:before="260" w:beforeLines="0" w:after="260" w:afterLines="0" w:line="413" w:lineRule="auto"/>
      <w:outlineLvl w:val="2"/>
    </w:pPr>
    <w:rPr>
      <w:b/>
      <w:bCs/>
      <w:sz w:val="28"/>
      <w:szCs w:val="32"/>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styleId="PageNumber">
    <w:name w:val="page number"/>
    <w:basedOn w:val="DefaultParagraphFont"/>
  </w:style>
  <w:style w:type="character" w:styleId="Hyperlink">
    <w:name w:val="Hyperlink"/>
    <w:basedOn w:val="DefaultParagraphFont"/>
    <w:rPr>
      <w:color w:val="0000FF"/>
      <w:u w:val="single"/>
    </w:rPr>
  </w:style>
  <w:style w:type="character" w:customStyle="1" w:styleId="CharChar">
    <w:name w:val="正文文本 Char Char"/>
    <w:link w:val="BodyText"/>
    <w:rPr>
      <w:rFonts w:eastAsia="宋体"/>
      <w:kern w:val="2"/>
      <w:sz w:val="21"/>
      <w:szCs w:val="24"/>
      <w:lang w:val="en-US" w:eastAsia="zh-CN" w:bidi="ar-SA"/>
    </w:rPr>
  </w:style>
  <w:style w:type="character" w:customStyle="1" w:styleId="CharCharChar">
    <w:name w:val=" Char Char Char"/>
    <w:basedOn w:val="DefaultParagraphFont"/>
    <w:link w:val="Heading1"/>
    <w:rPr>
      <w:rFonts w:eastAsia="宋体"/>
      <w:b/>
      <w:bCs/>
      <w:kern w:val="44"/>
      <w:sz w:val="28"/>
      <w:szCs w:val="44"/>
      <w:lang w:val="en-US" w:eastAsia="zh-CN" w:bidi="ar-SA"/>
    </w:rPr>
  </w:style>
  <w:style w:type="character" w:customStyle="1" w:styleId="4CharChar">
    <w:name w:val="样式4 Char Char"/>
    <w:basedOn w:val="DefaultParagraphFont"/>
    <w:link w:val="4"/>
    <w:rPr>
      <w:rFonts w:ascii="黑体" w:eastAsia="仿宋_GB2312"/>
      <w:b/>
      <w:kern w:val="2"/>
      <w:sz w:val="28"/>
      <w:lang w:val="en-US" w:eastAsia="zh-CN" w:bidi="ar-SA"/>
    </w:rPr>
  </w:style>
  <w:style w:type="paragraph" w:customStyle="1" w:styleId="CharCharChar0">
    <w:name w:val="Char Char Char"/>
    <w:basedOn w:val="DocumentMap"/>
    <w:pPr>
      <w:adjustRightInd w:val="0"/>
      <w:spacing w:line="436" w:lineRule="exact"/>
      <w:ind w:left="357"/>
      <w:jc w:val="left"/>
      <w:outlineLvl w:val="3"/>
    </w:pPr>
    <w:rPr>
      <w:rFonts w:ascii="Tahoma" w:hAnsi="Tahoma"/>
      <w:b/>
      <w:sz w:val="32"/>
      <w:szCs w:val="32"/>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DocumentMap">
    <w:name w:val="Document Map"/>
    <w:basedOn w:val="Normal"/>
    <w:pPr>
      <w:shd w:val="clear" w:color="auto" w:fill="000080"/>
    </w:pPr>
  </w:style>
  <w:style w:type="paragraph" w:styleId="TOC2">
    <w:name w:val="toc 2"/>
    <w:basedOn w:val="Normal"/>
    <w:next w:val="Normal"/>
    <w:uiPriority w:val="39"/>
    <w:pPr>
      <w:tabs>
        <w:tab w:val="right" w:leader="dot" w:pos="8777"/>
      </w:tabs>
      <w:spacing w:line="500" w:lineRule="exact"/>
      <w:ind w:leftChars="200"/>
    </w:pPr>
  </w:style>
  <w:style w:type="paragraph" w:styleId="TOC1">
    <w:name w:val="toc 1"/>
    <w:basedOn w:val="Normal"/>
    <w:next w:val="Normal"/>
    <w:uiPriority w:val="39"/>
  </w:style>
  <w:style w:type="paragraph" w:styleId="TOC3">
    <w:name w:val="toc 3"/>
    <w:basedOn w:val="Normal"/>
    <w:next w:val="Normal"/>
    <w:uiPriority w:val="39"/>
    <w:pPr>
      <w:ind w:left="840" w:leftChars="400"/>
    </w:pPr>
  </w:style>
  <w:style w:type="paragraph" w:styleId="NormalWeb">
    <w:name w:val="Normal (Web)"/>
    <w:basedOn w:val="Normal"/>
    <w:pPr>
      <w:widowControl/>
      <w:spacing w:before="100" w:beforeLines="0" w:beforeAutospacing="1" w:after="100" w:afterLines="0" w:afterAutospacing="1"/>
      <w:jc w:val="left"/>
    </w:pPr>
    <w:rPr>
      <w:rFonts w:ascii="宋体" w:hAnsi="宋体" w:cs="宋体"/>
      <w:kern w:val="0"/>
      <w:sz w:val="24"/>
    </w:rPr>
  </w:style>
  <w:style w:type="paragraph" w:styleId="Footer">
    <w:name w:val="footer"/>
    <w:basedOn w:val="Normal"/>
    <w:pPr>
      <w:tabs>
        <w:tab w:val="center" w:pos="4153"/>
        <w:tab w:val="right" w:pos="8306"/>
      </w:tabs>
      <w:snapToGrid w:val="0"/>
      <w:jc w:val="left"/>
    </w:pPr>
    <w:rPr>
      <w:sz w:val="18"/>
      <w:szCs w:val="18"/>
    </w:rPr>
  </w:style>
  <w:style w:type="paragraph" w:styleId="BalloonText">
    <w:name w:val="Balloon Text"/>
    <w:basedOn w:val="Normal"/>
    <w:rPr>
      <w:sz w:val="18"/>
      <w:szCs w:val="18"/>
    </w:rPr>
  </w:style>
  <w:style w:type="paragraph" w:styleId="BodyText">
    <w:name w:val="Body Text"/>
    <w:basedOn w:val="Normal"/>
    <w:link w:val="CharChar"/>
    <w:pPr>
      <w:spacing w:after="120" w:afterLines="0"/>
    </w:pPr>
    <w:rPr>
      <w:rFonts w:eastAsia="宋体"/>
      <w:kern w:val="2"/>
      <w:sz w:val="21"/>
      <w:szCs w:val="24"/>
      <w:lang w:val="en-US" w:eastAsia="zh-CN" w:bidi="ar-SA"/>
    </w:rPr>
  </w:style>
  <w:style w:type="paragraph" w:customStyle="1" w:styleId="CharCharCharChar">
    <w:name w:val=" Char Char Char Char"/>
    <w:basedOn w:val="Normal"/>
    <w:next w:val="Normal"/>
    <w:rPr>
      <w:sz w:val="28"/>
    </w:rPr>
  </w:style>
  <w:style w:type="paragraph" w:customStyle="1" w:styleId="Char">
    <w:name w:val=" Char"/>
    <w:basedOn w:val="DocumentMap"/>
    <w:pPr>
      <w:adjustRightInd w:val="0"/>
      <w:spacing w:line="436" w:lineRule="exact"/>
      <w:ind w:left="357"/>
      <w:jc w:val="left"/>
      <w:outlineLvl w:val="3"/>
    </w:pPr>
    <w:rPr>
      <w:szCs w:val="20"/>
    </w:rPr>
  </w:style>
  <w:style w:type="paragraph" w:customStyle="1" w:styleId="20505">
    <w:name w:val="样式 样式 样式 样式 样式 样式 标书正文 + 宋体 首行缩进:  2 字符 段前: 0.5 行 段后: 0.5 行 行距: ..."/>
    <w:basedOn w:val="Normal"/>
    <w:pPr>
      <w:widowControl w:val="0"/>
      <w:spacing w:before="93" w:beforeLines="30" w:beforeAutospacing="0"/>
      <w:ind w:firstLine="200" w:firstLineChars="200"/>
      <w:jc w:val="both"/>
    </w:pPr>
    <w:rPr>
      <w:rFonts w:ascii="宋体" w:hAnsi="宋体"/>
      <w:kern w:val="2"/>
    </w:rPr>
  </w:style>
  <w:style w:type="paragraph" w:customStyle="1" w:styleId="4">
    <w:name w:val="样式4"/>
    <w:basedOn w:val="Normal"/>
    <w:link w:val="4CharChar"/>
    <w:pPr>
      <w:spacing w:line="440" w:lineRule="exact"/>
      <w:ind w:firstLine="200" w:firstLineChars="200"/>
    </w:pPr>
    <w:rPr>
      <w:rFonts w:ascii="黑体" w:eastAsia="仿宋_GB2312"/>
      <w:b/>
      <w:kern w:val="2"/>
      <w:sz w:val="28"/>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d.book118.com/248140122004006042" TargetMode="External" /><Relationship Id="rId6" Type="http://schemas.openxmlformats.org/officeDocument/2006/relationships/theme" Target="theme/theme1.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1639</Words>
  <Characters>9346</Characters>
  <Application>Microsoft Office Word</Application>
  <DocSecurity>0</DocSecurity>
  <Lines>77</Lines>
  <Paragraphs>21</Paragraphs>
  <ScaleCrop>false</ScaleCrop>
  <Company/>
  <LinksUpToDate>false</LinksUpToDate>
  <CharactersWithSpaces>10964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creator>lenovo</dc:creator>
  <cp:lastModifiedBy>微软用户</cp:lastModifiedBy>
  <cp:revision>150</cp:revision>
  <cp:lastPrinted>2011-10-23T10:01:00Z</cp:lastPrinted>
  <dcterms:created xsi:type="dcterms:W3CDTF">2013-03-10T06:20:00Z</dcterms:created>
  <dcterms:modified xsi:type="dcterms:W3CDTF">2013-03-26T13:28:43Z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2052-8.1.0.3526</vt:lpwstr>
  </property>
</Properties>
</file>