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497" w:right="16" w:hanging="238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鼠</w:t>
      </w:r>
      <w:r>
        <w:rPr>
          <w:rFonts w:ascii="SimSun" w:eastAsia="SimSun" w:hAnsi="SimSun" w:cs="SimSun"/>
          <w:spacing w:val="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抗人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T</w:t>
      </w:r>
      <w:r>
        <w:rPr>
          <w:rFonts w:ascii="SimSun" w:eastAsia="SimSun" w:hAnsi="SimSun" w:cs="SimSun"/>
          <w:spacing w:val="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淋巴细胞单克隆抗体项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2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87210744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、鼠抗人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T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淋巴细胞单克隆抗体项目可行性研究报告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、鼠抗人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T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淋巴细胞单克隆抗体项目建设背景及必要性分析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二)、鼠抗人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T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淋巴细胞单克隆抗体项目总平面设计要求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三)、鼠抗人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T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淋巴细胞单克隆抗体项目对环境的主要影响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6310539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)、鼠抗人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T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淋巴细胞单克隆抗体项目实施保障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19756311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一、团队建设与领导力发展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一)、高效团队建设原则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20" w:right="95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旨在规范和指导鼠抗人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T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淋</w:t>
      </w:r>
      <w:r>
        <w:rPr>
          <w:rFonts w:ascii="FangSong" w:eastAsia="FangSong" w:hAnsi="FangSong" w:cs="FangSong"/>
          <w:spacing w:val="-5"/>
          <w:sz w:val="28"/>
          <w:szCs w:val="28"/>
        </w:rPr>
        <w:t>巴</w:t>
      </w:r>
      <w:r>
        <w:rPr>
          <w:rFonts w:ascii="FangSong" w:eastAsia="FangSong" w:hAnsi="FangSong" w:cs="FangSong"/>
          <w:spacing w:val="-3"/>
          <w:sz w:val="28"/>
          <w:szCs w:val="28"/>
        </w:rPr>
        <w:t>细胞单克隆抗体项目的实施过程。本方案的开展将包括鼠抗人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T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淋</w:t>
      </w:r>
      <w:r>
        <w:rPr>
          <w:rFonts w:ascii="FangSong" w:eastAsia="FangSong" w:hAnsi="FangSong" w:cs="FangSong"/>
          <w:spacing w:val="-5"/>
          <w:sz w:val="28"/>
          <w:szCs w:val="28"/>
        </w:rPr>
        <w:t>巴</w:t>
      </w:r>
      <w:r>
        <w:rPr>
          <w:rFonts w:ascii="FangSong" w:eastAsia="FangSong" w:hAnsi="FangSong" w:cs="FangSong"/>
          <w:spacing w:val="-3"/>
          <w:sz w:val="28"/>
          <w:szCs w:val="28"/>
        </w:rPr>
        <w:t>细胞单克隆抗体项目的目的和背景、需求分析、项目范围、时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间计划</w:t>
      </w:r>
      <w:r>
        <w:rPr>
          <w:rFonts w:ascii="FangSong" w:eastAsia="FangSong" w:hAnsi="FangSong" w:cs="FangSong"/>
          <w:spacing w:val="-5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资源分配等重要内容。此方案的编写旨在促进知识和经验的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为相关人员提供一个共同认知的平台。请注意，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</w:t>
      </w:r>
      <w:r>
        <w:rPr>
          <w:rFonts w:ascii="FangSong" w:eastAsia="FangSong" w:hAnsi="FangSong" w:cs="FangSong"/>
          <w:spacing w:val="-9"/>
          <w:sz w:val="28"/>
          <w:szCs w:val="28"/>
        </w:rPr>
        <w:t>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为商业用途，只用作学习交流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4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0" w:line="414" w:lineRule="auto"/>
        <w:ind w:left="32" w:right="102" w:firstLine="2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2" w:line="416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5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29" w:right="14" w:firstLine="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</w:t>
      </w:r>
      <w:r>
        <w:rPr>
          <w:rFonts w:ascii="FangSong" w:eastAsia="FangSong" w:hAnsi="FangSong" w:cs="FangSong"/>
          <w:spacing w:val="-12"/>
          <w:sz w:val="28"/>
          <w:szCs w:val="28"/>
        </w:rPr>
        <w:t>制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3" w:right="160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9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90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ectPr>
          <w:footerReference w:type="default" r:id="rId4"/>
          <w:pgSz w:w="11906" w:h="16839"/>
          <w:pgMar w:top="1431" w:right="1603" w:bottom="2223" w:left="1785" w:header="0" w:footer="1888" w:gutter="0"/>
          <w:pgNumType w:start="10"/>
          <w:cols w:space="708"/>
        </w:sectPr>
      </w:pPr>
    </w:p>
    <w:p>
      <w:pPr>
        <w:spacing w:before="185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3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</w:p>
    <w:p>
      <w:pPr>
        <w:sectPr>
          <w:footerReference w:type="default" r:id="rId5"/>
          <w:pgSz w:w="11906" w:h="16839"/>
          <w:pgMar w:top="1431" w:right="1785" w:bottom="400" w:left="1785" w:header="0" w:footer="0" w:gutter="0"/>
          <w:pgNumType w:start="11"/>
          <w:cols w:space="708"/>
        </w:sectPr>
      </w:pPr>
    </w:p>
    <w:p>
      <w:pPr>
        <w:spacing w:before="183" w:line="223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9"/>
          <w:sz w:val="28"/>
          <w:szCs w:val="28"/>
        </w:rPr>
        <w:t>的进一步完善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before="287" w:line="411" w:lineRule="auto"/>
        <w:ind w:left="34" w:right="56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鼠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抗人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T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淋巴细胞单克隆抗体项目可行性研究报告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在</w:t>
      </w:r>
      <w:r>
        <w:rPr>
          <w:rFonts w:ascii="FangSong" w:eastAsia="FangSong" w:hAnsi="FangSong" w:cs="FangSong"/>
          <w:spacing w:val="-23"/>
          <w:sz w:val="28"/>
          <w:szCs w:val="28"/>
        </w:rPr>
        <w:t>鼠</w:t>
      </w:r>
      <w:r>
        <w:rPr>
          <w:rFonts w:ascii="FangSong" w:eastAsia="FangSong" w:hAnsi="FangSong" w:cs="FangSong"/>
          <w:spacing w:val="-12"/>
          <w:sz w:val="28"/>
          <w:szCs w:val="28"/>
        </w:rPr>
        <w:t>抗人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淋巴细胞单克隆抗体行业，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我们的产品规划旨在为客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户提供卓</w:t>
      </w:r>
      <w:r>
        <w:rPr>
          <w:rFonts w:ascii="FangSong" w:eastAsia="FangSong" w:hAnsi="FangSong" w:cs="FangSong"/>
          <w:spacing w:val="-3"/>
          <w:sz w:val="28"/>
          <w:szCs w:val="28"/>
        </w:rPr>
        <w:t>越的体验和实用性，突显以下核心价值：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9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</w:p>
    <w:p>
      <w:pPr>
        <w:sectPr>
          <w:footerReference w:type="default" r:id="rId6"/>
          <w:pgSz w:w="11906" w:h="16839"/>
          <w:pgMar w:top="1431" w:right="1743" w:bottom="400" w:left="1785" w:header="0" w:footer="0" w:gutter="0"/>
          <w:pgNumType w:start="12"/>
          <w:cols w:space="708"/>
        </w:sectPr>
      </w:pPr>
    </w:p>
    <w:p>
      <w:pPr>
        <w:spacing w:before="182" w:line="355" w:lineRule="auto"/>
        <w:ind w:left="37" w:right="82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line="416" w:lineRule="auto"/>
        <w:ind w:left="34" w:right="2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上</w:t>
      </w:r>
      <w:r>
        <w:rPr>
          <w:rFonts w:ascii="FangSong" w:eastAsia="FangSong" w:hAnsi="FangSong" w:cs="FangSong"/>
          <w:spacing w:val="-6"/>
          <w:sz w:val="28"/>
          <w:szCs w:val="28"/>
        </w:rPr>
        <w:t>脱颖而出，成为消费者首选的鼠抗人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T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淋巴细胞单克隆抗体产品。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9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鼠抗人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淋巴细胞单克隆抗体项目总投资</w:t>
      </w:r>
    </w:p>
    <w:p>
      <w:pPr>
        <w:spacing w:before="290" w:line="411" w:lineRule="auto"/>
        <w:ind w:left="38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我们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建设规模旨在实现一个全面、可持续的鼠抗人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淋巴细胞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单</w:t>
      </w:r>
      <w:r>
        <w:rPr>
          <w:rFonts w:ascii="FangSong" w:eastAsia="FangSong" w:hAnsi="FangSong" w:cs="FangSong"/>
          <w:spacing w:val="-8"/>
          <w:sz w:val="28"/>
          <w:szCs w:val="28"/>
        </w:rPr>
        <w:t>克隆抗体项目。鼠抗人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淋巴细胞单克隆抗体项目总投资将主要用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于</w:t>
      </w:r>
      <w:r>
        <w:rPr>
          <w:rFonts w:ascii="FangSong" w:eastAsia="FangSong" w:hAnsi="FangSong" w:cs="FangSong"/>
          <w:spacing w:val="-9"/>
          <w:sz w:val="28"/>
          <w:szCs w:val="28"/>
        </w:rPr>
        <w:t>以下几个方面：</w:t>
      </w:r>
    </w:p>
    <w:p>
      <w:pPr>
        <w:spacing w:before="2" w:line="411" w:lineRule="auto"/>
        <w:ind w:left="32" w:right="8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抗人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淋巴细胞单克隆抗体项目的顺利进行。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技</w:t>
      </w:r>
      <w:r>
        <w:rPr>
          <w:rFonts w:ascii="FangSong" w:eastAsia="FangSong" w:hAnsi="FangSong" w:cs="FangSong"/>
          <w:spacing w:val="-12"/>
          <w:sz w:val="28"/>
          <w:szCs w:val="28"/>
        </w:rPr>
        <w:t>术研发：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一部分资金将用于技术研发，以确保鼠抗人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淋巴</w:t>
      </w:r>
    </w:p>
    <w:p>
      <w:pPr>
        <w:sectPr>
          <w:footerReference w:type="default" r:id="rId7"/>
          <w:pgSz w:w="11906" w:h="16839"/>
          <w:pgMar w:top="1431" w:right="1718" w:bottom="400" w:left="1785" w:header="0" w:footer="0" w:gutter="0"/>
          <w:pgNumType w:start="13"/>
          <w:cols w:space="708"/>
        </w:sectPr>
      </w:pPr>
    </w:p>
    <w:p>
      <w:pPr>
        <w:spacing w:before="182" w:line="221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细胞单克</w:t>
      </w:r>
      <w:r>
        <w:rPr>
          <w:rFonts w:ascii="FangSong" w:eastAsia="FangSong" w:hAnsi="FangSong" w:cs="FangSong"/>
          <w:spacing w:val="-3"/>
          <w:sz w:val="28"/>
          <w:szCs w:val="28"/>
        </w:rPr>
        <w:t>隆</w:t>
      </w:r>
      <w:r>
        <w:rPr>
          <w:rFonts w:ascii="FangSong" w:eastAsia="FangSong" w:hAnsi="FangSong" w:cs="FangSong"/>
          <w:spacing w:val="-2"/>
          <w:sz w:val="28"/>
          <w:szCs w:val="28"/>
        </w:rPr>
        <w:t>抗体项目引领行业发展潮流，保持技术创新。</w:t>
      </w:r>
    </w:p>
    <w:p>
      <w:pPr>
        <w:spacing w:before="288" w:line="222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pacing w:before="287" w:line="223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5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鼠抗人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T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淋巴细胞单克隆抗体项目规模与产能</w:t>
      </w:r>
    </w:p>
    <w:p>
      <w:pPr>
        <w:spacing w:before="290" w:line="339" w:lineRule="auto"/>
        <w:ind w:left="49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我们计划在鼠抗人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T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淋巴细胞单克隆抗体项目建设后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</w:t>
      </w:r>
      <w:r>
        <w:rPr>
          <w:rFonts w:ascii="FangSong" w:eastAsia="FangSong" w:hAnsi="FangSong" w:cs="FangSong"/>
          <w:spacing w:val="-20"/>
          <w:sz w:val="28"/>
          <w:szCs w:val="28"/>
        </w:rPr>
        <w:t>第</w:t>
      </w:r>
      <w:r>
        <w:rPr>
          <w:rFonts w:ascii="FangSong" w:eastAsia="FangSong" w:hAnsi="FangSong" w:cs="FangSong"/>
          <w:spacing w:val="-12"/>
          <w:sz w:val="28"/>
          <w:szCs w:val="28"/>
        </w:rPr>
        <w:t>一年实现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的年产量。通过逐步提升产能，我们将在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的年产量水平</w:t>
      </w:r>
      <w:r>
        <w:rPr>
          <w:rFonts w:ascii="FangSong" w:eastAsia="FangSong" w:hAnsi="FangSong" w:cs="FangSong"/>
          <w:spacing w:val="-20"/>
          <w:sz w:val="28"/>
          <w:szCs w:val="28"/>
        </w:rPr>
        <w:t>。</w:t>
      </w:r>
    </w:p>
    <w:p>
      <w:pPr>
        <w:spacing w:before="6" w:line="380" w:lineRule="auto"/>
        <w:ind w:left="38" w:right="5" w:firstLine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鼠</w:t>
      </w:r>
      <w:r>
        <w:rPr>
          <w:rFonts w:ascii="FangSong" w:eastAsia="FangSong" w:hAnsi="FangSong" w:cs="FangSong"/>
          <w:spacing w:val="-17"/>
          <w:sz w:val="28"/>
          <w:szCs w:val="28"/>
        </w:rPr>
        <w:t>抗人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T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淋巴细胞单克隆抗体项目规模：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鼠抗人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T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淋巴细胞单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克</w:t>
      </w:r>
      <w:r>
        <w:rPr>
          <w:rFonts w:ascii="FangSong" w:eastAsia="FangSong" w:hAnsi="FangSong" w:cs="FangSong"/>
          <w:spacing w:val="-14"/>
          <w:sz w:val="28"/>
          <w:szCs w:val="28"/>
        </w:rPr>
        <w:t>隆抗体项目将建设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，包括生产厂房、办公区域、仓储设施等。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这将确保鼠抗人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T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淋巴细胞单克隆抗体项目能</w:t>
      </w:r>
      <w:r>
        <w:rPr>
          <w:rFonts w:ascii="FangSong" w:eastAsia="FangSong" w:hAnsi="FangSong" w:cs="FangSong"/>
          <w:sz w:val="28"/>
          <w:szCs w:val="28"/>
        </w:rPr>
        <w:t>够满足预期的产能需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求，</w:t>
      </w:r>
      <w:r>
        <w:rPr>
          <w:rFonts w:ascii="FangSong" w:eastAsia="FangSong" w:hAnsi="FangSong" w:cs="FangSong"/>
          <w:spacing w:val="-4"/>
          <w:sz w:val="28"/>
          <w:szCs w:val="28"/>
        </w:rPr>
        <w:t>并</w:t>
      </w:r>
      <w:r>
        <w:rPr>
          <w:rFonts w:ascii="FangSong" w:eastAsia="FangSong" w:hAnsi="FangSong" w:cs="FangSong"/>
          <w:spacing w:val="-3"/>
          <w:sz w:val="28"/>
          <w:szCs w:val="28"/>
        </w:rPr>
        <w:t>为未来的扩展提供充足的空间。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7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right="5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1" w:line="411" w:lineRule="auto"/>
        <w:ind w:left="43" w:right="25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包</w:t>
      </w:r>
      <w:r>
        <w:rPr>
          <w:rFonts w:ascii="FangSong" w:eastAsia="FangSong" w:hAnsi="FangSong" w:cs="FangSong"/>
          <w:spacing w:val="-12"/>
          <w:sz w:val="28"/>
          <w:szCs w:val="28"/>
        </w:rPr>
        <w:t>括废水处理、废气处理等，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以确保鼠抗人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淋巴细胞单克隆抗体项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的环保性。</w:t>
      </w:r>
    </w:p>
    <w:p>
      <w:pPr>
        <w:spacing w:before="1" w:line="221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</w:t>
      </w:r>
      <w:r>
        <w:rPr>
          <w:rFonts w:ascii="FangSong" w:eastAsia="FangSong" w:hAnsi="FangSong" w:cs="FangSong"/>
          <w:spacing w:val="-13"/>
          <w:sz w:val="28"/>
          <w:szCs w:val="28"/>
        </w:rPr>
        <w:t>洁</w:t>
      </w:r>
      <w:r>
        <w:rPr>
          <w:rFonts w:ascii="FangSong" w:eastAsia="FangSong" w:hAnsi="FangSong" w:cs="FangSong"/>
          <w:spacing w:val="-7"/>
          <w:sz w:val="28"/>
          <w:szCs w:val="28"/>
        </w:rPr>
        <w:t>能源：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</w:p>
    <w:p>
      <w:pPr>
        <w:sectPr>
          <w:footerReference w:type="default" r:id="rId8"/>
          <w:pgSz w:w="11906" w:h="16839"/>
          <w:pgMar w:top="1431" w:right="1692" w:bottom="400" w:left="1785" w:header="0" w:footer="0" w:gutter="0"/>
          <w:pgNumType w:start="14"/>
          <w:cols w:space="708"/>
        </w:sectPr>
      </w:pPr>
    </w:p>
    <w:p>
      <w:pPr>
        <w:spacing w:before="182" w:line="221" w:lineRule="auto"/>
        <w:ind w:left="61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288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5.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鼠抗人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T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淋巴细胞单克隆抗体项目总投资与用地规模</w:t>
      </w:r>
    </w:p>
    <w:p>
      <w:pPr>
        <w:spacing w:before="292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该鼠抗人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T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淋巴细胞单克隆抗体项目总征地面积为XXXX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亩)。鼠抗人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淋巴细胞单克隆抗体项目规划的总建筑面积为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方</w:t>
      </w:r>
      <w:r>
        <w:rPr>
          <w:rFonts w:ascii="FangSong" w:eastAsia="FangSong" w:hAnsi="FangSong" w:cs="FangSong"/>
          <w:spacing w:val="-14"/>
          <w:sz w:val="28"/>
          <w:szCs w:val="28"/>
        </w:rPr>
        <w:t>米，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计容建筑面积XXXX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平方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米</w:t>
      </w:r>
      <w:r>
        <w:rPr>
          <w:rFonts w:ascii="FangSong" w:eastAsia="FangSong" w:hAnsi="FangSong" w:cs="FangSong"/>
          <w:spacing w:val="-10"/>
          <w:sz w:val="28"/>
          <w:szCs w:val="28"/>
        </w:rPr>
        <w:t>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31" w:firstLine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鼠</w:t>
      </w:r>
      <w:r>
        <w:rPr>
          <w:rFonts w:ascii="FangSong" w:eastAsia="FangSong" w:hAnsi="FangSong" w:cs="FangSong"/>
          <w:spacing w:val="-14"/>
          <w:sz w:val="28"/>
          <w:szCs w:val="28"/>
        </w:rPr>
        <w:t>抗人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T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淋巴细胞单克隆抗体项目计划购置设备共计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台(套)，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设备</w:t>
      </w:r>
      <w:r>
        <w:rPr>
          <w:rFonts w:ascii="FangSong" w:eastAsia="FangSong" w:hAnsi="FangSong" w:cs="FangSong"/>
          <w:spacing w:val="-7"/>
          <w:sz w:val="28"/>
          <w:szCs w:val="28"/>
        </w:rPr>
        <w:t>购置费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万元。这些设备将在鼠抗人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淋巴细胞单克隆抗体项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目运营</w:t>
      </w:r>
      <w:r>
        <w:rPr>
          <w:rFonts w:ascii="FangSong" w:eastAsia="FangSong" w:hAnsi="FangSong" w:cs="FangSong"/>
          <w:spacing w:val="-3"/>
          <w:sz w:val="28"/>
          <w:szCs w:val="28"/>
        </w:rPr>
        <w:t>中</w:t>
      </w:r>
      <w:r>
        <w:rPr>
          <w:rFonts w:ascii="FangSong" w:eastAsia="FangSong" w:hAnsi="FangSong" w:cs="FangSong"/>
          <w:spacing w:val="-2"/>
          <w:sz w:val="28"/>
          <w:szCs w:val="28"/>
        </w:rPr>
        <w:t>发挥关键作用，提高生产效率和产品质量。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90" w:line="411" w:lineRule="auto"/>
        <w:ind w:left="31" w:right="82" w:firstLine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鼠抗人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淋</w:t>
      </w:r>
      <w:r>
        <w:rPr>
          <w:rFonts w:ascii="FangSong" w:eastAsia="FangSong" w:hAnsi="FangSong" w:cs="FangSong"/>
          <w:spacing w:val="-4"/>
          <w:sz w:val="28"/>
          <w:szCs w:val="28"/>
        </w:rPr>
        <w:t>巴细胞单克隆抗体项目计划总投资XX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括用地费、建筑</w:t>
      </w:r>
      <w:r>
        <w:rPr>
          <w:rFonts w:ascii="FangSong" w:eastAsia="FangSong" w:hAnsi="FangSong" w:cs="FangSong"/>
          <w:spacing w:val="-4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程投资和设备购置费等多个方面的支出。预计年实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现营</w:t>
      </w:r>
      <w:r>
        <w:rPr>
          <w:rFonts w:ascii="FangSong" w:eastAsia="FangSong" w:hAnsi="FangSong" w:cs="FangSong"/>
          <w:spacing w:val="-8"/>
          <w:sz w:val="28"/>
          <w:szCs w:val="28"/>
        </w:rPr>
        <w:t>业</w:t>
      </w:r>
      <w:r>
        <w:rPr>
          <w:rFonts w:ascii="FangSong" w:eastAsia="FangSong" w:hAnsi="FangSong" w:cs="FangSong"/>
          <w:spacing w:val="-7"/>
          <w:sz w:val="28"/>
          <w:szCs w:val="28"/>
        </w:rPr>
        <w:t>收入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万元，这将为鼠抗人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淋巴细胞单克隆抗体项目未来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的发展提供可观的经济回报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footerReference w:type="default" r:id="rId9"/>
          <w:pgSz w:w="11906" w:h="16839"/>
          <w:pgMar w:top="1431" w:right="1718" w:bottom="400" w:left="1785" w:header="0" w:footer="0" w:gutter="0"/>
          <w:pgNumType w:start="15"/>
          <w:cols w:space="708"/>
        </w:sectPr>
      </w:pPr>
    </w:p>
    <w:p>
      <w:pPr>
        <w:spacing w:before="245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三、鼠抗人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T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淋巴细胞单克隆抗体项目建设背景及必要性分析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ectPr>
          <w:footerReference w:type="default" r:id="rId10"/>
          <w:pgSz w:w="11906" w:h="16839"/>
          <w:pgMar w:top="1431" w:right="1697" w:bottom="400" w:left="1785" w:header="0" w:footer="0" w:gutter="0"/>
          <w:pgNumType w:start="16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2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8" w:line="416" w:lineRule="auto"/>
        <w:ind w:left="4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为</w:t>
      </w:r>
      <w:r>
        <w:rPr>
          <w:rFonts w:ascii="FangSong" w:eastAsia="FangSong" w:hAnsi="FangSong" w:cs="FangSong"/>
          <w:spacing w:val="-13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>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</w:p>
    <w:p>
      <w:pPr>
        <w:sectPr>
          <w:footerReference w:type="default" r:id="rId11"/>
          <w:pgSz w:w="11906" w:h="16839"/>
          <w:pgMar w:top="1431" w:right="1697" w:bottom="400" w:left="1785" w:header="0" w:footer="0" w:gutter="0"/>
          <w:pgNumType w:start="17"/>
          <w:cols w:space="708"/>
        </w:sectPr>
      </w:pPr>
    </w:p>
    <w:p>
      <w:pPr>
        <w:spacing w:before="182" w:line="414" w:lineRule="auto"/>
        <w:ind w:left="34" w:right="14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人才培养和科技创新。通过设立研发基地、提供奖学金和实习机会</w:t>
      </w:r>
      <w:r>
        <w:rPr>
          <w:rFonts w:ascii="FangSong" w:eastAsia="FangSong" w:hAnsi="FangSong" w:cs="FangSong"/>
          <w:spacing w:val="-2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7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在</w:t>
      </w:r>
      <w:r>
        <w:rPr>
          <w:rFonts w:ascii="FangSong" w:eastAsia="FangSong" w:hAnsi="FangSong" w:cs="FangSong"/>
          <w:spacing w:val="-23"/>
          <w:sz w:val="28"/>
          <w:szCs w:val="28"/>
        </w:rPr>
        <w:t>鼠</w:t>
      </w:r>
      <w:r>
        <w:rPr>
          <w:rFonts w:ascii="FangSong" w:eastAsia="FangSong" w:hAnsi="FangSong" w:cs="FangSong"/>
          <w:spacing w:val="-12"/>
          <w:sz w:val="28"/>
          <w:szCs w:val="28"/>
        </w:rPr>
        <w:t>抗人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淋巴细胞单克隆抗体项目的建筑工程设计过程中，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们</w:t>
      </w:r>
      <w:r>
        <w:rPr>
          <w:rFonts w:ascii="FangSong" w:eastAsia="FangSong" w:hAnsi="FangSong" w:cs="FangSong"/>
          <w:spacing w:val="-12"/>
          <w:sz w:val="28"/>
          <w:szCs w:val="28"/>
        </w:rPr>
        <w:t>将遵循以下基本设计原则，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以确保鼠抗人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淋巴细胞单克隆抗体项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目的可</w:t>
      </w:r>
      <w:r>
        <w:rPr>
          <w:rFonts w:ascii="FangSong" w:eastAsia="FangSong" w:hAnsi="FangSong" w:cs="FangSong"/>
          <w:spacing w:val="-5"/>
          <w:sz w:val="28"/>
          <w:szCs w:val="28"/>
        </w:rPr>
        <w:t>持</w:t>
      </w:r>
      <w:r>
        <w:rPr>
          <w:rFonts w:ascii="FangSong" w:eastAsia="FangSong" w:hAnsi="FangSong" w:cs="FangSong"/>
          <w:spacing w:val="-4"/>
          <w:sz w:val="28"/>
          <w:szCs w:val="28"/>
        </w:rPr>
        <w:t>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89" w:line="417" w:lineRule="auto"/>
        <w:ind w:left="41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</w:p>
    <w:p>
      <w:pPr>
        <w:sectPr>
          <w:footerReference w:type="default" r:id="rId12"/>
          <w:pgSz w:w="11906" w:h="16839"/>
          <w:pgMar w:top="1431" w:right="1785" w:bottom="400" w:left="1785" w:header="0" w:footer="0" w:gutter="0"/>
          <w:pgNumType w:start="18"/>
          <w:cols w:space="708"/>
        </w:sectPr>
      </w:pPr>
    </w:p>
    <w:p>
      <w:pPr>
        <w:spacing w:before="182" w:line="224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before="284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二)、鼠抗人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T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淋巴细胞单克隆抗体项目总平面设计要求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8" w:right="56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鼠抗人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T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淋</w:t>
      </w:r>
      <w:r>
        <w:rPr>
          <w:rFonts w:ascii="FangSong" w:eastAsia="FangSong" w:hAnsi="FangSong" w:cs="FangSong"/>
          <w:sz w:val="28"/>
          <w:szCs w:val="28"/>
        </w:rPr>
        <w:t>巴细胞单克隆抗体项目总平面设计将充分考虑以下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要求，</w:t>
      </w:r>
      <w:r>
        <w:rPr>
          <w:rFonts w:ascii="FangSong" w:eastAsia="FangSong" w:hAnsi="FangSong" w:cs="FangSong"/>
          <w:spacing w:val="-3"/>
          <w:sz w:val="28"/>
          <w:szCs w:val="28"/>
        </w:rPr>
        <w:t>以确保整体设计满足工程的需要并符合相关规范：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6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ectPr>
          <w:footerReference w:type="default" r:id="rId13"/>
          <w:pgSz w:w="11906" w:h="16839"/>
          <w:pgMar w:top="1431" w:right="1743" w:bottom="40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定，适</w:t>
      </w:r>
      <w:r>
        <w:rPr>
          <w:rFonts w:ascii="FangSong" w:eastAsia="FangSong" w:hAnsi="FangSong" w:cs="FangSong"/>
          <w:spacing w:val="-6"/>
          <w:sz w:val="28"/>
          <w:szCs w:val="28"/>
        </w:rPr>
        <w:t>应鼠抗人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T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淋巴细胞单克隆抗体项目的实际使用需要。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考虑鼠抗人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T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淋巴细胞单克隆抗体项目所处地区的地质条</w:t>
      </w:r>
      <w:r>
        <w:rPr>
          <w:rFonts w:ascii="FangSong" w:eastAsia="FangSong" w:hAnsi="FangSong" w:cs="FangSong"/>
          <w:sz w:val="28"/>
          <w:szCs w:val="28"/>
        </w:rPr>
        <w:t>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确定适当的抗震设防烈度。结构将被设计以保证在地震发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生时</w:t>
      </w:r>
      <w:r>
        <w:rPr>
          <w:rFonts w:ascii="FangSong" w:eastAsia="FangSong" w:hAnsi="FangSong" w:cs="FangSong"/>
          <w:spacing w:val="-3"/>
          <w:sz w:val="28"/>
          <w:szCs w:val="28"/>
        </w:rPr>
        <w:t>能够安全稳定地承受地震作用。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ectPr>
          <w:footerReference w:type="default" r:id="rId14"/>
          <w:pgSz w:w="11906" w:h="16839"/>
          <w:pgMar w:top="1431" w:right="1718" w:bottom="40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1" w:line="414" w:lineRule="auto"/>
        <w:ind w:left="32" w:right="5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合</w:t>
      </w:r>
      <w:r>
        <w:rPr>
          <w:rFonts w:ascii="FangSong" w:eastAsia="FangSong" w:hAnsi="FangSong" w:cs="FangSong"/>
          <w:spacing w:val="-7"/>
          <w:sz w:val="28"/>
          <w:szCs w:val="28"/>
        </w:rPr>
        <w:t>鼠抗人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T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淋巴细胞单克隆抗体项目的实际需求和环境条件，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定土建工程的耐久性和使用寿命。采用合适的材料和工艺，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建筑在</w:t>
      </w:r>
      <w:r>
        <w:rPr>
          <w:rFonts w:ascii="FangSong" w:eastAsia="FangSong" w:hAnsi="FangSong" w:cs="FangSong"/>
          <w:spacing w:val="-2"/>
          <w:sz w:val="28"/>
          <w:szCs w:val="28"/>
        </w:rPr>
        <w:t>长时间内能够保持良好的结构性能和外观状态。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建筑工程的设计总体要求是确保鼠抗人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T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淋巴细胞单克隆抗</w:t>
      </w:r>
      <w:r>
        <w:rPr>
          <w:rFonts w:ascii="FangSong" w:eastAsia="FangSong" w:hAnsi="FangSong" w:cs="FangSong"/>
          <w:sz w:val="28"/>
          <w:szCs w:val="28"/>
        </w:rPr>
        <w:t>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目实现预期功能、安全稳定、符合法规标准，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持续性等方面取得平衡。</w:t>
      </w:r>
      <w:r>
        <w:rPr>
          <w:rFonts w:ascii="FangSong" w:eastAsia="FangSong" w:hAnsi="FangSong" w:cs="FangSong"/>
          <w:spacing w:val="-2"/>
          <w:sz w:val="28"/>
          <w:szCs w:val="28"/>
        </w:rPr>
        <w:t>下面是我们对建筑工程设计的总体要求：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81" w:right="95" w:firstLine="107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确保建筑的功能布局满足鼠抗人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T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淋巴细胞单克隆抗体项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</w:t>
      </w:r>
      <w:r>
        <w:rPr>
          <w:rFonts w:ascii="FangSong" w:eastAsia="FangSong" w:hAnsi="FangSong" w:cs="FangSong"/>
          <w:spacing w:val="-5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求，各功能区域合理分布，形成高效的空间利用。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416" w:lineRule="auto"/>
        <w:ind w:left="1153" w:right="38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采用适</w:t>
      </w:r>
      <w:r>
        <w:rPr>
          <w:rFonts w:ascii="FangSong" w:eastAsia="FangSong" w:hAnsi="FangSong" w:cs="FangSong"/>
          <w:spacing w:val="-2"/>
          <w:sz w:val="28"/>
          <w:szCs w:val="28"/>
        </w:rPr>
        <w:t>当的结构形式和材料，确保建筑整体结构稳定可靠。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根据工程地质条件，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pacing w:val="-11"/>
          <w:sz w:val="28"/>
          <w:szCs w:val="28"/>
        </w:rPr>
        <w:t>筑</w:t>
      </w:r>
    </w:p>
    <w:p>
      <w:pPr>
        <w:sectPr>
          <w:footerReference w:type="default" r:id="rId15"/>
          <w:pgSz w:w="11906" w:h="16839"/>
          <w:pgMar w:top="1431" w:right="1704" w:bottom="40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89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8" w:line="416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ectPr>
          <w:footerReference w:type="default" r:id="rId16"/>
          <w:pgSz w:w="11906" w:h="16839"/>
          <w:pgMar w:top="1431" w:right="1724" w:bottom="40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02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line="415" w:lineRule="auto"/>
        <w:ind w:left="43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能</w:t>
      </w:r>
      <w:r>
        <w:rPr>
          <w:rFonts w:ascii="FangSong" w:eastAsia="FangSong" w:hAnsi="FangSong" w:cs="FangSong"/>
          <w:spacing w:val="-12"/>
          <w:sz w:val="28"/>
          <w:szCs w:val="28"/>
        </w:rPr>
        <w:t>够达到高标准，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满足鼠抗人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淋巴细胞单克隆抗体项目的长期发展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需求。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9" w:right="102" w:firstLine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鼠抗</w:t>
      </w:r>
      <w:r>
        <w:rPr>
          <w:rFonts w:ascii="FangSong" w:eastAsia="FangSong" w:hAnsi="FangSong" w:cs="FangSong"/>
          <w:spacing w:val="-14"/>
          <w:sz w:val="28"/>
          <w:szCs w:val="28"/>
        </w:rPr>
        <w:t>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淋巴细胞单克隆抗体项目规划的总建筑面积为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</w:t>
      </w:r>
      <w:r>
        <w:rPr>
          <w:rFonts w:ascii="FangSong" w:eastAsia="FangSong" w:hAnsi="FangSong" w:cs="FangSong"/>
          <w:spacing w:val="-8"/>
          <w:sz w:val="28"/>
          <w:szCs w:val="28"/>
        </w:rPr>
        <w:t>米，充分考虑到鼠抗人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淋巴细胞单克隆抗体项目的功能布局和需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求，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0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4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11"/>
          <w:sz w:val="28"/>
          <w:szCs w:val="28"/>
        </w:rPr>
        <w:t>鼠抗人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淋巴细胞单克隆抗体项目总投资比例：</w:t>
      </w:r>
    </w:p>
    <w:p>
      <w:pPr>
        <w:spacing w:before="291" w:line="411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建筑工程投资占鼠抗人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T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淋巴细胞单克隆抗体项目总投资的</w:t>
      </w:r>
      <w:r>
        <w:rPr>
          <w:rFonts w:ascii="FangSong" w:eastAsia="FangSong" w:hAnsi="FangSong" w:cs="FangSong"/>
          <w:sz w:val="28"/>
          <w:szCs w:val="28"/>
        </w:rPr>
        <w:t>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例</w:t>
      </w:r>
      <w:r>
        <w:rPr>
          <w:rFonts w:ascii="FangSong" w:eastAsia="FangSong" w:hAnsi="FangSong" w:cs="FangSong"/>
          <w:spacing w:val="-21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XX%，在整体投资结构中占有合理比例，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ectPr>
          <w:footerReference w:type="default" r:id="rId17"/>
          <w:pgSz w:w="11906" w:h="16839"/>
          <w:pgMar w:top="1431" w:right="1697" w:bottom="400" w:left="1785" w:header="0" w:footer="0" w:gutter="0"/>
          <w:pgNumType w:start="23"/>
          <w:cols w:space="708"/>
        </w:sectPr>
      </w:pPr>
    </w:p>
    <w:p>
      <w:pPr>
        <w:spacing w:before="185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满足未来鼠抗人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淋巴细胞单克隆抗体项目运营的需求，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同时避免了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9"/>
          <w:sz w:val="28"/>
          <w:szCs w:val="28"/>
        </w:rPr>
        <w:t>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鼠</w:t>
      </w:r>
      <w:r>
        <w:rPr>
          <w:rFonts w:ascii="FangSong" w:eastAsia="FangSong" w:hAnsi="FangSong" w:cs="FangSong"/>
          <w:spacing w:val="-11"/>
          <w:sz w:val="28"/>
          <w:szCs w:val="28"/>
        </w:rPr>
        <w:t>抗人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T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淋巴细胞单克隆抗体项目整体布局：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注重建筑与周边环境的融合，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使鼠抗人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淋巴细胞单克隆抗体项目更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好地</w:t>
      </w:r>
      <w:r>
        <w:rPr>
          <w:rFonts w:ascii="FangSong" w:eastAsia="FangSong" w:hAnsi="FangSong" w:cs="FangSong"/>
          <w:spacing w:val="-5"/>
          <w:sz w:val="28"/>
          <w:szCs w:val="28"/>
        </w:rPr>
        <w:t>适</w:t>
      </w:r>
      <w:r>
        <w:rPr>
          <w:rFonts w:ascii="FangSong" w:eastAsia="FangSong" w:hAnsi="FangSong" w:cs="FangSong"/>
          <w:spacing w:val="-3"/>
          <w:sz w:val="28"/>
          <w:szCs w:val="28"/>
        </w:rPr>
        <w:t>应当地的自然和人文环境。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88" w:line="414" w:lineRule="auto"/>
        <w:ind w:left="32" w:right="176" w:firstLine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鼠</w:t>
      </w:r>
      <w:r>
        <w:rPr>
          <w:rFonts w:ascii="FangSong" w:eastAsia="FangSong" w:hAnsi="FangSong" w:cs="FangSong"/>
          <w:spacing w:val="-23"/>
          <w:sz w:val="28"/>
          <w:szCs w:val="28"/>
        </w:rPr>
        <w:t>抗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T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淋巴细胞单克隆抗体行业作为一个充满活力的领域，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盖</w:t>
      </w:r>
      <w:r>
        <w:rPr>
          <w:rFonts w:ascii="FangSong" w:eastAsia="FangSong" w:hAnsi="FangSong" w:cs="FangSong"/>
          <w:spacing w:val="-8"/>
          <w:sz w:val="28"/>
          <w:szCs w:val="28"/>
        </w:rPr>
        <w:t>了广泛的产品和服务，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多元化的业务领</w:t>
      </w:r>
      <w:r>
        <w:rPr>
          <w:rFonts w:ascii="FangSong" w:eastAsia="FangSong" w:hAnsi="FangSong" w:cs="FangSong"/>
          <w:spacing w:val="-5"/>
          <w:sz w:val="28"/>
          <w:szCs w:val="28"/>
        </w:rPr>
        <w:t>域</w:t>
      </w:r>
      <w:r>
        <w:rPr>
          <w:rFonts w:ascii="FangSong" w:eastAsia="FangSong" w:hAnsi="FangSong" w:cs="FangSong"/>
          <w:spacing w:val="-3"/>
          <w:sz w:val="28"/>
          <w:szCs w:val="28"/>
        </w:rPr>
        <w:t>使得该行业成为科技进步、市场需求不断演变的前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沿</w:t>
      </w:r>
      <w:r>
        <w:rPr>
          <w:rFonts w:ascii="FangSong" w:eastAsia="FangSong" w:hAnsi="FangSong" w:cs="FangSong"/>
          <w:spacing w:val="-10"/>
          <w:sz w:val="28"/>
          <w:szCs w:val="28"/>
        </w:rPr>
        <w:t>阵地。</w:t>
      </w:r>
    </w:p>
    <w:p>
      <w:pPr>
        <w:sectPr>
          <w:footerReference w:type="default" r:id="rId18"/>
          <w:pgSz w:w="11906" w:h="16839"/>
          <w:pgMar w:top="1431" w:right="1623" w:bottom="40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3" w:line="414" w:lineRule="auto"/>
        <w:ind w:left="31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随</w:t>
      </w:r>
      <w:r>
        <w:rPr>
          <w:rFonts w:ascii="FangSong" w:eastAsia="FangSong" w:hAnsi="FangSong" w:cs="FangSong"/>
          <w:spacing w:val="-13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鼠抗人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T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淋巴细胞单克隆抗体行业在技术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上</w:t>
      </w:r>
      <w:r>
        <w:rPr>
          <w:rFonts w:ascii="FangSong" w:eastAsia="FangSong" w:hAnsi="FangSong" w:cs="FangSong"/>
          <w:spacing w:val="-8"/>
          <w:sz w:val="28"/>
          <w:szCs w:val="28"/>
        </w:rPr>
        <w:t>取得了显著的突破。高新技术的广泛应用，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如人工智能、大数据分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析</w:t>
      </w:r>
      <w:r>
        <w:rPr>
          <w:rFonts w:ascii="FangSong" w:eastAsia="FangSong" w:hAnsi="FangSong" w:cs="FangSong"/>
          <w:spacing w:val="-12"/>
          <w:sz w:val="28"/>
          <w:szCs w:val="28"/>
        </w:rPr>
        <w:t>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还拓展了产品和服务的边界。这种技术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水</w:t>
      </w:r>
      <w:r>
        <w:rPr>
          <w:rFonts w:ascii="FangSong" w:eastAsia="FangSong" w:hAnsi="FangSong" w:cs="FangSong"/>
          <w:spacing w:val="-8"/>
          <w:sz w:val="28"/>
          <w:szCs w:val="28"/>
        </w:rPr>
        <w:t>平的提升为行业带来了更多的发展可能性，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数字化</w:t>
      </w:r>
      <w:r>
        <w:rPr>
          <w:rFonts w:ascii="FangSong" w:eastAsia="FangSong" w:hAnsi="FangSong" w:cs="FangSong"/>
          <w:spacing w:val="-3"/>
          <w:sz w:val="28"/>
          <w:szCs w:val="28"/>
        </w:rPr>
        <w:t>和智能化方向迅速发展。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4" w:lineRule="auto"/>
        <w:ind w:left="3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**</w:t>
      </w:r>
      <w:r>
        <w:rPr>
          <w:rFonts w:ascii="FangSong" w:eastAsia="FangSong" w:hAnsi="FangSong" w:cs="FangSong"/>
          <w:spacing w:val="-9"/>
          <w:sz w:val="28"/>
          <w:szCs w:val="28"/>
        </w:rPr>
        <w:t>鼠</w:t>
      </w:r>
      <w:r>
        <w:rPr>
          <w:rFonts w:ascii="FangSong" w:eastAsia="FangSong" w:hAnsi="FangSong" w:cs="FangSong"/>
          <w:spacing w:val="-6"/>
          <w:sz w:val="28"/>
          <w:szCs w:val="28"/>
        </w:rPr>
        <w:t>抗人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T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淋巴细胞单克隆抗体行业**是一片充满活力的领域，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囊</w:t>
      </w:r>
      <w:r>
        <w:rPr>
          <w:rFonts w:ascii="FangSong" w:eastAsia="FangSong" w:hAnsi="FangSong" w:cs="FangSong"/>
          <w:spacing w:val="-8"/>
          <w:sz w:val="28"/>
          <w:szCs w:val="28"/>
        </w:rPr>
        <w:t>括了广泛的产品和服务。根据最新的统计数据，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该行业在过去几年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持了平稳增长，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为国家经济的健康发展做出了积极贡献。行业内涉</w:t>
      </w:r>
    </w:p>
    <w:p>
      <w:pPr>
        <w:sectPr>
          <w:footerReference w:type="default" r:id="rId19"/>
          <w:pgSz w:w="11906" w:h="16839"/>
          <w:pgMar w:top="1431" w:right="1763" w:bottom="400" w:left="1785" w:header="0" w:footer="0" w:gutter="0"/>
          <w:pgNumType w:start="25"/>
          <w:cols w:space="708"/>
        </w:sectPr>
      </w:pPr>
    </w:p>
    <w:p>
      <w:pPr>
        <w:spacing w:before="182" w:line="222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12"/>
          <w:sz w:val="28"/>
          <w:szCs w:val="28"/>
        </w:rPr>
        <w:t>及</w:t>
      </w:r>
      <w:r>
        <w:rPr>
          <w:rFonts w:ascii="FangSong" w:eastAsia="FangSong" w:hAnsi="FangSong" w:cs="FangSong"/>
          <w:spacing w:val="-6"/>
          <w:sz w:val="28"/>
          <w:szCs w:val="28"/>
        </w:rPr>
        <w:t>的领域包括但不限于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XXX</w:t>
      </w:r>
    </w:p>
    <w:p>
      <w:pPr>
        <w:spacing w:before="287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2" w:right="82" w:firstLine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鼠</w:t>
      </w:r>
      <w:r>
        <w:rPr>
          <w:rFonts w:ascii="FangSong" w:eastAsia="FangSong" w:hAnsi="FangSong" w:cs="FangSong"/>
          <w:spacing w:val="-23"/>
          <w:sz w:val="28"/>
          <w:szCs w:val="28"/>
        </w:rPr>
        <w:t>抗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T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淋巴细胞单克隆抗体行业市场规模庞大，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年复一年的增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长势头不减。这</w:t>
      </w:r>
      <w:r>
        <w:rPr>
          <w:rFonts w:ascii="FangSong" w:eastAsia="FangSong" w:hAnsi="FangSong" w:cs="FangSong"/>
          <w:spacing w:val="-5"/>
          <w:sz w:val="28"/>
          <w:szCs w:val="28"/>
        </w:rPr>
        <w:t>主</w:t>
      </w:r>
      <w:r>
        <w:rPr>
          <w:rFonts w:ascii="FangSong" w:eastAsia="FangSong" w:hAnsi="FangSong" w:cs="FangSong"/>
          <w:spacing w:val="-3"/>
          <w:sz w:val="28"/>
          <w:szCs w:val="28"/>
        </w:rPr>
        <w:t>要受益于消费者对高品质产品和创新服务的不断追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。市场规模的扩大也为新进入者提供了更多的机遇，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加剧了行业内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4" w:lineRule="auto"/>
        <w:ind w:left="3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随</w:t>
      </w:r>
      <w:r>
        <w:rPr>
          <w:rFonts w:ascii="FangSong" w:eastAsia="FangSong" w:hAnsi="FangSong" w:cs="FangSong"/>
          <w:spacing w:val="-13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鼠抗人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T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淋巴细胞单克隆抗体行业在技术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上</w:t>
      </w:r>
      <w:r>
        <w:rPr>
          <w:rFonts w:ascii="FangSong" w:eastAsia="FangSong" w:hAnsi="FangSong" w:cs="FangSong"/>
          <w:spacing w:val="-14"/>
          <w:sz w:val="28"/>
          <w:szCs w:val="28"/>
        </w:rPr>
        <w:t>取得了显著的突破。高新技术的应用，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不</w:t>
      </w:r>
      <w:r>
        <w:rPr>
          <w:rFonts w:ascii="FangSong" w:eastAsia="FangSong" w:hAnsi="FangSong" w:cs="FangSong"/>
          <w:spacing w:val="-12"/>
          <w:sz w:val="28"/>
          <w:szCs w:val="28"/>
        </w:rPr>
        <w:t>仅提高了生产效率，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6"/>
          <w:sz w:val="28"/>
          <w:szCs w:val="28"/>
        </w:rPr>
        <w:t>的发展可能性。</w:t>
      </w:r>
    </w:p>
    <w:p>
      <w:pPr>
        <w:sectPr>
          <w:footerReference w:type="default" r:id="rId20"/>
          <w:pgSz w:w="11906" w:h="16839"/>
          <w:pgMar w:top="1431" w:right="1718" w:bottom="400" w:left="1785" w:header="0" w:footer="0" w:gutter="0"/>
          <w:pgNumType w:start="26"/>
          <w:cols w:space="708"/>
        </w:sectPr>
      </w:pPr>
    </w:p>
    <w:p>
      <w:pPr>
        <w:spacing w:before="244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六、组织架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6" w:lineRule="auto"/>
        <w:rPr>
          <w:rFonts w:ascii="Arial"/>
          <w:sz w:val="21"/>
        </w:rPr>
      </w:pPr>
    </w:p>
    <w:p>
      <w:pPr>
        <w:spacing w:before="91" w:line="411" w:lineRule="auto"/>
        <w:ind w:left="3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人力资源配置是确保鼠抗人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T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淋巴细胞单克隆抗</w:t>
      </w:r>
      <w:r>
        <w:rPr>
          <w:rFonts w:ascii="FangSong" w:eastAsia="FangSong" w:hAnsi="FangSong" w:cs="FangSong"/>
          <w:sz w:val="28"/>
          <w:szCs w:val="28"/>
        </w:rPr>
        <w:t>体项目成功实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施</w:t>
      </w:r>
      <w:r>
        <w:rPr>
          <w:rFonts w:ascii="FangSong" w:eastAsia="FangSong" w:hAnsi="FangSong" w:cs="FangSong"/>
          <w:spacing w:val="-10"/>
          <w:sz w:val="28"/>
          <w:szCs w:val="28"/>
        </w:rPr>
        <w:t>的核心要素之一。在岗位设置和人员配备方面，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我们根据鼠抗人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T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淋</w:t>
      </w:r>
      <w:r>
        <w:rPr>
          <w:rFonts w:ascii="FangSong" w:eastAsia="FangSong" w:hAnsi="FangSong" w:cs="FangSong"/>
          <w:spacing w:val="-8"/>
          <w:sz w:val="28"/>
          <w:szCs w:val="28"/>
        </w:rPr>
        <w:t>巴细胞单克隆抗体项目规模和复杂性制定了合理的组织结构，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4"/>
          <w:sz w:val="28"/>
          <w:szCs w:val="28"/>
        </w:rPr>
        <w:t>位每个岗位的职责，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以确保团队的协同合作。在人员招聘和配置中，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们注重专业技能的匹配，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确保每个团队成员都具备所需的经验和技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能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以提高工作效率和质量。强调团队协作机制，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通过培训和团队建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设活动促</w:t>
      </w:r>
      <w:r>
        <w:rPr>
          <w:rFonts w:ascii="FangSong" w:eastAsia="FangSong" w:hAnsi="FangSong" w:cs="FangSong"/>
          <w:spacing w:val="-3"/>
          <w:sz w:val="28"/>
          <w:szCs w:val="28"/>
        </w:rPr>
        <w:t>进</w:t>
      </w:r>
      <w:r>
        <w:rPr>
          <w:rFonts w:ascii="FangSong" w:eastAsia="FangSong" w:hAnsi="FangSong" w:cs="FangSong"/>
          <w:spacing w:val="-2"/>
          <w:sz w:val="28"/>
          <w:szCs w:val="28"/>
        </w:rPr>
        <w:t>沟通，确保团队内部的信息流通畅顺。</w:t>
      </w:r>
    </w:p>
    <w:p>
      <w:pPr>
        <w:spacing w:before="8" w:line="412" w:lineRule="auto"/>
        <w:ind w:left="35" w:right="25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员具备应对鼠抗人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淋巴细胞单克隆抗体项目挑战的能力。通过这些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人</w:t>
      </w:r>
      <w:r>
        <w:rPr>
          <w:rFonts w:ascii="FangSong" w:eastAsia="FangSong" w:hAnsi="FangSong" w:cs="FangSong"/>
          <w:spacing w:val="-12"/>
          <w:sz w:val="28"/>
          <w:szCs w:val="28"/>
        </w:rPr>
        <w:t>力资源配置策略，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我们将建立一个高效、协同、有活力的团队，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鼠抗</w:t>
      </w:r>
      <w:r>
        <w:rPr>
          <w:rFonts w:ascii="FangSong" w:eastAsia="FangSong" w:hAnsi="FangSong" w:cs="FangSong"/>
          <w:spacing w:val="-11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T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淋巴细胞单克隆抗体项目的顺利实施提供坚实的支持。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6" w:lineRule="auto"/>
        <w:ind w:left="37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为确保鼠抗人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T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淋巴细胞单克隆抗体</w:t>
      </w:r>
      <w:r>
        <w:rPr>
          <w:rFonts w:ascii="FangSong" w:eastAsia="FangSong" w:hAnsi="FangSong" w:cs="FangSong"/>
          <w:sz w:val="28"/>
          <w:szCs w:val="28"/>
        </w:rPr>
        <w:t>项目团队的协调运作和高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效</w:t>
      </w:r>
      <w:r>
        <w:rPr>
          <w:rFonts w:ascii="FangSong" w:eastAsia="FangSong" w:hAnsi="FangSong" w:cs="FangSong"/>
          <w:spacing w:val="-14"/>
          <w:sz w:val="28"/>
          <w:szCs w:val="28"/>
        </w:rPr>
        <w:t>执</w:t>
      </w:r>
      <w:r>
        <w:rPr>
          <w:rFonts w:ascii="FangSong" w:eastAsia="FangSong" w:hAnsi="FangSong" w:cs="FangSong"/>
          <w:spacing w:val="-12"/>
          <w:sz w:val="28"/>
          <w:szCs w:val="28"/>
        </w:rPr>
        <w:t>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我们将人力资源配置分为不同层面，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并采用灵活的策略来满</w:t>
      </w:r>
    </w:p>
    <w:p>
      <w:pPr>
        <w:sectPr>
          <w:footerReference w:type="default" r:id="rId21"/>
          <w:pgSz w:w="11906" w:h="16839"/>
          <w:pgMar w:top="1431" w:right="1718" w:bottom="400" w:left="1785" w:header="0" w:footer="0" w:gutter="0"/>
          <w:pgNumType w:start="27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11"/>
          <w:sz w:val="28"/>
          <w:szCs w:val="28"/>
        </w:rPr>
        <w:t>足</w:t>
      </w:r>
      <w:r>
        <w:rPr>
          <w:rFonts w:ascii="FangSong" w:eastAsia="FangSong" w:hAnsi="FangSong" w:cs="FangSong"/>
          <w:spacing w:val="-9"/>
          <w:sz w:val="28"/>
          <w:szCs w:val="28"/>
        </w:rPr>
        <w:t>鼠抗人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T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淋巴细胞单克隆抗体项目需求。</w:t>
      </w:r>
    </w:p>
    <w:p>
      <w:pPr>
        <w:spacing w:before="291" w:line="411" w:lineRule="auto"/>
        <w:ind w:left="31" w:right="70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能力，确保招募到最适合鼠抗人T淋巴细胞单克隆抗体项目的人才。</w:t>
      </w:r>
    </w:p>
    <w:p>
      <w:pPr>
        <w:spacing w:before="1" w:line="411" w:lineRule="auto"/>
        <w:ind w:left="3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岗位</w:t>
      </w:r>
      <w:r>
        <w:rPr>
          <w:rFonts w:ascii="FangSong" w:eastAsia="FangSong" w:hAnsi="FangSong" w:cs="FangSong"/>
          <w:spacing w:val="-3"/>
          <w:sz w:val="28"/>
          <w:szCs w:val="28"/>
        </w:rPr>
        <w:t>分工：明确鼠抗人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T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淋巴细胞单克隆抗体项目各个岗位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职</w:t>
      </w:r>
      <w:r>
        <w:rPr>
          <w:rFonts w:ascii="FangSong" w:eastAsia="FangSong" w:hAnsi="FangSong" w:cs="FangSong"/>
          <w:spacing w:val="-6"/>
          <w:sz w:val="28"/>
          <w:szCs w:val="28"/>
        </w:rPr>
        <w:t>责和任务，根据团队成员的专业特长和兴趣分配适当的工作职责。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分发挥每位团队成员的专业优势，提高工作效率和执行力。</w:t>
      </w:r>
    </w:p>
    <w:p>
      <w:pPr>
        <w:spacing w:before="3" w:line="411" w:lineRule="auto"/>
        <w:ind w:left="32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0"/>
          <w:sz w:val="28"/>
          <w:szCs w:val="28"/>
        </w:rPr>
        <w:t>展</w:t>
      </w:r>
      <w:r>
        <w:rPr>
          <w:rFonts w:ascii="FangSong" w:eastAsia="FangSong" w:hAnsi="FangSong" w:cs="FangSong"/>
          <w:spacing w:val="-23"/>
          <w:sz w:val="28"/>
          <w:szCs w:val="28"/>
        </w:rPr>
        <w:t>目</w:t>
      </w:r>
      <w:r>
        <w:rPr>
          <w:rFonts w:ascii="FangSong" w:eastAsia="FangSong" w:hAnsi="FangSong" w:cs="FangSong"/>
          <w:spacing w:val="-15"/>
          <w:sz w:val="28"/>
          <w:szCs w:val="28"/>
        </w:rPr>
        <w:t>标，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并提供培训和资源支持，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助力其在鼠抗人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T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淋巴细胞单克隆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</w:t>
      </w:r>
      <w:r>
        <w:rPr>
          <w:rFonts w:ascii="FangSong" w:eastAsia="FangSong" w:hAnsi="FangSong" w:cs="FangSong"/>
          <w:spacing w:val="-5"/>
          <w:sz w:val="28"/>
          <w:szCs w:val="28"/>
        </w:rPr>
        <w:t>体项目中不断成长。</w:t>
      </w:r>
    </w:p>
    <w:p>
      <w:pPr>
        <w:spacing w:before="1" w:line="411" w:lineRule="auto"/>
        <w:ind w:left="33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before="2" w:line="411" w:lineRule="auto"/>
        <w:ind w:left="34" w:right="16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before="1"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pacing w:before="290" w:line="414" w:lineRule="auto"/>
        <w:ind w:left="33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pPr>
        <w:sectPr>
          <w:footerReference w:type="default" r:id="rId22"/>
          <w:pgSz w:w="11906" w:h="16839"/>
          <w:pgMar w:top="1431" w:right="1603" w:bottom="40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38" w:right="28" w:firstLine="549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员工熟悉</w:t>
      </w:r>
      <w:r>
        <w:rPr>
          <w:rFonts w:ascii="FangSong" w:eastAsia="FangSong" w:hAnsi="FangSong" w:cs="FangSong"/>
          <w:spacing w:val="-3"/>
          <w:sz w:val="28"/>
          <w:szCs w:val="28"/>
        </w:rPr>
        <w:t>实</w:t>
      </w:r>
      <w:r>
        <w:rPr>
          <w:rFonts w:ascii="FangSong" w:eastAsia="FangSong" w:hAnsi="FangSong" w:cs="FangSong"/>
          <w:spacing w:val="-2"/>
          <w:sz w:val="28"/>
          <w:szCs w:val="28"/>
        </w:rPr>
        <w:t>际工作流程，提高实际操作技能。这可以通过虚拟仿真、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1" w:line="411" w:lineRule="auto"/>
        <w:ind w:left="40" w:right="77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了解和适应能力。</w:t>
      </w:r>
    </w:p>
    <w:p>
      <w:pPr>
        <w:spacing w:before="1" w:line="411" w:lineRule="auto"/>
        <w:ind w:left="33" w:right="77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pacing w:before="2" w:line="414" w:lineRule="auto"/>
        <w:ind w:left="32" w:right="77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抗人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T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淋巴细胞单克隆抗体项目、角色扮演等方式，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提高团队成员的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协同工作能力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、环境影响评估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4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鼠抗人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T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淋</w:t>
      </w:r>
      <w:r>
        <w:rPr>
          <w:rFonts w:ascii="FangSong" w:eastAsia="FangSong" w:hAnsi="FangSong" w:cs="FangSong"/>
          <w:sz w:val="28"/>
          <w:szCs w:val="28"/>
        </w:rPr>
        <w:t>巴细胞单克隆抗体项目的环境影响评估旨在全面了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解、评估鼠抗人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淋巴细胞单克隆抗体项目对周边自然和社会环境可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能</w:t>
      </w:r>
      <w:r>
        <w:rPr>
          <w:rFonts w:ascii="FangSong" w:eastAsia="FangSong" w:hAnsi="FangSong" w:cs="FangSong"/>
          <w:spacing w:val="-14"/>
          <w:sz w:val="28"/>
          <w:szCs w:val="28"/>
        </w:rPr>
        <w:t>产生的影响，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从而为决策者提供科学、客观的依据。具体目的包括：</w:t>
      </w:r>
    </w:p>
    <w:p>
      <w:pPr>
        <w:spacing w:before="1" w:line="411" w:lineRule="auto"/>
        <w:ind w:left="85" w:right="77" w:firstLine="5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估影响范围：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确定鼠抗人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淋巴细胞单克隆抗体项目可能对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自然环境、生</w:t>
      </w:r>
      <w:r>
        <w:rPr>
          <w:rFonts w:ascii="FangSong" w:eastAsia="FangSong" w:hAnsi="FangSong" w:cs="FangSong"/>
          <w:spacing w:val="-3"/>
          <w:sz w:val="28"/>
          <w:szCs w:val="28"/>
        </w:rPr>
        <w:t>态系统、水源、空气质量等产生的直接或潜在影响。</w:t>
      </w:r>
    </w:p>
    <w:p>
      <w:pPr>
        <w:spacing w:line="417" w:lineRule="auto"/>
        <w:ind w:left="34" w:right="77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footerReference w:type="default" r:id="rId23"/>
          <w:pgSz w:w="11906" w:h="16839"/>
          <w:pgMar w:top="1431" w:right="1722" w:bottom="400" w:left="1785" w:header="0" w:footer="0" w:gutter="0"/>
          <w:pgNumType w:start="29"/>
          <w:cols w:space="708"/>
        </w:sectPr>
      </w:pPr>
    </w:p>
    <w:p>
      <w:pPr>
        <w:spacing w:before="181" w:line="416" w:lineRule="auto"/>
        <w:ind w:left="38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符</w:t>
      </w:r>
      <w:r>
        <w:rPr>
          <w:rFonts w:ascii="FangSong" w:eastAsia="FangSong" w:hAnsi="FangSong" w:cs="FangSong"/>
          <w:spacing w:val="-12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法规要求：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遵循国家和地方环境法规，确保鼠抗人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淋巴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细胞单克隆</w:t>
      </w:r>
      <w:r>
        <w:rPr>
          <w:rFonts w:ascii="FangSong" w:eastAsia="FangSong" w:hAnsi="FangSong" w:cs="FangSong"/>
          <w:spacing w:val="-3"/>
          <w:sz w:val="28"/>
          <w:szCs w:val="28"/>
        </w:rPr>
        <w:t>抗</w:t>
      </w:r>
      <w:r>
        <w:rPr>
          <w:rFonts w:ascii="FangSong" w:eastAsia="FangSong" w:hAnsi="FangSong" w:cs="FangSong"/>
          <w:spacing w:val="-2"/>
          <w:sz w:val="28"/>
          <w:szCs w:val="28"/>
        </w:rPr>
        <w:t>体项目在环保方面的合法性和可持续性。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6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(三)、鼠抗人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T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淋巴细胞单克隆抗体项目对环境的主要影响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0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通过详细的环境影响评估，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我们将全面了解鼠抗人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T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淋巴细胞单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克隆</w:t>
      </w:r>
      <w:r>
        <w:rPr>
          <w:rFonts w:ascii="FangSong" w:eastAsia="FangSong" w:hAnsi="FangSong" w:cs="FangSong"/>
          <w:spacing w:val="-5"/>
          <w:sz w:val="28"/>
          <w:szCs w:val="28"/>
        </w:rPr>
        <w:t>抗</w:t>
      </w:r>
      <w:r>
        <w:rPr>
          <w:rFonts w:ascii="FangSong" w:eastAsia="FangSong" w:hAnsi="FangSong" w:cs="FangSong"/>
          <w:spacing w:val="-3"/>
          <w:sz w:val="28"/>
          <w:szCs w:val="28"/>
        </w:rPr>
        <w:t>体项目可能对环境产生的主要影响，包括但不限于：</w:t>
      </w:r>
    </w:p>
    <w:p>
      <w:pPr>
        <w:spacing w:before="1" w:line="411" w:lineRule="auto"/>
        <w:ind w:left="49" w:right="176" w:firstLine="5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水</w:t>
      </w:r>
      <w:r>
        <w:rPr>
          <w:rFonts w:ascii="FangSong" w:eastAsia="FangSong" w:hAnsi="FangSong" w:cs="FangSong"/>
          <w:spacing w:val="-8"/>
          <w:sz w:val="28"/>
          <w:szCs w:val="28"/>
        </w:rPr>
        <w:t>质影响：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评估鼠抗人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淋巴细胞单克隆抗体项目对附近水源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的影响</w:t>
      </w:r>
      <w:r>
        <w:rPr>
          <w:rFonts w:ascii="FangSong" w:eastAsia="FangSong" w:hAnsi="FangSong" w:cs="FangSong"/>
          <w:spacing w:val="-4"/>
          <w:sz w:val="28"/>
          <w:szCs w:val="28"/>
        </w:rPr>
        <w:t>，确保水质不受到污染。</w:t>
      </w:r>
    </w:p>
    <w:p>
      <w:pPr>
        <w:spacing w:before="1" w:line="411" w:lineRule="auto"/>
        <w:ind w:left="39" w:right="17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空气</w:t>
      </w:r>
      <w:r>
        <w:rPr>
          <w:rFonts w:ascii="FangSong" w:eastAsia="FangSong" w:hAnsi="FangSong" w:cs="FangSong"/>
          <w:spacing w:val="-13"/>
          <w:sz w:val="28"/>
          <w:szCs w:val="28"/>
        </w:rPr>
        <w:t>质</w:t>
      </w:r>
      <w:r>
        <w:rPr>
          <w:rFonts w:ascii="FangSong" w:eastAsia="FangSong" w:hAnsi="FangSong" w:cs="FangSong"/>
          <w:spacing w:val="-8"/>
          <w:sz w:val="28"/>
          <w:szCs w:val="28"/>
        </w:rPr>
        <w:t>量：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考察鼠抗人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淋巴细胞单克隆抗体项目可能对空气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质量产生的影响，采取相应措施减少空气污染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5" w:lineRule="auto"/>
        <w:ind w:left="34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土</w:t>
      </w:r>
      <w:r>
        <w:rPr>
          <w:rFonts w:ascii="FangSong" w:eastAsia="FangSong" w:hAnsi="FangSong" w:cs="FangSong"/>
          <w:spacing w:val="-9"/>
          <w:sz w:val="28"/>
          <w:szCs w:val="28"/>
        </w:rPr>
        <w:t>壤</w:t>
      </w:r>
      <w:r>
        <w:rPr>
          <w:rFonts w:ascii="FangSong" w:eastAsia="FangSong" w:hAnsi="FangSong" w:cs="FangSong"/>
          <w:spacing w:val="-8"/>
          <w:sz w:val="28"/>
          <w:szCs w:val="28"/>
        </w:rPr>
        <w:t>影响：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分析鼠抗人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T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淋巴细胞单克隆抗体项目对土壤的潜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在影</w:t>
      </w:r>
      <w:r>
        <w:rPr>
          <w:rFonts w:ascii="FangSong" w:eastAsia="FangSong" w:hAnsi="FangSong" w:cs="FangSong"/>
          <w:spacing w:val="-4"/>
          <w:sz w:val="28"/>
          <w:szCs w:val="28"/>
        </w:rPr>
        <w:t>响</w:t>
      </w:r>
      <w:r>
        <w:rPr>
          <w:rFonts w:ascii="FangSong" w:eastAsia="FangSong" w:hAnsi="FangSong" w:cs="FangSong"/>
          <w:spacing w:val="-3"/>
          <w:sz w:val="28"/>
          <w:szCs w:val="28"/>
        </w:rPr>
        <w:t>，保护土壤生态系统的稳定。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(四)、环境保护措施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2" w:right="17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为减少环境影响，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鼠抗人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T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淋巴细胞单克隆抗体项目将采取以下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环保措施：</w:t>
      </w:r>
    </w:p>
    <w:p>
      <w:pPr>
        <w:spacing w:before="1" w:line="411" w:lineRule="auto"/>
        <w:ind w:left="35" w:right="176" w:firstLine="562"/>
        <w:rPr>
          <w:rFonts w:ascii="FangSong" w:eastAsia="FangSong" w:hAnsi="FangSong" w:cs="FangSong"/>
          <w:sz w:val="28"/>
          <w:szCs w:val="28"/>
        </w:rPr>
        <w:sectPr>
          <w:footerReference w:type="default" r:id="rId24"/>
          <w:pgSz w:w="11906" w:h="16839"/>
          <w:pgMar w:top="1431" w:right="1623" w:bottom="400" w:left="1785" w:header="0" w:footer="0" w:gutter="0"/>
          <w:pgNumType w:start="30"/>
          <w:cols w:space="708"/>
        </w:sectPr>
      </w:pPr>
      <w:r>
        <w:rPr>
          <w:rFonts w:ascii="FangSong" w:eastAsia="FangSong" w:hAnsi="FangSong" w:cs="FangSong"/>
          <w:spacing w:val="-7"/>
          <w:sz w:val="28"/>
          <w:szCs w:val="28"/>
        </w:rPr>
        <w:t>污</w:t>
      </w:r>
      <w:r>
        <w:rPr>
          <w:rFonts w:ascii="FangSong" w:eastAsia="FangSong" w:hAnsi="FangSong" w:cs="FangSong"/>
          <w:spacing w:val="-4"/>
          <w:sz w:val="28"/>
          <w:szCs w:val="28"/>
        </w:rPr>
        <w:t>染防治：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实施先进的污染防治技术，减少废气、废水和固体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废</w:t>
      </w:r>
      <w:r>
        <w:rPr>
          <w:rFonts w:ascii="FangSong" w:eastAsia="FangSong" w:hAnsi="FangSong" w:cs="FangSong"/>
          <w:spacing w:val="-7"/>
          <w:sz w:val="28"/>
          <w:szCs w:val="28"/>
        </w:rPr>
        <w:t>弃物的排放。</w:t>
      </w:r>
    </w:p>
    <w:p>
      <w:pPr>
        <w:spacing w:before="1" w:line="219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绿</w:t>
      </w:r>
      <w:r>
        <w:rPr>
          <w:rFonts w:ascii="FangSong" w:eastAsia="FangSong" w:hAnsi="FangSong" w:cs="FangSong"/>
          <w:spacing w:val="-4"/>
          <w:sz w:val="28"/>
          <w:szCs w:val="28"/>
        </w:rPr>
        <w:t>化与生态恢复：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在施工和运营阶段进行绿化工程，促进植被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https://d.book118.com/255123322314011122</w:t>
        </w:r>
      </w:hyperlink>
    </w:p>
    <w:p/>
    <w:sectPr>
      <w:footerReference w:type="default" r:id="rId26"/>
      <w:type w:val="nextPage"/>
      <w:pgSz w:w="11906" w:h="16839"/>
      <w:pgMar w:top="1431" w:right="1623" w:bottom="400" w:left="1785" w:header="0" w:footer="0" w:gutter="0"/>
      <w:pgNumType w:start="31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220" w:lineRule="auto"/>
      <w:ind w:left="593"/>
      <w:rPr>
        <w:rFonts w:ascii="FangSong" w:eastAsia="FangSong" w:hAnsi="FangSong" w:cs="FangSong"/>
        <w:sz w:val="28"/>
        <w:szCs w:val="28"/>
      </w:rPr>
    </w:pPr>
    <w:r>
      <w:rPr>
        <w:rFonts w:ascii="FangSong" w:eastAsia="FangSong" w:hAnsi="FangSong" w:cs="FangSong"/>
        <w:spacing w:val="-4"/>
        <w:sz w:val="28"/>
        <w:szCs w:val="28"/>
      </w:rPr>
      <w:t>制</w:t>
    </w:r>
    <w:r>
      <w:rPr>
        <w:rFonts w:ascii="FangSong" w:eastAsia="FangSong" w:hAnsi="FangSong" w:cs="FangSong"/>
        <w:spacing w:val="-3"/>
        <w:sz w:val="28"/>
        <w:szCs w:val="28"/>
      </w:rPr>
      <w:t>度</w:t>
    </w:r>
    <w:r>
      <w:rPr>
        <w:rFonts w:ascii="FangSong" w:eastAsia="FangSong" w:hAnsi="FangSong" w:cs="FangSong"/>
        <w:spacing w:val="-2"/>
        <w:sz w:val="28"/>
        <w:szCs w:val="28"/>
      </w:rPr>
      <w:t>执行与监督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footer" Target="footer11.xml" /><Relationship Id="rId15" Type="http://schemas.openxmlformats.org/officeDocument/2006/relationships/footer" Target="footer12.xml" /><Relationship Id="rId16" Type="http://schemas.openxmlformats.org/officeDocument/2006/relationships/footer" Target="footer13.xml" /><Relationship Id="rId17" Type="http://schemas.openxmlformats.org/officeDocument/2006/relationships/footer" Target="footer14.xml" /><Relationship Id="rId18" Type="http://schemas.openxmlformats.org/officeDocument/2006/relationships/footer" Target="footer15.xml" /><Relationship Id="rId19" Type="http://schemas.openxmlformats.org/officeDocument/2006/relationships/footer" Target="footer16.xml" /><Relationship Id="rId2" Type="http://schemas.openxmlformats.org/officeDocument/2006/relationships/webSettings" Target="webSettings.xml" /><Relationship Id="rId20" Type="http://schemas.openxmlformats.org/officeDocument/2006/relationships/footer" Target="footer17.xml" /><Relationship Id="rId21" Type="http://schemas.openxmlformats.org/officeDocument/2006/relationships/footer" Target="footer18.xml" /><Relationship Id="rId22" Type="http://schemas.openxmlformats.org/officeDocument/2006/relationships/footer" Target="footer19.xml" /><Relationship Id="rId23" Type="http://schemas.openxmlformats.org/officeDocument/2006/relationships/footer" Target="footer20.xml" /><Relationship Id="rId24" Type="http://schemas.openxmlformats.org/officeDocument/2006/relationships/footer" Target="footer21.xml" /><Relationship Id="rId25" Type="http://schemas.openxmlformats.org/officeDocument/2006/relationships/hyperlink" Target="https://d.book118.com/255123322314011122" TargetMode="External" /><Relationship Id="rId26" Type="http://schemas.openxmlformats.org/officeDocument/2006/relationships/footer" Target="footer22.xml" /><Relationship Id="rId27" Type="http://schemas.openxmlformats.org/officeDocument/2006/relationships/theme" Target="theme/theme1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2024-03-14T07:25:05Z</vt:filetime>
  </property>
  <property fmtid="{D5CDD505-2E9C-101B-9397-08002B2CF9AE}" pid="3" name="CRO">
    <vt:lpwstr>wqlLaW5nc29mdCBQREYgdG8gV1BTIDgw</vt:lpwstr>
  </property>
</Properties>
</file>