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二次加工材，相关板材行业相关公司设立可行性研究报告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8067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_Toc18067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164" w:history="1">
        <w:r>
          <w:rPr>
            <w:rFonts w:ascii="仿宋" w:eastAsia="仿宋" w:hAnsi="仿宋" w:cs="仿宋" w:hint="eastAsia"/>
            <w:lang w:eastAsia="zh-CN"/>
          </w:rPr>
          <w:t>一、公司成立背景及可行性分析</w:t>
        </w:r>
        <w:r>
          <w:tab/>
        </w:r>
        <w:r>
          <w:fldChar w:fldCharType="begin"/>
        </w:r>
        <w:r>
          <w:instrText xml:space="preserve"> PAGEREF _Toc29164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05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_Toc30805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03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_Toc13803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0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_Toc3110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95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_Toc6195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97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_Toc21697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72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_Toc5672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77" w:history="1">
        <w:r>
          <w:rPr>
            <w:rFonts w:ascii="仿宋" w:eastAsia="仿宋" w:hAnsi="仿宋" w:cs="仿宋" w:hint="eastAsia"/>
            <w:lang w:eastAsia="zh-CN"/>
          </w:rPr>
          <w:t>(七)、二次加工材，相关板材项目建设必要性分析</w:t>
        </w:r>
        <w:r>
          <w:tab/>
        </w:r>
        <w:r>
          <w:fldChar w:fldCharType="begin"/>
        </w:r>
        <w:r>
          <w:instrText xml:space="preserve"> PAGEREF _Toc24877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604" w:history="1">
        <w:r>
          <w:rPr>
            <w:rFonts w:ascii="仿宋" w:eastAsia="仿宋" w:hAnsi="仿宋" w:cs="仿宋" w:hint="eastAsia"/>
            <w:lang w:eastAsia="zh-CN"/>
          </w:rPr>
          <w:t>二、二次加工材，相关板材筹建公司基本信息</w:t>
        </w:r>
        <w:r>
          <w:tab/>
        </w:r>
        <w:r>
          <w:fldChar w:fldCharType="begin"/>
        </w:r>
        <w:r>
          <w:instrText xml:space="preserve"> PAGEREF _Toc13604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30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_Toc12830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22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_Toc18622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18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_Toc13218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86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_Toc8286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25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_Toc25825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52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_Toc32352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044" w:history="1">
        <w:r>
          <w:rPr>
            <w:rFonts w:ascii="仿宋" w:eastAsia="仿宋" w:hAnsi="仿宋" w:cs="仿宋" w:hint="eastAsia"/>
            <w:lang w:eastAsia="zh-CN"/>
          </w:rPr>
          <w:t>三、公司成立方案</w:t>
        </w:r>
        <w:r>
          <w:tab/>
        </w:r>
        <w:r>
          <w:fldChar w:fldCharType="begin"/>
        </w:r>
        <w:r>
          <w:instrText xml:space="preserve"> PAGEREF _Toc10044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06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_Toc3406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99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_Toc14099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49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_Toc27649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01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_Toc9201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80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_Toc28580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7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_Toc2807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18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_Toc29418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706" w:history="1">
        <w:r>
          <w:rPr>
            <w:rFonts w:ascii="仿宋" w:eastAsia="仿宋" w:hAnsi="仿宋" w:cs="仿宋" w:hint="eastAsia"/>
            <w:lang w:eastAsia="zh-CN"/>
          </w:rPr>
          <w:t>四、发展规划</w:t>
        </w:r>
        <w:r>
          <w:tab/>
        </w:r>
        <w:r>
          <w:fldChar w:fldCharType="begin"/>
        </w:r>
        <w:r>
          <w:instrText xml:space="preserve"> PAGEREF _Toc11706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7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_Toc1027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33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_Toc4333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850" w:history="1">
        <w:r>
          <w:rPr>
            <w:rFonts w:ascii="仿宋" w:eastAsia="仿宋" w:hAnsi="仿宋" w:cs="仿宋" w:hint="eastAsia"/>
            <w:lang w:eastAsia="zh-CN"/>
          </w:rPr>
          <w:t>五、法人治理</w:t>
        </w:r>
        <w:r>
          <w:tab/>
        </w:r>
        <w:r>
          <w:fldChar w:fldCharType="begin"/>
        </w:r>
        <w:r>
          <w:instrText xml:space="preserve"> PAGEREF _Toc3850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30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_Toc27030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33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_Toc20733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70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_Toc5270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53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_Toc32653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649" w:history="1">
        <w:r>
          <w:rPr>
            <w:rFonts w:ascii="仿宋" w:eastAsia="仿宋" w:hAnsi="仿宋" w:cs="仿宋" w:hint="eastAsia"/>
            <w:lang w:eastAsia="zh-CN"/>
          </w:rPr>
          <w:t>六、建设进度分析</w:t>
        </w:r>
        <w:r>
          <w:tab/>
        </w:r>
        <w:r>
          <w:fldChar w:fldCharType="begin"/>
        </w:r>
        <w:r>
          <w:instrText xml:space="preserve"> PAGEREF _Toc29649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74" w:history="1">
        <w:r>
          <w:rPr>
            <w:rFonts w:ascii="仿宋" w:eastAsia="仿宋" w:hAnsi="仿宋" w:cs="仿宋" w:hint="eastAsia"/>
            <w:lang w:eastAsia="zh-CN"/>
          </w:rPr>
          <w:t>(一)、二次加工材，相关板材项目进度安排</w:t>
        </w:r>
        <w:r>
          <w:tab/>
        </w:r>
        <w:r>
          <w:fldChar w:fldCharType="begin"/>
        </w:r>
        <w:r>
          <w:instrText xml:space="preserve"> PAGEREF _Toc13374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29" w:history="1">
        <w:r>
          <w:rPr>
            <w:rFonts w:ascii="仿宋" w:eastAsia="仿宋" w:hAnsi="仿宋" w:cs="仿宋" w:hint="eastAsia"/>
            <w:lang w:eastAsia="zh-CN"/>
          </w:rPr>
          <w:t>(二)、二次加工材，相关板材项目实施保障措施</w:t>
        </w:r>
        <w:r>
          <w:tab/>
        </w:r>
        <w:r>
          <w:fldChar w:fldCharType="begin"/>
        </w:r>
        <w:r>
          <w:instrText xml:space="preserve"> PAGEREF _Toc9529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984" w:history="1">
        <w:r>
          <w:rPr>
            <w:rFonts w:ascii="仿宋" w:eastAsia="仿宋" w:hAnsi="仿宋" w:cs="仿宋" w:hint="eastAsia"/>
            <w:lang w:eastAsia="zh-CN"/>
          </w:rPr>
          <w:t>七、二次加工材，相关板材项目风险分析</w:t>
        </w:r>
        <w:r>
          <w:tab/>
        </w:r>
        <w:r>
          <w:fldChar w:fldCharType="begin"/>
        </w:r>
        <w:r>
          <w:instrText xml:space="preserve"> PAGEREF _Toc23984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26" w:history="1">
        <w:r>
          <w:rPr>
            <w:rFonts w:ascii="仿宋" w:eastAsia="仿宋" w:hAnsi="仿宋" w:cs="仿宋" w:hint="eastAsia"/>
            <w:lang w:eastAsia="zh-CN"/>
          </w:rPr>
          <w:t>(一)、二次加工材，相关板材项目风险分析</w:t>
        </w:r>
        <w:r>
          <w:tab/>
        </w:r>
        <w:r>
          <w:fldChar w:fldCharType="begin"/>
        </w:r>
        <w:r>
          <w:instrText xml:space="preserve"> PAGEREF _Toc27526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87" w:history="1">
        <w:r>
          <w:rPr>
            <w:rFonts w:ascii="仿宋" w:eastAsia="仿宋" w:hAnsi="仿宋" w:cs="仿宋" w:hint="eastAsia"/>
            <w:lang w:eastAsia="zh-CN"/>
          </w:rPr>
          <w:t>(二)、二次加工材，相关板材项目风险对策</w:t>
        </w:r>
        <w:r>
          <w:tab/>
        </w:r>
        <w:r>
          <w:fldChar w:fldCharType="begin"/>
        </w:r>
        <w:r>
          <w:instrText xml:space="preserve"> PAGEREF _Toc20487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526" w:history="1">
        <w:r>
          <w:rPr>
            <w:rFonts w:ascii="仿宋" w:eastAsia="仿宋" w:hAnsi="仿宋" w:cs="仿宋" w:hint="eastAsia"/>
            <w:lang w:eastAsia="zh-CN"/>
          </w:rPr>
          <w:t>八、环境保护分析</w:t>
        </w:r>
        <w:r>
          <w:tab/>
        </w:r>
        <w:r>
          <w:fldChar w:fldCharType="begin"/>
        </w:r>
        <w:r>
          <w:instrText xml:space="preserve"> PAGEREF _Toc7526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87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_Toc5587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71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_Toc22371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7871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_Toc27871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29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_Toc19929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15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_Toc30415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48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_Toc18348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93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_Toc9093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84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_Toc20384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39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_Toc19339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14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_Toc22914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84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_Toc25384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69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_Toc16769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02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_Toc13002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614" w:history="1">
        <w:r>
          <w:rPr>
            <w:rFonts w:ascii="仿宋" w:eastAsia="仿宋" w:hAnsi="仿宋" w:cs="仿宋" w:hint="eastAsia"/>
            <w:lang w:eastAsia="zh-CN"/>
          </w:rPr>
          <w:t>九、二次加工材，相关板材项目经济效益</w:t>
        </w:r>
        <w:r>
          <w:tab/>
        </w:r>
        <w:r>
          <w:fldChar w:fldCharType="begin"/>
        </w:r>
        <w:r>
          <w:instrText xml:space="preserve"> PAGEREF _Toc32614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02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_Toc10202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46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_Toc29846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67" w:history="1">
        <w:r>
          <w:rPr>
            <w:rFonts w:ascii="仿宋" w:eastAsia="仿宋" w:hAnsi="仿宋" w:cs="仿宋" w:hint="eastAsia"/>
            <w:lang w:eastAsia="zh-CN"/>
          </w:rPr>
          <w:t>(三)、二次加工材，相关板材项目盈利能力分析</w:t>
        </w:r>
        <w:r>
          <w:tab/>
        </w:r>
        <w:r>
          <w:fldChar w:fldCharType="begin"/>
        </w:r>
        <w:r>
          <w:instrText xml:space="preserve"> PAGEREF _Toc10567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49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_Toc13049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19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_Toc30019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14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_Toc19514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236" w:history="1">
        <w:r>
          <w:rPr>
            <w:rFonts w:ascii="仿宋" w:eastAsia="仿宋" w:hAnsi="仿宋" w:cs="仿宋" w:hint="eastAsia"/>
            <w:lang w:eastAsia="zh-CN"/>
          </w:rPr>
          <w:t>十、目标客户和受众分析</w:t>
        </w:r>
        <w:r>
          <w:tab/>
        </w:r>
        <w:r>
          <w:fldChar w:fldCharType="begin"/>
        </w:r>
        <w:r>
          <w:instrText xml:space="preserve"> PAGEREF _Toc31236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01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_Toc29701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26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_Toc27026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01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_Toc21801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1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_Toc2271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529" w:history="1">
        <w:r>
          <w:rPr>
            <w:rFonts w:ascii="仿宋" w:eastAsia="仿宋" w:hAnsi="仿宋" w:cs="仿宋" w:hint="eastAsia"/>
            <w:lang w:eastAsia="zh-CN"/>
          </w:rPr>
          <w:t>十一、战略合作伙伴</w:t>
        </w:r>
        <w:r>
          <w:tab/>
        </w:r>
        <w:r>
          <w:fldChar w:fldCharType="begin"/>
        </w:r>
        <w:r>
          <w:instrText xml:space="preserve"> PAGEREF _Toc14529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29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_Toc31929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98" w:history="1">
        <w:r>
          <w:rPr>
            <w:rFonts w:ascii="仿宋" w:eastAsia="仿宋" w:hAnsi="仿宋" w:cs="仿宋" w:hint="eastAsia"/>
            <w:lang w:eastAsia="zh-CN"/>
          </w:rPr>
          <w:t>(二)、合作二次加工材，相关板材项目</w:t>
        </w:r>
        <w:r>
          <w:tab/>
        </w:r>
        <w:r>
          <w:fldChar w:fldCharType="begin"/>
        </w:r>
        <w:r>
          <w:instrText xml:space="preserve"> PAGEREF _Toc22498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10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_Toc11110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8067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9164"/>
      <w:r>
        <w:rPr>
          <w:rFonts w:ascii="仿宋" w:eastAsia="仿宋" w:hAnsi="仿宋" w:cs="仿宋" w:hint="eastAsia"/>
          <w:sz w:val="28"/>
          <w:lang w:eastAsia="zh-CN"/>
        </w:rPr>
        <w:t>一、公司成立背景及可行性分析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0805"/>
      <w:r>
        <w:rPr>
          <w:rFonts w:ascii="仿宋" w:eastAsia="仿宋" w:hAnsi="仿宋" w:cs="仿宋" w:hint="eastAsia"/>
          <w:lang w:eastAsia="zh-CN"/>
        </w:rPr>
        <w:t>(一)、发展思路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深入贯彻落实科学发展观，推动产业转型升级，实现高质量发展。要立足国内市场需求，控制总量扩张，优化产业结构，推动产业向高端化、智能化、绿色化方向发展。同时，要大力发展具有高技术含量、高附加值、高成长性的新产品、新产业和新业态，提升产业发展质量和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推进产业转型升级的过程中，要注重一体化发展，延伸产业链条，增加产品技术含量和附加值。通过实施创新驱动战略，加强技术创新和成果转化，提高产业的核心竞争力和市场竞争力。同时，要注重培育和引进高端人才，为产业发展提供强有力的人才支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更好地促进产业发展，政府应加大对产业转型升级的政策引导和支持力度，完善相关法律法规和政策措施，营造良好的营商环境和发展氛围。同时，要加强对产业发展的监测和评估，及时发现和解决问题，推动产业健康有序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3803"/>
      <w:r>
        <w:rPr>
          <w:rFonts w:ascii="仿宋" w:eastAsia="仿宋" w:hAnsi="仿宋" w:cs="仿宋" w:hint="eastAsia"/>
          <w:sz w:val="28"/>
          <w:lang w:eastAsia="zh-CN"/>
        </w:rPr>
        <w:t>(二)、产业发展背景分析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当前，全球经济正处于深度调整期，新一轮技术革命和产业变革蓬勃兴起，对传统产业产生巨大冲击，但也为新兴产业发展提供了重大机遇。我国产业发展正处于由数量规模向质量效益转变的关键时期，必须以供给侧结构性改革为主线，加快转变产业发展方式，推动产业向高端化、智能化、绿色化方向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市场需求不断升级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国内居民收入水平不断提高，消费观念和消费结构正在发生深刻变化，对高品质、个性化、绿色健康的产品需求不断增加。同时，随着全球贸易保护主义加剧和国内环保约束强化，低质量、高能耗、高污染的产品将逐渐被市场淘汰。这种变化为高端产品提供了广阔的市场空间，也将推动传统产业加快转型升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技术创新成为产业发展的关键驱动力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一轮技术革命和产业变革正在全球范围内深入发展，人工智能、物联网、大数据、云计算等新技术加速推广应用，为产业发展提供了新的动力和支撑。同时，我国在某些领域已经具备了较好的技术积累和人才储备，如人工智能、新能源等领域，这为我国产业转型升级提供了强有力的技术支持和产业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产业政策支持力度不断加大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https://d.book118.com/255222121131011111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二次加工材，相关板材行业相关公司设立可行性研究报告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二次加工材，相关板材行业相关公司设立可行性研究报告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二次加工材，相关板材行业相关公司设立可行性研究报告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二次加工材，相关板材行业相关公司设立可行性研究报告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二次加工材，相关板材行业相关公司设立可行性研究报告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25522212113101111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2024-02-04T18:24:00Z</dcterms:created>
  <dcterms:modified xsi:type="dcterms:W3CDTF">2024-02-04T18:24:20Z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BE3902833ECE4F9F9DC018C9EF6381B4_11</vt:lpwstr>
  </property>
  <property fmtid="{D5CDD505-2E9C-101B-9397-08002B2CF9AE}" pid="3" name="KSOProductBuildVer">
    <vt:lpwstr>2052-12.1.0.16250</vt:lpwstr>
  </property>
</Properties>
</file>