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2015-2023年三门峡职业技术学院高职单招（数学／语文／英语）历年参考题库带答案解析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李商隐《无题》中运用神话传说抒情的句子是（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A.东风无力百花残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B.蜡炬成灰泪始干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C.夜吟应觉月光寒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D.青鸟殷勤为探看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中国第一篇现代白话文小说《狂人日记》是发表在（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A.《彷徨》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B.《新青年》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C.《野草》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李煜《虞美人》的主题是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B.亡国之恨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C.伤春悲秋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D.怀古伤今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下列作品中，通篇采用寓言形式说理的是（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A.逐客正确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B.逐客错误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C.逐客利于秦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D.客有负于秦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契诃夫著名的戏剧作品有（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A.《万卡》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B.《万尼亚舅舅》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C.《哈姆雷特》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D.《胖子与瘦子》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《张中丞传后叙》主要采用____的写法来补记许远的事迹（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宋代作家中，文艺成就最为全面的一位作家是（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A.《东坡词》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下列人物中属于道家学派的有（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A.孔子和孟子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C.荀子和韩非子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D.孔子和老子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老舍最成功的话剧作品是（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C.《二马》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https://d.book118.com/255332110103011113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255332110103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