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drawing>
          <wp:anchor distT="0" distB="0" distL="114300" distR="114300" simplePos="0" relativeHeight="251658240" behindDoc="0" locked="0" layoutInCell="1" allowOverlap="1">
            <wp:simplePos x="0" y="0"/>
            <wp:positionH relativeFrom="page">
              <wp:posOffset>10223500</wp:posOffset>
            </wp:positionH>
            <wp:positionV relativeFrom="topMargin">
              <wp:posOffset>12661900</wp:posOffset>
            </wp:positionV>
            <wp:extent cx="495300" cy="4572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xmlns:r="http://schemas.openxmlformats.org/officeDocument/2006/relationships" r:embed="rId5"/>
                    <a:stretch>
                      <a:fillRect/>
                    </a:stretch>
                  </pic:blipFill>
                  <pic:spPr>
                    <a:xfrm>
                      <a:off x="0" y="0"/>
                      <a:ext cx="495300" cy="457200"/>
                    </a:xfrm>
                    <a:prstGeom prst="rect">
                      <a:avLst/>
                    </a:prstGeom>
                  </pic:spPr>
                </pic:pic>
              </a:graphicData>
            </a:graphic>
          </wp:anchor>
        </w:drawing>
      </w:r>
      <w:r>
        <w:rPr>
          <w:rFonts w:ascii="微软雅黑" w:eastAsia="微软雅黑" w:hAnsi="微软雅黑" w:cs="微软雅黑" w:hint="eastAsia"/>
          <w:b/>
          <w:color w:val="000000"/>
          <w:sz w:val="32"/>
        </w:rPr>
        <w:t>202</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年湖南省普通高中学业水平选择性考试</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历史试题</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本试卷满分</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00分，考试时间75分钟。</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一、选择题：本题共</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6小题，每小题</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分，共48分。在每小题给出的四个选项中，只有一项是符合题目要求的。</w:t>
      </w:r>
    </w:p>
    <w:p>
      <w:pPr>
        <w:spacing w:line="360" w:lineRule="auto"/>
        <w:jc w:val="left"/>
        <w:rPr>
          <w:rFonts w:ascii="微软雅黑" w:eastAsia="微软雅黑" w:hAnsi="微软雅黑" w:cs="微软雅黑" w:hint="eastAsia"/>
          <w:color w:val="000000"/>
        </w:rPr>
      </w:pP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湖南澧县城头山古城遗址距今约6000年，是中国迄今已知最早的新石器时代城址。城址内外发掘出大片房屋建筑遗迹，多座陶窑，以及中国迄今已知最早的祭坛和古稻田。这说明（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城市是最早出现的人类文明要素</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长江流域是中华文明的重要源头</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古城先民已摆脱对渔猎采集</w:t>
      </w:r>
      <w:r>
        <w:rPr>
          <w:rFonts w:ascii="微软雅黑" w:eastAsia="微软雅黑" w:hAnsi="微软雅黑" w:cs="微软雅黑" w:hint="eastAsia"/>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依赖</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遗址所处时代已迈入阶级社会门槛</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据本题设问词可知是本质题。据本题时间信息可知准确时空：约6000年新石器时代。据题干可知主要结论：湖南澧县城头山古城遗址距今约6000年，考古发掘反映出现原始农业、手工业、定居生活和祭祀活动，推动了中华文明的产生，因此长江流域的古城遗址说明长江流域是中华文明重要源头，B项正确；早期城市的出现促进了人类文明的产生，而城市不是人类文明的要素，排除A项；“已摆脱”说法绝对，排除C项；该遗址出现阶级分化，表明即将进入阶级社会，排除D项。故选B项。</w:t>
      </w:r>
    </w:p>
    <w:p>
      <w:pPr>
        <w:spacing w:line="360" w:lineRule="auto"/>
        <w:jc w:val="left"/>
        <w:textAlignment w:val="center"/>
        <w:rPr>
          <w:rFonts w:ascii="微软雅黑" w:eastAsia="微软雅黑" w:hAnsi="微软雅黑" w:cs="微软雅黑" w:hint="eastAsia"/>
          <w:color w:val="000000"/>
        </w:rPr>
        <w:sectPr>
          <w:headerReference w:type="even" r:id="rId7"/>
          <w:footerReference w:type="even" r:id="rId8"/>
          <w:footerReference w:type="default" r:id="rId9"/>
          <w:headerReference w:type="first" r:id="rId10"/>
          <w:footerReference w:type="first" r:id="rId11"/>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战国时期，关东六国国君任相多用其宗族及国人。数代秦王所用秦相，商鞅为卫人，楼缓为赵人，张仪、魏冉、范雎为魏人，蔡泽为燕人，吕不韦为韩人，李斯为楚人。据此可推知（   ）</w:t>
      </w:r>
    </w:p>
    <w:p>
      <w:pPr>
        <w:spacing w:line="360"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12661900</wp:posOffset>
            </wp:positionV>
            <wp:extent cx="495300" cy="457200"/>
            <wp:effectExtent l="0" t="0" r="0" b="0"/>
            <wp:wrapNone/>
            <wp:docPr id="1893313045"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13045" name="图片 100018"/>
                    <pic:cNvPicPr>
                      <a:picLocks noChangeAspect="1"/>
                    </pic:cNvPicPr>
                  </pic:nvPicPr>
                  <pic:blipFill>
                    <a:blip xmlns:r="http://schemas.openxmlformats.org/officeDocument/2006/relationships" r:embed="rId5"/>
                    <a:stretch>
                      <a:fillRect/>
                    </a:stretch>
                  </pic:blipFill>
                  <pic:spPr>
                    <a:xfrm>
                      <a:off x="0" y="0"/>
                      <a:ext cx="495300" cy="457200"/>
                    </a:xfrm>
                    <a:prstGeom prst="rect">
                      <a:avLst/>
                    </a:prstGeom>
                  </pic:spPr>
                </pic:pic>
              </a:graphicData>
            </a:graphic>
          </wp:anchor>
        </w:drawing>
      </w:r>
      <w:r>
        <w:rPr>
          <w:rFonts w:ascii="微软雅黑" w:eastAsia="微软雅黑" w:hAnsi="微软雅黑" w:cs="微软雅黑" w:hint="eastAsia"/>
          <w:b/>
          <w:color w:val="000000"/>
          <w:sz w:val="32"/>
        </w:rPr>
        <w:t>202</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年湖南省普通高中学业水平选择性考试</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历史试题</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本试卷满分</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00分，考试时间75分钟。</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一、选择题：本题共</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6小题，每小题</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分，共48分。在每小题给出的四个选项中，只有一项是符合题目要求的。</w:t>
      </w:r>
    </w:p>
    <w:p>
      <w:pPr>
        <w:spacing w:line="360" w:lineRule="auto"/>
        <w:jc w:val="left"/>
        <w:rPr>
          <w:rFonts w:ascii="微软雅黑" w:eastAsia="微软雅黑" w:hAnsi="微软雅黑" w:cs="微软雅黑" w:hint="eastAsia"/>
          <w:color w:val="000000"/>
        </w:rPr>
      </w:pP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湖南澧县城头山古城遗址距今约6000年，是中国迄今已知最早的新石器时代城址。城址内外发掘出大片房屋建筑遗迹，多座陶窑，以及中国迄今已知最早的祭坛和古稻田。这说明（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城市是最早出现的人类文明要素</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长江流域是中华文明的重要源头</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古城先民已摆脱对渔猎采集</w:t>
      </w:r>
      <w:r>
        <w:rPr>
          <w:rFonts w:ascii="微软雅黑" w:eastAsia="微软雅黑" w:hAnsi="微软雅黑" w:cs="微软雅黑" w:hint="eastAsia"/>
          <w:color w:val="000000"/>
          <w:position w:val="0"/>
        </w:rPr>
        <w:drawing>
          <wp:inline distT="0" distB="0" distL="114300" distR="114300">
            <wp:extent cx="133350" cy="177800"/>
            <wp:effectExtent l="0" t="0" r="0" b="13335"/>
            <wp:docPr id="633684111"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684111" name="图片 100009"/>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微软雅黑" w:eastAsia="微软雅黑" w:hAnsi="微软雅黑" w:cs="微软雅黑" w:hint="eastAsia"/>
          <w:color w:val="000000"/>
        </w:rPr>
        <w:t>依赖</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遗址所处时代已迈入阶级社会门槛</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据本题设问词可知是本质题。据本题时间信息可知准确时空：约6000年新石器时代。据题干可知主要结论：湖南澧县城头山古城遗址距今约6000年，考古发掘反映出现原始农业、手工业、定居生活和祭祀活动，推动了中华文明的产生，因此长江流域的古城遗址说明长江流域是中华文明重要源头，B项正确；早期城市的出现促进了人类文明的产生，而城市不是人类文明的要素，排除A项；“已摆脱”说法绝对，排除C项；该遗址出现阶级分化，表明即将进入阶级社会，排除D项。故选B项。</w:t>
      </w:r>
    </w:p>
    <w:p>
      <w:pPr>
        <w:spacing w:line="360" w:lineRule="auto"/>
        <w:jc w:val="left"/>
        <w:textAlignment w:val="center"/>
        <w:rPr>
          <w:rFonts w:ascii="微软雅黑" w:eastAsia="微软雅黑" w:hAnsi="微软雅黑" w:cs="微软雅黑" w:hint="eastAsia"/>
          <w:color w:val="000000"/>
        </w:rPr>
        <w:sectPr>
          <w:headerReference w:type="even" r:id="rId12"/>
          <w:footerReference w:type="even" r:id="rId13"/>
          <w:footerReference w:type="default" r:id="rId14"/>
          <w:headerReference w:type="first" r:id="rId15"/>
          <w:footerReference w:type="first" r:id="rId16"/>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战国时期，关东六国国君任相多用其宗族及国人。数代秦王所用秦相，商鞅为卫人，楼缓为赵人，张仪、魏冉、范雎为魏人，蔡泽为燕人，吕不韦为韩人，李斯为楚人。据此可推知（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秦国官僚制相对完善</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秦国用人政策不断改变</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六国严格遵行宗法制</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法家人物在六国遭排挤</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根据题干设问词，可知是推断题。根据题干关键信息可知时空是：战国时期的中国。根据材料可知，与关东六国多用其宗族及国人不同，秦国的相主要来源于各诸侯国，说明当时秦国的官僚体制相对完善，并非采取世袭制，A项正确；材料未涉及秦国的用人政策改变，排除B项；战国时期宗法制遭到冲击，排除C项；材料未涉及六国的相的出身及派别，因此排挤一词无法得出，排除D项。故选A项。</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南北朝后期，南北政权遣使频繁，双方挑选使节，必求“容止可观，文学优赡者”。北朝使节皆为汉族高门人物，而非鲜卑子弟。这说明（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南方政权整体实力占优</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南北政权文化认同趋近</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南北政权关系趋向和好</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汉族高门控制南北政权</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据本题设问词可知是本质题。据本题时间信息可知准确时空：南北朝时期。据题干可知主要结论：南北朝时期，南北政权互派使节，对使节的要求相近。北朝使节都是汉族士族。结合所学可知，北魏政权统一北方，尤其是孝文帝改革，学习中原王朝的政治经济文化。因此南北政权都有利于对华夏文化的认同，B项正确；材料反映南北政权对华夏文化的认同，而没有进行南北政权的比较，排除A项；南北政权处于对峙局面，而不是和好，排除C项；北朝政权仍然是鲜卑族控制，排除D项。故选B项。</w:t>
      </w:r>
    </w:p>
    <w:p>
      <w:pPr>
        <w:spacing w:line="360" w:lineRule="auto"/>
        <w:jc w:val="left"/>
        <w:textAlignment w:val="center"/>
        <w:rPr>
          <w:rFonts w:ascii="微软雅黑" w:eastAsia="微软雅黑" w:hAnsi="微软雅黑" w:cs="微软雅黑" w:hint="eastAsia"/>
          <w:color w:val="000000"/>
        </w:rPr>
        <w:sectPr>
          <w:headerReference w:type="even" r:id="rId17"/>
          <w:footerReference w:type="even" r:id="rId18"/>
          <w:footerReference w:type="default" r:id="rId19"/>
          <w:headerReference w:type="first" r:id="rId20"/>
          <w:footerReference w:type="first" r:id="rId21"/>
          <w:type w:val="nextPage"/>
          <w:pgSz w:w="11906" w:h="16838"/>
          <w:pgMar w:top="910" w:right="1080" w:bottom="1440" w:left="1080" w:header="152" w:footer="0" w:gutter="0"/>
          <w:pgNumType w:start="2"/>
          <w:cols w:num="1" w:space="720"/>
          <w:titlePg w:val="0"/>
          <w:docGrid w:type="lines" w:linePitch="312" w:charSpace="0"/>
        </w:sectPr>
      </w:pPr>
      <w:r>
        <w:rPr>
          <w:rFonts w:ascii="微软雅黑" w:eastAsia="微软雅黑" w:hAnsi="微软雅黑" w:cs="微软雅黑" w:hint="eastAsia"/>
          <w:color w:val="000000"/>
        </w:rPr>
        <w:t xml:space="preserve">4.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宋仁宗下诏废郭皇后。御史中丞孔道辅、谏官范仲淹等以“后无过不可废”，跪求奏对。仁宗遣宰相吕夷简告知他们皇后应废的理由。事后，孔道辅等遭贬黜，朝廷诏令御史、谏官不得“相率请对”。这反映了宋代（</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 xml:space="preserve">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皇帝家事不容外朝官员置疑</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士大夫政治降低了皇帝权威</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御史与谏官职能有混通趋势</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宰相已沦为君主专制的工具</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据本题主题干的设问词，可知这是本质题。据本题时间信息可知准确时空是：宋朝（中国）。根据材料“宋仁宗下诏废郭皇后。御史中丞孔道辅、谏官范仲淹等以‘后无过不可废’，跪求奏对。......朝廷诏令御史、谏官不得‘相率请对’。”可知，宋仁宗下诏废郭皇后，御史中丞与谏官反对皇帝废后，跪求奏对，导致御史中丞遭贬黜，而后朝廷诏令御史、谏官“相率请对”，说明士大夫阶层为维护政治稳定，敢于向皇帝谏议，一定程度上限制皇权膨胀，B项正确；在中国古代封建社会，皇帝废后即是皇帝的家事，同时也是国家大事，A项“不容置疑”说法错误，排除A项；材料描述的是御史与谏官对皇权的制约，而非御史与谏官职能混通，排除C项；宰相已沦为君主专制的工具的说法错误，相权与皇权具有一定的相互制约的关系，排除D项。故选B项。</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rPr>
        <w:t>永乐年间，明成祖应朝鲜使臣请赐，赐予朝鲜“五经”“四书”等经籍；又应日本使臣请赐，将皇后徐氏所制《劝善》《内训》赐予日本。对此解读合理的是（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儒家学说在明初有新发展</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书籍向外流通渠道不畅通</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请求赐书是为了吸收中国先进思想</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朝日两国借助明王朝强化政权权威</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sectPr>
          <w:headerReference w:type="even" r:id="rId22"/>
          <w:footerReference w:type="even" r:id="rId23"/>
          <w:footerReference w:type="default" r:id="rId24"/>
          <w:headerReference w:type="first" r:id="rId25"/>
          <w:footerReference w:type="first" r:id="rId26"/>
          <w:type w:val="nextPage"/>
          <w:pgSz w:w="11906" w:h="16838"/>
          <w:pgMar w:top="910" w:right="1080" w:bottom="1440" w:left="1080" w:header="152" w:footer="0" w:gutter="0"/>
          <w:pgNumType w:start="3"/>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根据题干设问词，可知是正向题。根据题干关键信息可知准确时空是：明朝时期的中国。根据材料“明成祖应朝鲜使臣请赐”“又应日本使臣请赐”可知，朝鲜和日本的请赐行为，说明两国以明朝政权为其宗主国，欲借助明朝赐书的行为，来强化自己政权的权威，D项正确；材料与儒家学说的发展无关，强调的是朝鲜、日本的政府行为，排除A项；材料体现的是官方行为，与书籍向外流通渠道不畅通的说法无关，排除B项；请求赐书是为了强化政权的权威，非是为了吸收中国先进思想，排除C项。故选D项。</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rPr>
        <w:t>光绪年间，曾出使英、法、意、比四国的薛福成感慨，“强盛之国，事事欲轶（超越）乎公法，而人或勉以公法绳之”；“衰弱之国，事事求合乎公法，而人未必以公法待之”。这突出反映了（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公法在外交实践中形同虚设</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摆脱公法束缚符合弱国利益</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对外交往深化对自强的认知</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晚清士人对西方的高度推崇</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据本题设问词可知是本质题。据本题时间信息可知准确时空：光绪年间的中国。据题干可知主要结论：光绪年间，晚清政府的外交官薛福成认识到强国不受国际法的限制，弱国事事受制于国际法，且受到不平等对待。这反映了近代中国对外交往过程中对国家自强的认识，C项正确；“形同虚设”说法绝对，国际法仍起到协调各国关系的作用，排除A项；薛福成认为弱国受制于公法，而且还受到不平等对待，而不是认为摆脱公法符合弱国利益、不是对西方的高度推崇，排除B、D项。故选C项。</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902年，顺天乡试借河南贡院举行，山西乡试则与陕西乡试在西安合闱。这一罕见科考现象出现的原因是（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w:t>
      </w:r>
      <w:r>
        <w:rPr>
          <w:rFonts w:ascii="微软雅黑" w:eastAsia="微软雅黑" w:hAnsi="微软雅黑" w:cs="微软雅黑" w:hint="eastAsia"/>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xmlns:r="http://schemas.openxmlformats.org/officeDocument/2006/relationships" r:embed="rId27"/>
                    <a:stretch>
                      <a:fillRect/>
                    </a:stretch>
                  </pic:blipFill>
                  <pic:spPr>
                    <a:xfrm>
                      <a:off x="0" y="0"/>
                      <a:ext cx="31750" cy="88900"/>
                    </a:xfrm>
                    <a:prstGeom prst="rect">
                      <a:avLst/>
                    </a:prstGeom>
                  </pic:spPr>
                </pic:pic>
              </a:graphicData>
            </a:graphic>
          </wp:inline>
        </w:drawing>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《辛丑条约》签订</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清政府财政危机严重</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清末新政的推行</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新式学堂的广泛建立</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sectPr>
          <w:headerReference w:type="even" r:id="rId28"/>
          <w:footerReference w:type="even" r:id="rId29"/>
          <w:footerReference w:type="default" r:id="rId30"/>
          <w:headerReference w:type="first" r:id="rId31"/>
          <w:footerReference w:type="first" r:id="rId32"/>
          <w:type w:val="nextPage"/>
          <w:pgSz w:w="11906" w:h="16838"/>
          <w:pgMar w:top="910" w:right="1080" w:bottom="1440" w:left="1080" w:header="152" w:footer="0" w:gutter="0"/>
          <w:pgNumType w:start="4"/>
          <w:cols w:num="1" w:space="720"/>
          <w:titlePg w:val="0"/>
          <w:docGrid w:type="lines" w:linePitch="312" w:charSpace="0"/>
        </w:sectPr>
      </w:pPr>
      <w:r>
        <w:rPr>
          <w:rFonts w:ascii="微软雅黑" w:eastAsia="微软雅黑" w:hAnsi="微软雅黑" w:cs="微软雅黑" w:hint="eastAsia"/>
          <w:color w:val="000000"/>
        </w:rPr>
        <w:t>【详解】本题是单类型单项选择题。据设问词可知是原因题。时空是</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902年（中国）。据材料“顺天乡试借河南贡院举行，山西乡试则与陕西乡试在西安合闱”，结合所学知识可知《辛丑条约》中明确规定“拳匪滋事杀害凌虐各国人民之城镇”，停止文武各等考试五年以示“惩儆”，所以才会出现这种罕见的科考现象，A项正确；此科考现象与清政府的财政危机无关，《辛丑条约》中的巨额赔款加重了清政府财政危机，排除B项；清末新政的教育措施是废科举，办学堂，派留学，与材料无关，排除C项；清末新政期间，新式学堂开始大量建立起来，我国近现代学校体系逐步建立起来，与材料无关，排除D项。故选A项。</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w:t>
      </w:r>
      <w:r>
        <w:rPr>
          <w:rFonts w:ascii="微软雅黑" w:eastAsia="微软雅黑" w:hAnsi="微软雅黑" w:cs="微软雅黑" w:hint="eastAsia"/>
          <w:color w:val="000000"/>
        </w:rPr>
        <w:t>抗战时期，冀中根据地的公粮征收经历了从摊派、村合理负担到统一累进税的过程。根据对各阶层的调查，</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94</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年统一累进税负担占家庭总收入的比率为：贫农</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%，中农9.76%，富农29.65%，经营地主2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.77%，平均负担水平2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.70%。统一累进税的实施（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是废除封建剥削制度的重大举措</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大大减轻了农民阶级的税负压力</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为我国个人所得税制的最早尝试</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比较合理地分配了各阶层的负担</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w:t>
      </w:r>
      <w:r>
        <w:rPr>
          <w:rFonts w:ascii="微软雅黑" w:eastAsia="微软雅黑" w:hAnsi="微软雅黑" w:cs="微软雅黑" w:hint="eastAsia"/>
          <w:color w:val="000000"/>
        </w:rPr>
        <w:t>本题是单类型单项选择题。据本题主题干的设问词，可知这是影响题。据本题时间信息可知准确时空是：近代（中国）。根据材料信息“统一累进税负担占家庭总收入的比率为：贫农</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%，中农9.76%，富农29.65%，经营地主2</w:t>
      </w:r>
    </w:p>
    <w:p>
      <w:pPr>
        <w:spacing w:line="360" w:lineRule="auto"/>
        <w:jc w:val="both"/>
        <w:textAlignment w:val="center"/>
        <w:rPr>
          <w:rFonts w:ascii="微软雅黑" w:eastAsia="微软雅黑" w:hAnsi="微软雅黑" w:cs="微软雅黑" w:hint="eastAsia"/>
          <w:color w:val="000000"/>
        </w:rPr>
        <w:sectPr>
          <w:headerReference w:type="even" r:id="rId33"/>
          <w:footerReference w:type="even" r:id="rId34"/>
          <w:footerReference w:type="default" r:id="rId35"/>
          <w:headerReference w:type="first" r:id="rId36"/>
          <w:footerReference w:type="first" r:id="rId37"/>
          <w:type w:val="nextPage"/>
          <w:pgSz w:w="11906" w:h="16838"/>
          <w:pgMar w:top="910" w:right="1080" w:bottom="1440" w:left="1080" w:header="152" w:footer="0" w:gutter="0"/>
          <w:pgNumType w:start="5"/>
          <w:cols w:num="1" w:space="720"/>
          <w:titlePg w:val="0"/>
          <w:docGrid w:type="lines" w:linePitch="312" w:charSpace="0"/>
        </w:sectPr>
      </w:pPr>
      <w:r>
        <w:rPr>
          <w:rFonts w:ascii="微软雅黑" w:eastAsia="微软雅黑" w:hAnsi="微软雅黑" w:cs="微软雅黑" w:hint="eastAsia"/>
          <w:color w:val="000000"/>
        </w:rPr>
        <w:t>.77%，平均负担水平2</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70%”可见贫农、中农所负担的税率较低。结合所学可知，统一累进税指的是我国第二次国内革命战争时期，在中央苏区曾经开征过的一种税。这种税把商业税、农业税、工业税等合并征收，采用累进税制。主要对剥削阶级征税，对被剥削阶级与劳苦阶层的人民免税，B项正确；从材料的税率分配不能反映废除封建剥削制度，排除A项；根据所学知识可知，</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w:t>
      </w:r>
    </w:p>
    <w:p>
      <w:pPr>
        <w:spacing w:line="360" w:lineRule="auto"/>
        <w:jc w:val="both"/>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6年，国民政府公布了所得税暂行条例，随之开始征收个人所得税，排除C项；“根据对各阶层的调查”作出的税率的分配不等于“比较合理地分配了各阶层的负担”，此项是干扰项，排除D项。故选B项。</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9.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949年民族资本主义工业产值占中国工业总产值比重表</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36"/>
        <w:gridCol w:w="836"/>
        <w:gridCol w:w="1072"/>
        <w:gridCol w:w="1101"/>
        <w:gridCol w:w="1072"/>
        <w:gridCol w:w="836"/>
        <w:gridCol w:w="761"/>
        <w:gridCol w:w="1072"/>
        <w:gridCol w:w="1072"/>
        <w:gridCol w:w="1072"/>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2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产品</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原煤</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烧碱</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电动机</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棉纱</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棉布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纸</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火柴</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卷烟</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面粉</w:t>
            </w:r>
          </w:p>
        </w:tc>
      </w:tr>
      <w:tr>
        <w:tblPrEx>
          <w:tblW w:w="5000" w:type="pct"/>
          <w:tblInd w:w="0" w:type="dxa"/>
          <w:tblCellMar>
            <w:top w:w="120" w:type="dxa"/>
            <w:left w:w="120" w:type="dxa"/>
            <w:bottom w:w="120" w:type="dxa"/>
            <w:right w:w="120" w:type="dxa"/>
          </w:tblCellMar>
        </w:tblPrEx>
        <w:trPr>
          <w:trHeight w:val="2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比重</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28.</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59.4%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79.6%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46.7%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80.6%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80.4%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79.4%</w:t>
            </w:r>
          </w:p>
        </w:tc>
      </w:tr>
    </w:tbl>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据上表推知，当时（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新民主主义经济政策实施效果明显</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私营经济是社会主义经济有益补充</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对民族资本主义工商业改造迫在眉睫</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限制和利用民族资本主义具有必要性</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【详解】本题是单类型单项选择题。据本题主题干设问词，可知这是推断题。据本题时间信息可知准确时空是</w:t>
      </w:r>
    </w:p>
    <w:p>
      <w:pPr>
        <w:spacing w:line="360" w:lineRule="auto"/>
        <w:jc w:val="left"/>
        <w:textAlignment w:val="center"/>
        <w:rPr>
          <w:rFonts w:ascii="微软雅黑" w:eastAsia="微软雅黑" w:hAnsi="微软雅黑" w:cs="微软雅黑" w:hint="eastAsia"/>
          <w:color w:val="000000"/>
        </w:rPr>
        <w:sectPr>
          <w:headerReference w:type="even" r:id="rId38"/>
          <w:footerReference w:type="even" r:id="rId39"/>
          <w:footerReference w:type="default" r:id="rId40"/>
          <w:headerReference w:type="first" r:id="rId41"/>
          <w:footerReference w:type="first" r:id="rId42"/>
          <w:type w:val="nextPage"/>
          <w:pgSz w:w="11906" w:h="16838"/>
          <w:pgMar w:top="910" w:right="1080" w:bottom="1440" w:left="1080" w:header="152" w:footer="0" w:gutter="0"/>
          <w:pgNumType w:start="6"/>
          <w:cols w:num="1" w:space="720"/>
          <w:titlePg w:val="0"/>
          <w:docGrid w:type="lines" w:linePitch="312" w:charSpace="0"/>
        </w:sectPr>
      </w:pPr>
      <w:r>
        <w:rPr>
          <w:rFonts w:ascii="微软雅黑" w:eastAsia="微软雅黑" w:hAnsi="微软雅黑" w:cs="微软雅黑" w:hint="eastAsia"/>
          <w:color w:val="000000"/>
        </w:rPr>
        <w:t>949年（中国）。据材料可知，</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949年，部分民族工业在中国当时工业总产值中所占比重较高，有的甚至占到百分之八十，</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949年新中国成立，新中国刚刚成立，缺乏经济建设，尤其是缺乏工业建设的经验，民族工业占比高说明其得到一定层度的发展，为此新中国需要利用民族工业工业建设的经验；同时新中国成立了，意味着中国将要走上社会主义的道路，因此出于建设社会主义的需要，我们又需要限制民族工业的发展，D项正确；材料主要涉及民族工业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949年中国工业中的占比情况，无法推知是因为实施了新民主主义经济政策产生的效果，排除A项；题干时间涉及</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949年，当时还未建立社会主义经济，排除B项；材料无法推知对民族资本主义工商业改造迫在眉睫，新中国对民族资本主义工商业改造是从</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95</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年开始的，与题干时间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949年不相符，排除C项。故选D项。</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w:t>
      </w:r>
      <w:r>
        <w:rPr>
          <w:rFonts w:ascii="微软雅黑" w:eastAsia="微软雅黑" w:hAnsi="微软雅黑" w:cs="微软雅黑" w:hint="eastAsia"/>
          <w:color w:val="000000"/>
        </w:rPr>
        <w:t>下图为新华社记者于20世纪80年代初拍摄的一张珍贵照片——实行包产到户的安徽凤阳小岗村带头人严宏昌在村里第一个买了拖拉机。这张照片（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drawing>
          <wp:inline distT="0" distB="0" distL="114300" distR="114300">
            <wp:extent cx="19716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43"/>
                    <a:stretch>
                      <a:fillRect/>
                    </a:stretch>
                  </pic:blipFill>
                  <pic:spPr>
                    <a:xfrm>
                      <a:off x="0" y="0"/>
                      <a:ext cx="1971675" cy="1314450"/>
                    </a:xfrm>
                    <a:prstGeom prst="rect">
                      <a:avLst/>
                    </a:prstGeom>
                  </pic:spPr>
                </pic:pic>
              </a:graphicData>
            </a:graphic>
          </wp:inline>
        </w:drawing>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体现了土地所有制变革的成效</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反映了农业机械化的基本实现</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释放了农村政策延续性的信号</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见证了我国农村小康社会建成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C</w:t>
      </w:r>
    </w:p>
    <w:p>
      <w:pPr>
        <w:spacing w:line="360" w:lineRule="auto"/>
        <w:textAlignment w:val="center"/>
        <w:rPr>
          <w:rFonts w:ascii="微软雅黑" w:eastAsia="微软雅黑" w:hAnsi="微软雅黑" w:cs="微软雅黑" w:hint="eastAsia"/>
          <w:color w:val="000000"/>
        </w:rPr>
        <w:sectPr>
          <w:headerReference w:type="even" r:id="rId44"/>
          <w:footerReference w:type="even" r:id="rId45"/>
          <w:footerReference w:type="default" r:id="rId46"/>
          <w:headerReference w:type="first" r:id="rId47"/>
          <w:footerReference w:type="first" r:id="rId48"/>
          <w:type w:val="nextPage"/>
          <w:pgSz w:w="11906" w:h="16838"/>
          <w:pgMar w:top="910" w:right="1080" w:bottom="1440" w:left="1080" w:header="152" w:footer="0" w:gutter="0"/>
          <w:pgNumType w:start="7"/>
          <w:cols w:num="1" w:space="720"/>
          <w:titlePg w:val="0"/>
          <w:docGrid w:type="lines" w:linePitch="312" w:charSpace="0"/>
        </w:sect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根据题干设问词，可知是本质题。根据题干关键信息可知准确时空是：20世纪80年代的中国。根据材料可知，新华社宣传小岗村带头人严宏昌在家庭联产承包责任制后买了拖拉机，是一种肯定，也释放了农村家庭联产承包责任制会继续延续的信号，C项正确；家庭联产承包责任制变革的是土地的使用权，非所有权，排除A项；当时我国并未实现农业机械化，排除B项；我国全面建成小康社会是在2020年，排除D项。故选C项。</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rPr>
        <w:t>公元前27年，屋大维组织元首顾问议事会，成员包括执政官、行政长官等官员以及多名元老。屋大维向元老院提出的重大议题，事先都经过这个议事会讨论。这一机构的设立（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推动了民主进程</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颠覆了寡头统治</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rPr>
        <w:t>削弱了元首权力</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rPr>
        <w:t>保留了共和因素</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r>
        <w:rPr>
          <w:rFonts w:ascii="微软雅黑" w:eastAsia="微软雅黑" w:hAnsi="微软雅黑" w:cs="微软雅黑" w:hint="eastAsia"/>
          <w:color w:val="000000"/>
        </w:rPr>
        <w:t>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详解】本题是单类型单项选择题。据本题设问词可知是影响题。据本题时间信息可知准确时空：古罗马。据题干可知主要结论：屋大维执政时期，屋大维组建元首顾问议事会，参与国家大事的讨论，然后在元老院议决。结合所学可知，公元</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世纪末屋大维建立元首制，成为披着共和外衣的君主制。 材料中元首顾问议事会有权商讨国家大事，保留了某些共和因素，D项正确；这一机构加强了元首的权力，不利于民主进程，排除A项；这一机构是罗马贵族寡头统治的产物，排除B项；这一机构加强了元首的权力，排除C项。故选D项。</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rPr>
        <w:t>公元72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年，日本太政官奏：“百姓渐多，田地窄狭。望请劝课天下，开辟田畴。其有新造沟池营开垦者，不限多少，给传三世。若逐旧沟池，给其一身。”天皇准奏。这（   ）</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rPr>
        <w:t>反映了灌溉技术进步</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rPr>
        <w:t>动摇了土地公有原则</w:t>
      </w:r>
      <w:r>
        <w:rPr>
          <w:rFonts w:ascii="微软雅黑" w:eastAsia="微软雅黑" w:hAnsi="微软雅黑" w:cs="微软雅黑" w:hint="eastAsia"/>
          <w:color w:val="000000"/>
        </w:rPr>
        <w:br/>
      </w:r>
      <w:r>
        <w:rPr>
          <w:rFonts w:ascii="微软雅黑" w:eastAsia="微软雅黑" w:hAnsi="微软雅黑" w:cs="微软雅黑" w:hint="eastAsia"/>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https://d.book118.com/256032010111010054</w:t>
        </w:r>
      </w:hyperlink>
    </w:p>
    <w:p>
      <w:pPr>
        <w:tabs>
          <w:tab w:val="left" w:pos="4873"/>
        </w:tabs>
        <w:spacing w:line="360" w:lineRule="auto"/>
        <w:jc w:val="left"/>
        <w:textAlignment w:val="center"/>
        <w:rPr>
          <w:rFonts w:ascii="微软雅黑" w:eastAsia="微软雅黑" w:hAnsi="微软雅黑" w:cs="微软雅黑" w:hint="eastAsia"/>
          <w:color w:val="000000"/>
        </w:rPr>
      </w:pPr>
    </w:p>
    <w:sectPr>
      <w:headerReference w:type="even" r:id="rId50"/>
      <w:footerReference w:type="even" r:id="rId51"/>
      <w:footerReference w:type="default" r:id="rId52"/>
      <w:headerReference w:type="first" r:id="rId53"/>
      <w:footerReference w:type="first" r:id="rId54"/>
      <w:type w:val="nextPage"/>
      <w:pgSz w:w="11906" w:h="16838"/>
      <w:pgMar w:top="910" w:right="1080" w:bottom="1440" w:left="1080" w:header="152" w:footer="0" w:gutter="0"/>
      <w:pgNumType w:start="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1</w:t>
    </w:r>
    <w:r>
      <w:rPr>
        <w:rStyle w:val="PageNumber"/>
        <w:rFonts w:eastAsia="宋体" w:hint="eastAsia"/>
        <w:lang w:eastAsia="zh-CN"/>
      </w:rPr>
      <w:fldChar w:fldCharType="end"/>
    </w:r>
  </w:p>
  <w:p>
    <w:pPr>
      <w:pStyle w:val="Footer"/>
      <w:ind w:right="360"/>
      <w:rPr>
        <w:rFonts w:eastAsia="宋体" w:hint="eastAsia"/>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2</w:t>
    </w:r>
    <w:r>
      <w:rPr>
        <w:rStyle w:val="PageNumber"/>
        <w:rFonts w:eastAsia="宋体" w:hint="eastAsia"/>
        <w:lang w:eastAsia="zh-CN"/>
      </w:rPr>
      <w:fldChar w:fldCharType="end"/>
    </w:r>
  </w:p>
  <w:p>
    <w:pPr>
      <w:pStyle w:val="Footer"/>
      <w:ind w:right="360"/>
      <w:rPr>
        <w:rFonts w:eastAsia="宋体" w:hint="eastAsia"/>
        <w:lang w:eastAsia="zh-C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2</w:t>
    </w:r>
    <w:r>
      <w:rPr>
        <w:rStyle w:val="PageNumber"/>
        <w:rFonts w:eastAsia="宋体" w:hint="eastAsia"/>
        <w:lang w:eastAsia="zh-CN"/>
      </w:rPr>
      <w:fldChar w:fldCharType="end"/>
    </w:r>
  </w:p>
  <w:p>
    <w:pPr>
      <w:pStyle w:val="Footer"/>
      <w:ind w:right="360"/>
      <w:rPr>
        <w:rFonts w:eastAsia="宋体" w:hint="eastAsia"/>
        <w:lang w:eastAsia="zh-CN"/>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3</w:t>
    </w:r>
    <w:r>
      <w:rPr>
        <w:rStyle w:val="PageNumber"/>
        <w:rFonts w:eastAsia="宋体" w:hint="eastAsia"/>
        <w:lang w:eastAsia="zh-CN"/>
      </w:rPr>
      <w:fldChar w:fldCharType="end"/>
    </w:r>
  </w:p>
  <w:p>
    <w:pPr>
      <w:pStyle w:val="Footer"/>
      <w:ind w:right="360"/>
      <w:rPr>
        <w:rFonts w:eastAsia="宋体" w:hint="eastAsia"/>
        <w:lang w:eastAsia="zh-CN"/>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5</w:t>
    </w:r>
    <w:r>
      <w:rPr>
        <w:rStyle w:val="PageNumber"/>
        <w:rFonts w:eastAsia="宋体" w:hint="eastAsia"/>
        <w:lang w:eastAsia="zh-CN"/>
      </w:rPr>
      <w:fldChar w:fldCharType="end"/>
    </w:r>
  </w:p>
  <w:p>
    <w:pPr>
      <w:pStyle w:val="Footer"/>
      <w:ind w:right="360"/>
      <w:rPr>
        <w:rFonts w:eastAsia="宋体" w:hint="eastAsia"/>
        <w:lang w:eastAsia="zh-CN"/>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5</w:t>
    </w:r>
    <w:r>
      <w:rPr>
        <w:rStyle w:val="PageNumber"/>
        <w:rFonts w:eastAsia="宋体" w:hint="eastAsia"/>
        <w:lang w:eastAsia="zh-CN"/>
      </w:rPr>
      <w:fldChar w:fldCharType="end"/>
    </w:r>
  </w:p>
  <w:p>
    <w:pPr>
      <w:pStyle w:val="Footer"/>
      <w:ind w:right="360"/>
      <w:rPr>
        <w:rFonts w:eastAsia="宋体" w:hint="eastAsia"/>
        <w:lang w:eastAsia="zh-CN"/>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6</w:t>
    </w:r>
    <w:r>
      <w:rPr>
        <w:rStyle w:val="PageNumber"/>
        <w:rFonts w:eastAsia="宋体" w:hint="eastAsia"/>
        <w:lang w:eastAsia="zh-CN"/>
      </w:rPr>
      <w:fldChar w:fldCharType="end"/>
    </w:r>
  </w:p>
  <w:p>
    <w:pPr>
      <w:pStyle w:val="Footer"/>
      <w:ind w:right="360"/>
      <w:rPr>
        <w:rFonts w:eastAsia="宋体" w:hint="eastAsia"/>
        <w:lang w:eastAsia="zh-CN"/>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7</w:t>
    </w:r>
    <w:r>
      <w:rPr>
        <w:rStyle w:val="PageNumber"/>
        <w:rFonts w:eastAsia="宋体" w:hint="eastAsia"/>
        <w:lang w:eastAsia="zh-CN"/>
      </w:rPr>
      <w:fldChar w:fldCharType="end"/>
    </w:r>
  </w:p>
  <w:p>
    <w:pPr>
      <w:pStyle w:val="Footer"/>
      <w:ind w:right="360"/>
      <w:rPr>
        <w:rFonts w:eastAsia="宋体" w:hint="eastAsia"/>
        <w:lang w:eastAsia="zh-CN"/>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pBdr>
        <w:top w:val="none" w:sz="0" w:space="0" w:color="auto"/>
        <w:left w:val="none" w:sz="0" w:space="0" w:color="auto"/>
        <w:bottom w:val="none" w:sz="0" w:space="0" w:color="auto"/>
        <w:right w:val="none" w:sz="0" w:space="0" w:color="auto"/>
        <w:between w:val="none" w:sz="0" w:space="0" w:color="auto"/>
      </w:pBdr>
      <w:spacing w:after="0" w:afterLines="0"/>
      <w:rPr>
        <w:rFonts w:eastAsia="宋体" w:hint="eastAsia"/>
        <w:lang w:eastAsia="zh-CN"/>
      </w:rPr>
    </w:pPr>
    <w:r>
      <w:rPr>
        <w:rStyle w:val="PageNumber"/>
        <w:rFonts w:eastAsia="宋体" w:hint="eastAsia"/>
        <w:lang w:eastAsia="zh-CN"/>
      </w:rPr>
      <w:fldChar w:fldCharType="begin"/>
    </w:r>
    <w:r>
      <w:rPr>
        <w:rStyle w:val="PageNumber"/>
        <w:rFonts w:eastAsia="宋体" w:hint="eastAsia"/>
        <w:lang w:eastAsia="zh-CN"/>
      </w:rPr>
      <w:instrText xml:space="preserve"> PAGE </w:instrText>
    </w:r>
    <w:r>
      <w:rPr>
        <w:rStyle w:val="PageNumber"/>
        <w:rFonts w:eastAsia="宋体" w:hint="eastAsia"/>
        <w:lang w:eastAsia="zh-CN"/>
      </w:rPr>
      <w:fldChar w:fldCharType="separate"/>
    </w:r>
    <w:r>
      <w:rPr>
        <w:rStyle w:val="PageNumber"/>
        <w:rFonts w:eastAsia="宋体" w:hint="eastAsia"/>
        <w:lang w:eastAsia="zh-CN"/>
      </w:rPr>
      <w:t>8</w:t>
    </w:r>
    <w:r>
      <w:rPr>
        <w:rStyle w:val="PageNumber"/>
        <w:rFonts w:eastAsia="宋体" w:hint="eastAsia"/>
        <w:lang w:eastAsia="zh-CN"/>
      </w:rPr>
      <w:fldChar w:fldCharType="end"/>
    </w:r>
  </w:p>
  <w:p>
    <w:pPr>
      <w:pStyle w:val="Footer"/>
      <w:ind w:right="360"/>
      <w:rPr>
        <w:rFonts w:eastAsia="宋体" w:hint="eastAsia"/>
        <w:lang w:eastAsia="zh-CN"/>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B31E39"/>
    <w:rsid w:val="38274566"/>
    <w:rsid w:val="562554F5"/>
    <w:rsid w:val="60A269FB"/>
    <w:rsid w:val="64A32485"/>
  </w:rsids>
  <w:docVars>
    <w:docVar w:name="commondata" w:val="eyJoZGlkIjoiOGJiMGQ3NmNiNDBlZjk3NmQzODViMjhiY2E3MTYw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PageNumber">
    <w:name w:val="page number"/>
    <w:basedOn w:val="DefaultParagraphFont"/>
    <w:autoRedefine/>
    <w:qFormat/>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header" Target="header3.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4.xml" /><Relationship Id="rId16" Type="http://schemas.openxmlformats.org/officeDocument/2006/relationships/footer" Target="footer6.xml" /><Relationship Id="rId17" Type="http://schemas.openxmlformats.org/officeDocument/2006/relationships/header" Target="header5.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9.xml" /><Relationship Id="rId22" Type="http://schemas.openxmlformats.org/officeDocument/2006/relationships/header" Target="header7.xml" /><Relationship Id="rId23" Type="http://schemas.openxmlformats.org/officeDocument/2006/relationships/footer" Target="footer10.xml" /><Relationship Id="rId24" Type="http://schemas.openxmlformats.org/officeDocument/2006/relationships/footer" Target="footer11.xml" /><Relationship Id="rId25" Type="http://schemas.openxmlformats.org/officeDocument/2006/relationships/header" Target="header8.xml" /><Relationship Id="rId26" Type="http://schemas.openxmlformats.org/officeDocument/2006/relationships/footer" Target="footer12.xml" /><Relationship Id="rId27" Type="http://schemas.openxmlformats.org/officeDocument/2006/relationships/image" Target="media/image3.wmf" /><Relationship Id="rId28" Type="http://schemas.openxmlformats.org/officeDocument/2006/relationships/header" Target="header9.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footer" Target="footer14.xml" /><Relationship Id="rId31" Type="http://schemas.openxmlformats.org/officeDocument/2006/relationships/header" Target="header10.xml" /><Relationship Id="rId32" Type="http://schemas.openxmlformats.org/officeDocument/2006/relationships/footer" Target="footer15.xml" /><Relationship Id="rId33" Type="http://schemas.openxmlformats.org/officeDocument/2006/relationships/header" Target="header11.xml" /><Relationship Id="rId34" Type="http://schemas.openxmlformats.org/officeDocument/2006/relationships/footer" Target="footer16.xml" /><Relationship Id="rId35" Type="http://schemas.openxmlformats.org/officeDocument/2006/relationships/footer" Target="footer17.xml" /><Relationship Id="rId36" Type="http://schemas.openxmlformats.org/officeDocument/2006/relationships/header" Target="header12.xml" /><Relationship Id="rId37" Type="http://schemas.openxmlformats.org/officeDocument/2006/relationships/footer" Target="footer18.xml" /><Relationship Id="rId38" Type="http://schemas.openxmlformats.org/officeDocument/2006/relationships/header" Target="header13.xml" /><Relationship Id="rId39" Type="http://schemas.openxmlformats.org/officeDocument/2006/relationships/footer" Target="footer19.xml" /><Relationship Id="rId4" Type="http://schemas.openxmlformats.org/officeDocument/2006/relationships/customXml" Target="../customXml/item1.xml" /><Relationship Id="rId40" Type="http://schemas.openxmlformats.org/officeDocument/2006/relationships/footer" Target="footer20.xml" /><Relationship Id="rId41" Type="http://schemas.openxmlformats.org/officeDocument/2006/relationships/header" Target="header14.xml" /><Relationship Id="rId42" Type="http://schemas.openxmlformats.org/officeDocument/2006/relationships/footer" Target="footer21.xml" /><Relationship Id="rId43" Type="http://schemas.openxmlformats.org/officeDocument/2006/relationships/image" Target="media/image4.png" /><Relationship Id="rId44" Type="http://schemas.openxmlformats.org/officeDocument/2006/relationships/header" Target="header15.xml" /><Relationship Id="rId45" Type="http://schemas.openxmlformats.org/officeDocument/2006/relationships/footer" Target="footer22.xml" /><Relationship Id="rId46" Type="http://schemas.openxmlformats.org/officeDocument/2006/relationships/footer" Target="footer23.xml" /><Relationship Id="rId47" Type="http://schemas.openxmlformats.org/officeDocument/2006/relationships/header" Target="header16.xml" /><Relationship Id="rId48" Type="http://schemas.openxmlformats.org/officeDocument/2006/relationships/footer" Target="footer24.xml" /><Relationship Id="rId49" Type="http://schemas.openxmlformats.org/officeDocument/2006/relationships/hyperlink" Target="https://d.book118.com/256032010111010054" TargetMode="External" /><Relationship Id="rId5" Type="http://schemas.openxmlformats.org/officeDocument/2006/relationships/image" Target="media/image1.png" /><Relationship Id="rId50" Type="http://schemas.openxmlformats.org/officeDocument/2006/relationships/header" Target="header17.xml" /><Relationship Id="rId51" Type="http://schemas.openxmlformats.org/officeDocument/2006/relationships/footer" Target="footer25.xml" /><Relationship Id="rId52" Type="http://schemas.openxmlformats.org/officeDocument/2006/relationships/footer" Target="footer26.xml" /><Relationship Id="rId53" Type="http://schemas.openxmlformats.org/officeDocument/2006/relationships/header" Target="header18.xml" /><Relationship Id="rId54" Type="http://schemas.openxmlformats.org/officeDocument/2006/relationships/footer" Target="footer27.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3264310165520384</dc:description>
  <cp:lastModifiedBy>马兵兵</cp:lastModifiedBy>
  <cp:revision>8</cp:revision>
  <dcterms:created xsi:type="dcterms:W3CDTF">2023-06-23T15:40:00Z</dcterms:created>
  <dcterms:modified xsi:type="dcterms:W3CDTF">2024-03-04T14:39:02Z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9B733053181A414FBD02A3B9F9DEEC0B_13</vt:lpwstr>
  </property>
  <property fmtid="{D5CDD505-2E9C-101B-9397-08002B2CF9AE}" pid="7" name="KSOProductBuildVer">
    <vt:lpwstr>2052-12.1.0.16399</vt:lpwstr>
  </property>
</Properties>
</file>