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2018-2023年张家界航空工业职业技术学院高职单招（数学／语文／英语）历年常考试题库含答案解析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关于大同世界的美好理想源自（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《五代史伶官传序》的中心论点是（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B.“盛衰之理，虽曰天命，岂非人事哉”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冰心在《往事》一文中，用什么形象的特征象征人的品格（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A.灯光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D.蜜蜂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43396" cy="209572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李斯的代表作是（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以宋室南渡为界，词作的情感和风格呈现出两种不同面貌的作家是（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受五四新思潮的冲击，巴金最先接受了什么思想的影响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A.革命民主主义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B.俄国民粹派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C.马克思主义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D.自由主义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马致远的《天净沙·秋思》最突出的艺术特色是（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A.设景抒情、时空跳跃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B.设景抒情、多用比兴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C.借景抒情、寓情于景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https://d.book118.com/256032031233010052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56032031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