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/>
    </v:background>
  </w:background>
  <w:body>
    <w:p>
      <w:pPr>
        <w:adjustRightInd w:val="0"/>
        <w:snapToGrid w:val="0"/>
        <w:spacing w:line="300" w:lineRule="auto"/>
        <w:jc w:val="center"/>
        <w:rPr>
          <w:rFonts w:eastAsia="楷体_GB2312" w:hint="eastAsia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 w:hint="eastAsia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jc w:val="both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  <w:szCs w:val="24"/>
        </w:rPr>
        <w:t>沈阳寿险市场供给、需求与竞争发展分析</w:t>
      </w:r>
      <w:r>
        <w:rPr>
          <w:rFonts w:ascii="黑体" w:eastAsia="黑体" w:hAnsi="黑体"/>
          <w:sz w:val="24"/>
          <w:szCs w:val="24"/>
        </w:rPr>
        <w:t>—以平安沈阳</w:t>
      </w:r>
      <w:r>
        <w:rPr>
          <w:rFonts w:ascii="黑体" w:eastAsia="黑体" w:hAnsi="黑体" w:hint="eastAsia"/>
          <w:sz w:val="24"/>
          <w:szCs w:val="24"/>
        </w:rPr>
        <w:t>寿险</w:t>
      </w:r>
      <w:r>
        <w:rPr>
          <w:rFonts w:ascii="黑体" w:eastAsia="黑体" w:hAnsi="黑体"/>
          <w:sz w:val="24"/>
          <w:szCs w:val="24"/>
        </w:rPr>
        <w:t>中心为例</w:t>
      </w: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rFonts w:hint="eastAsia"/>
          <w:color w:val="00CCFF"/>
          <w:sz w:val="32"/>
          <w:szCs w:val="32"/>
        </w:rPr>
      </w:pPr>
    </w:p>
    <w:p>
      <w:pPr>
        <w:adjustRightInd w:val="0"/>
        <w:snapToGrid w:val="0"/>
        <w:spacing w:line="300" w:lineRule="auto"/>
        <w:rPr>
          <w:rFonts w:hint="eastAsia"/>
          <w:sz w:val="32"/>
        </w:rPr>
      </w:pPr>
    </w:p>
    <w:p>
      <w:pPr>
        <w:rPr>
          <w:rFonts w:ascii="黑体" w:eastAsia="黑体" w:hAnsi="黑体"/>
          <w:color w:val="00CCFF"/>
          <w:sz w:val="32"/>
          <w:szCs w:val="32"/>
        </w:rPr>
        <w:sectPr>
          <w:headerReference w:type="default" r:id="rId4"/>
          <w:footerReference w:type="default" r:id="rId5"/>
          <w:headerReference w:type="first" r:id="rId6"/>
          <w:pgSz w:w="11907" w:h="16840"/>
          <w:pgMar w:top="1418" w:right="1134" w:bottom="1418" w:left="1418" w:header="851" w:footer="1134" w:gutter="0"/>
          <w:pgNumType w:fmt="numberInDash" w:start="1"/>
          <w:cols w:space="708"/>
          <w:docGrid w:type="lines" w:linePitch="312"/>
        </w:sectPr>
      </w:pPr>
    </w:p>
    <w:p>
      <w:pPr>
        <w:pStyle w:val="TOCHeading"/>
        <w:adjustRightInd w:val="0"/>
        <w:snapToGrid w:val="0"/>
        <w:spacing w:before="0" w:line="300" w:lineRule="auto"/>
        <w:jc w:val="both"/>
        <w:rPr>
          <w:rFonts w:ascii="黑体" w:eastAsia="黑体" w:hAnsi="黑体" w:hint="eastAsia"/>
          <w:color w:val="000000"/>
          <w:sz w:val="32"/>
          <w:szCs w:val="32"/>
          <w:lang w:val="zh-CN"/>
        </w:rPr>
      </w:pPr>
    </w:p>
    <w:p>
      <w:pPr>
        <w:pStyle w:val="TOCHeading"/>
        <w:adjustRightInd w:val="0"/>
        <w:snapToGrid w:val="0"/>
        <w:spacing w:before="0" w:line="300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/>
          <w:b w:val="0"/>
          <w:color w:val="000000"/>
          <w:sz w:val="32"/>
          <w:szCs w:val="32"/>
          <w:lang w:val="zh-CN"/>
        </w:rPr>
        <w:t>目</w:t>
      </w:r>
      <w:r>
        <w:rPr>
          <w:rFonts w:ascii="黑体" w:eastAsia="黑体" w:hAnsi="黑体" w:hint="eastAsia"/>
          <w:b w:val="0"/>
          <w:color w:val="000000"/>
          <w:sz w:val="32"/>
          <w:szCs w:val="32"/>
          <w:lang w:val="zh-CN"/>
        </w:rPr>
        <w:t xml:space="preserve">    </w:t>
      </w:r>
      <w:r>
        <w:rPr>
          <w:rFonts w:ascii="黑体" w:eastAsia="黑体" w:hAnsi="黑体"/>
          <w:b w:val="0"/>
          <w:color w:val="000000"/>
          <w:sz w:val="32"/>
          <w:szCs w:val="32"/>
          <w:lang w:val="zh-CN"/>
        </w:rPr>
        <w:t>录</w:t>
      </w:r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1530537" w:history="1">
        <w:r>
          <w:rPr>
            <w:rStyle w:val="Hyperlink"/>
            <w:kern w:val="44"/>
          </w:rPr>
          <w:t>摘    要</w:t>
        </w:r>
        <w:r>
          <w:tab/>
        </w:r>
        <w:r>
          <w:fldChar w:fldCharType="begin"/>
        </w:r>
        <w:r>
          <w:instrText xml:space="preserve"> PAGEREF _Toc11530537 \h </w:instrText>
        </w:r>
        <w:r>
          <w:fldChar w:fldCharType="separate"/>
        </w:r>
        <w:r>
          <w:t>I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38" w:history="1">
        <w:r>
          <w:rPr>
            <w:rStyle w:val="Hyperlink"/>
            <w:bCs/>
            <w:kern w:val="44"/>
          </w:rPr>
          <w:t>Abstract</w:t>
        </w:r>
        <w:r>
          <w:tab/>
        </w:r>
        <w:r>
          <w:fldChar w:fldCharType="begin"/>
        </w:r>
        <w:r>
          <w:instrText xml:space="preserve"> PAGEREF _Toc11530538 \h </w:instrText>
        </w:r>
        <w:r>
          <w:fldChar w:fldCharType="separate"/>
        </w:r>
        <w:r>
          <w:t>II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39" w:history="1">
        <w:r>
          <w:rPr>
            <w:rStyle w:val="Hyperlink"/>
            <w:bCs/>
            <w:kern w:val="44"/>
          </w:rPr>
          <w:t>引    言</w:t>
        </w:r>
        <w:r>
          <w:tab/>
        </w:r>
        <w:r>
          <w:fldChar w:fldCharType="begin"/>
        </w:r>
        <w:r>
          <w:instrText xml:space="preserve"> PAGEREF _Toc11530539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40" w:history="1">
        <w:r>
          <w:rPr>
            <w:rStyle w:val="Hyperlink"/>
            <w:bCs/>
            <w:kern w:val="44"/>
          </w:rPr>
          <w:t>1 沈阳寿险市场特征及规模</w:t>
        </w:r>
        <w:r>
          <w:tab/>
        </w:r>
        <w:r>
          <w:fldChar w:fldCharType="begin"/>
        </w:r>
        <w:r>
          <w:instrText xml:space="preserve"> PAGEREF _Toc11530540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1" w:history="1">
        <w:r>
          <w:rPr>
            <w:rStyle w:val="Hyperlink"/>
            <w:bCs/>
            <w:kern w:val="44"/>
          </w:rPr>
          <w:t xml:space="preserve">1.1 </w:t>
        </w:r>
        <w:r>
          <w:rPr>
            <w:rStyle w:val="Hyperlink"/>
            <w:bCs/>
          </w:rPr>
          <w:t>寿险市场的特征</w:t>
        </w:r>
        <w:r>
          <w:tab/>
        </w:r>
        <w:r>
          <w:fldChar w:fldCharType="begin"/>
        </w:r>
        <w:r>
          <w:instrText xml:space="preserve"> PAGEREF _Toc11530541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2" w:history="1">
        <w:r>
          <w:rPr>
            <w:rStyle w:val="Hyperlink"/>
            <w:bCs/>
          </w:rPr>
          <w:t>1.2 沈阳寿险市场规模</w:t>
        </w:r>
        <w:r>
          <w:tab/>
        </w:r>
        <w:r>
          <w:fldChar w:fldCharType="begin"/>
        </w:r>
        <w:r>
          <w:instrText xml:space="preserve"> PAGEREF _Toc11530542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43" w:history="1">
        <w:r>
          <w:rPr>
            <w:rStyle w:val="Hyperlink"/>
            <w:bCs/>
            <w:kern w:val="44"/>
          </w:rPr>
          <w:t>2 沈阳寿险市场供给分析</w:t>
        </w:r>
        <w:r>
          <w:tab/>
        </w:r>
        <w:r>
          <w:fldChar w:fldCharType="begin"/>
        </w:r>
        <w:r>
          <w:instrText xml:space="preserve"> PAGEREF _Toc11530543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4" w:history="1">
        <w:r>
          <w:rPr>
            <w:rStyle w:val="Hyperlink"/>
          </w:rPr>
          <w:t>2.1 沈阳寿险市场供给现状</w:t>
        </w:r>
        <w:r>
          <w:tab/>
        </w:r>
        <w:r>
          <w:fldChar w:fldCharType="begin"/>
        </w:r>
        <w:r>
          <w:instrText xml:space="preserve"> PAGEREF _Toc11530544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5" w:history="1">
        <w:r>
          <w:rPr>
            <w:rStyle w:val="Hyperlink"/>
          </w:rPr>
          <w:t>2.2 影响沈阳寿险市场供给因素</w:t>
        </w:r>
        <w:r>
          <w:tab/>
        </w:r>
        <w:r>
          <w:fldChar w:fldCharType="begin"/>
        </w:r>
        <w:r>
          <w:instrText xml:space="preserve"> PAGEREF _Toc11530545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46" w:history="1">
        <w:r>
          <w:rPr>
            <w:rStyle w:val="Hyperlink"/>
            <w:bCs/>
            <w:kern w:val="44"/>
          </w:rPr>
          <w:t>3 沈阳寿险市场需求分析</w:t>
        </w:r>
        <w:r>
          <w:tab/>
        </w:r>
        <w:r>
          <w:fldChar w:fldCharType="begin"/>
        </w:r>
        <w:r>
          <w:instrText xml:space="preserve"> PAGEREF _Toc11530546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7" w:history="1">
        <w:r>
          <w:rPr>
            <w:rStyle w:val="Hyperlink"/>
            <w:bCs/>
          </w:rPr>
          <w:t>3.1 沈阳寿险市场需求现状</w:t>
        </w:r>
        <w:r>
          <w:tab/>
        </w:r>
        <w:r>
          <w:fldChar w:fldCharType="begin"/>
        </w:r>
        <w:r>
          <w:instrText xml:space="preserve"> PAGEREF _Toc11530547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48" w:history="1">
        <w:r>
          <w:rPr>
            <w:rStyle w:val="Hyperlink"/>
            <w:bCs/>
          </w:rPr>
          <w:t>3.2 影响沈阳寿险市场的需求因素</w:t>
        </w:r>
        <w:r>
          <w:tab/>
        </w:r>
        <w:r>
          <w:fldChar w:fldCharType="begin"/>
        </w:r>
        <w:r>
          <w:instrText xml:space="preserve"> PAGEREF _Toc11530548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49" w:history="1">
        <w:r>
          <w:rPr>
            <w:rStyle w:val="Hyperlink"/>
          </w:rPr>
          <w:t>4 沈阳寿险市场供需矛盾及解决建议</w:t>
        </w:r>
        <w:r>
          <w:tab/>
        </w:r>
        <w:r>
          <w:fldChar w:fldCharType="begin"/>
        </w:r>
        <w:r>
          <w:instrText xml:space="preserve"> PAGEREF _Toc11530549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50" w:history="1">
        <w:r>
          <w:rPr>
            <w:rStyle w:val="Hyperlink"/>
            <w:bCs/>
          </w:rPr>
          <w:t xml:space="preserve">4.1 </w:t>
        </w:r>
        <w:r>
          <w:rPr>
            <w:rStyle w:val="Hyperlink"/>
          </w:rPr>
          <w:t>沈阳寿险市场供需矛盾</w:t>
        </w:r>
        <w:r>
          <w:tab/>
        </w:r>
        <w:r>
          <w:fldChar w:fldCharType="begin"/>
        </w:r>
        <w:r>
          <w:instrText xml:space="preserve"> PAGEREF _Toc11530550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51" w:history="1">
        <w:r>
          <w:rPr>
            <w:rStyle w:val="Hyperlink"/>
          </w:rPr>
          <w:t>4.2 解决沈阳寿险市场供需矛盾的建议</w:t>
        </w:r>
        <w:r>
          <w:tab/>
        </w:r>
        <w:r>
          <w:fldChar w:fldCharType="begin"/>
        </w:r>
        <w:r>
          <w:instrText xml:space="preserve"> PAGEREF _Toc11530551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52" w:history="1">
        <w:r>
          <w:rPr>
            <w:rStyle w:val="Hyperlink"/>
            <w:bCs/>
            <w:kern w:val="44"/>
          </w:rPr>
          <w:t>5 竞争发展分析</w:t>
        </w:r>
        <w:r>
          <w:tab/>
        </w:r>
        <w:r>
          <w:fldChar w:fldCharType="begin"/>
        </w:r>
        <w:r>
          <w:instrText xml:space="preserve"> PAGEREF _Toc11530552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53" w:history="1">
        <w:r>
          <w:rPr>
            <w:rStyle w:val="Hyperlink"/>
          </w:rPr>
          <w:t>5.1 竞争力不足</w:t>
        </w:r>
        <w:r>
          <w:tab/>
        </w:r>
        <w:r>
          <w:fldChar w:fldCharType="begin"/>
        </w:r>
        <w:r>
          <w:instrText xml:space="preserve"> PAGEREF _Toc11530553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54" w:history="1">
        <w:r>
          <w:rPr>
            <w:rStyle w:val="Hyperlink"/>
          </w:rPr>
          <w:t>5.2 提升竞争力举措</w:t>
        </w:r>
        <w:r>
          <w:tab/>
        </w:r>
        <w:r>
          <w:fldChar w:fldCharType="begin"/>
        </w:r>
        <w:r>
          <w:instrText xml:space="preserve"> PAGEREF _Toc11530554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345"/>
        </w:tabs>
        <w:ind w:left="420"/>
        <w:rPr>
          <w:sz w:val="21"/>
          <w:szCs w:val="22"/>
        </w:rPr>
      </w:pPr>
      <w:hyperlink w:anchor="_Toc11530555" w:history="1">
        <w:r>
          <w:rPr>
            <w:rStyle w:val="Hyperlink"/>
            <w:bCs/>
            <w:kern w:val="44"/>
          </w:rPr>
          <w:t>5.3 未来发展趋势</w:t>
        </w:r>
        <w:r>
          <w:tab/>
        </w:r>
        <w:r>
          <w:fldChar w:fldCharType="begin"/>
        </w:r>
        <w:r>
          <w:instrText xml:space="preserve"> PAGEREF _Toc11530555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56" w:history="1">
        <w:r>
          <w:rPr>
            <w:rStyle w:val="Hyperlink"/>
            <w:bCs/>
            <w:kern w:val="44"/>
          </w:rPr>
          <w:t>结    论</w:t>
        </w:r>
        <w:r>
          <w:tab/>
        </w:r>
        <w:r>
          <w:fldChar w:fldCharType="begin"/>
        </w:r>
        <w:r>
          <w:instrText xml:space="preserve"> PAGEREF _Toc11530556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57" w:history="1">
        <w:r>
          <w:rPr>
            <w:rStyle w:val="Hyperlink"/>
            <w:bCs/>
            <w:kern w:val="44"/>
          </w:rPr>
          <w:t>参考文献</w:t>
        </w:r>
        <w:r>
          <w:tab/>
        </w:r>
        <w:r>
          <w:fldChar w:fldCharType="begin"/>
        </w:r>
        <w:r>
          <w:instrText xml:space="preserve"> PAGEREF _Toc11530557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9345"/>
        </w:tabs>
        <w:rPr>
          <w:sz w:val="21"/>
          <w:szCs w:val="22"/>
        </w:rPr>
      </w:pPr>
      <w:hyperlink w:anchor="_Toc11530558" w:history="1">
        <w:r>
          <w:rPr>
            <w:rStyle w:val="Hyperlink"/>
            <w:kern w:val="44"/>
          </w:rPr>
          <w:t>致    谢</w:t>
        </w:r>
        <w:r>
          <w:tab/>
        </w:r>
        <w:r>
          <w:fldChar w:fldCharType="begin"/>
        </w:r>
        <w:r>
          <w:instrText xml:space="preserve"> PAGEREF _Toc11530558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adjustRightInd w:val="0"/>
        <w:snapToGrid w:val="0"/>
        <w:spacing w:line="300" w:lineRule="auto"/>
      </w:pPr>
      <w:r>
        <w:rPr>
          <w:b/>
          <w:bCs/>
          <w:sz w:val="28"/>
          <w:szCs w:val="28"/>
          <w:lang w:val="zh-CN"/>
        </w:rPr>
        <w:fldChar w:fldCharType="end"/>
      </w:r>
    </w:p>
    <w:p>
      <w:pPr>
        <w:adjustRightInd w:val="0"/>
        <w:snapToGrid w:val="0"/>
        <w:spacing w:line="300" w:lineRule="auto"/>
        <w:rPr>
          <w:rFonts w:ascii="黑体" w:eastAsia="黑体" w:hAnsi="黑体"/>
          <w:sz w:val="32"/>
          <w:szCs w:val="32"/>
        </w:rPr>
      </w:pPr>
    </w:p>
    <w:p>
      <w:pPr>
        <w:adjustRightInd w:val="0"/>
        <w:snapToGrid w:val="0"/>
        <w:spacing w:line="300" w:lineRule="auto"/>
        <w:jc w:val="left"/>
      </w:pPr>
    </w:p>
    <w:p>
      <w:pPr>
        <w:adjustRightInd w:val="0"/>
        <w:snapToGrid w:val="0"/>
        <w:spacing w:line="300" w:lineRule="auto"/>
        <w:rPr>
          <w:color w:val="00B0F0"/>
        </w:rPr>
      </w:pPr>
      <w:r>
        <w:rPr>
          <w:color w:val="00B0F0"/>
        </w:rPr>
        <w:br/>
      </w:r>
      <w:r>
        <w:rPr>
          <w:color w:val="00B0F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https://d.book118.com/256102002115010052</w:t>
        </w:r>
      </w:hyperlink>
    </w:p>
    <w:p>
      <w:pPr>
        <w:adjustRightInd w:val="0"/>
        <w:snapToGrid w:val="0"/>
        <w:spacing w:line="300" w:lineRule="auto"/>
        <w:rPr>
          <w:color w:val="00B0F0"/>
        </w:rPr>
      </w:pPr>
    </w:p>
    <w:sectPr>
      <w:headerReference w:type="default" r:id="rId8"/>
      <w:footerReference w:type="default" r:id="rId9"/>
      <w:headerReference w:type="first" r:id="rId10"/>
      <w:pgSz w:w="11907" w:h="16840"/>
      <w:pgMar w:top="1418" w:right="1134" w:bottom="1418" w:left="1418" w:header="851" w:footer="1134" w:gutter="0"/>
      <w:pgNumType w:fmt="numberInDash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1" w:usb1="080E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A57"/>
    <w:rsid w:val="000046B1"/>
    <w:rsid w:val="00013092"/>
    <w:rsid w:val="00017B52"/>
    <w:rsid w:val="0002005A"/>
    <w:rsid w:val="00022DAB"/>
    <w:rsid w:val="000248DD"/>
    <w:rsid w:val="00041446"/>
    <w:rsid w:val="00055E68"/>
    <w:rsid w:val="00057A2B"/>
    <w:rsid w:val="00070CC4"/>
    <w:rsid w:val="00074ACB"/>
    <w:rsid w:val="000C1B5E"/>
    <w:rsid w:val="000C4E9D"/>
    <w:rsid w:val="000C545A"/>
    <w:rsid w:val="000E5962"/>
    <w:rsid w:val="001121B1"/>
    <w:rsid w:val="00120B4D"/>
    <w:rsid w:val="0012388B"/>
    <w:rsid w:val="00152ABF"/>
    <w:rsid w:val="0016092F"/>
    <w:rsid w:val="001659D7"/>
    <w:rsid w:val="00167D99"/>
    <w:rsid w:val="001A304F"/>
    <w:rsid w:val="001A387C"/>
    <w:rsid w:val="001A68D5"/>
    <w:rsid w:val="001C6202"/>
    <w:rsid w:val="001D2A26"/>
    <w:rsid w:val="001F1B8C"/>
    <w:rsid w:val="001F7159"/>
    <w:rsid w:val="00214265"/>
    <w:rsid w:val="00221D9D"/>
    <w:rsid w:val="00232131"/>
    <w:rsid w:val="00256A69"/>
    <w:rsid w:val="002A0D84"/>
    <w:rsid w:val="002B5980"/>
    <w:rsid w:val="002C2B7D"/>
    <w:rsid w:val="002D6FD7"/>
    <w:rsid w:val="002E2A82"/>
    <w:rsid w:val="002E48D3"/>
    <w:rsid w:val="002F57B9"/>
    <w:rsid w:val="003107D6"/>
    <w:rsid w:val="00312FE4"/>
    <w:rsid w:val="00353077"/>
    <w:rsid w:val="00360253"/>
    <w:rsid w:val="00393FC8"/>
    <w:rsid w:val="003A615C"/>
    <w:rsid w:val="003B44A5"/>
    <w:rsid w:val="003B5D67"/>
    <w:rsid w:val="003C09C8"/>
    <w:rsid w:val="003C1279"/>
    <w:rsid w:val="003D1C83"/>
    <w:rsid w:val="003D289F"/>
    <w:rsid w:val="003D4184"/>
    <w:rsid w:val="003D56B8"/>
    <w:rsid w:val="003E0E3E"/>
    <w:rsid w:val="003E7A5B"/>
    <w:rsid w:val="003F15F9"/>
    <w:rsid w:val="003F1618"/>
    <w:rsid w:val="003F7120"/>
    <w:rsid w:val="004209B7"/>
    <w:rsid w:val="0042362B"/>
    <w:rsid w:val="00433039"/>
    <w:rsid w:val="00440981"/>
    <w:rsid w:val="00444613"/>
    <w:rsid w:val="00465044"/>
    <w:rsid w:val="0048180D"/>
    <w:rsid w:val="004D0AB9"/>
    <w:rsid w:val="004D7BE7"/>
    <w:rsid w:val="005110E3"/>
    <w:rsid w:val="00513FE2"/>
    <w:rsid w:val="005353BA"/>
    <w:rsid w:val="00536536"/>
    <w:rsid w:val="005367DA"/>
    <w:rsid w:val="00542F3C"/>
    <w:rsid w:val="005510F8"/>
    <w:rsid w:val="00554A7C"/>
    <w:rsid w:val="00565A1B"/>
    <w:rsid w:val="0058052E"/>
    <w:rsid w:val="00582148"/>
    <w:rsid w:val="00590322"/>
    <w:rsid w:val="005B53BA"/>
    <w:rsid w:val="005B5978"/>
    <w:rsid w:val="005B6AD4"/>
    <w:rsid w:val="005C19DE"/>
    <w:rsid w:val="005C2EC3"/>
    <w:rsid w:val="005D661F"/>
    <w:rsid w:val="005E292F"/>
    <w:rsid w:val="005E53ED"/>
    <w:rsid w:val="005E7FC3"/>
    <w:rsid w:val="005F215A"/>
    <w:rsid w:val="006051A6"/>
    <w:rsid w:val="00613DF0"/>
    <w:rsid w:val="00642FA6"/>
    <w:rsid w:val="00660726"/>
    <w:rsid w:val="006620DA"/>
    <w:rsid w:val="00671257"/>
    <w:rsid w:val="0068264C"/>
    <w:rsid w:val="00683D7D"/>
    <w:rsid w:val="0068567F"/>
    <w:rsid w:val="00693E51"/>
    <w:rsid w:val="006A5C80"/>
    <w:rsid w:val="006A7465"/>
    <w:rsid w:val="006B3CBF"/>
    <w:rsid w:val="006B5B03"/>
    <w:rsid w:val="006D4CB6"/>
    <w:rsid w:val="006E3142"/>
    <w:rsid w:val="006E3745"/>
    <w:rsid w:val="006E399E"/>
    <w:rsid w:val="006F0F02"/>
    <w:rsid w:val="006F21CB"/>
    <w:rsid w:val="006F2B4B"/>
    <w:rsid w:val="006F2DC6"/>
    <w:rsid w:val="00711E08"/>
    <w:rsid w:val="007211CF"/>
    <w:rsid w:val="007235E2"/>
    <w:rsid w:val="00742AC0"/>
    <w:rsid w:val="00744A57"/>
    <w:rsid w:val="00747641"/>
    <w:rsid w:val="007509CC"/>
    <w:rsid w:val="00757CBD"/>
    <w:rsid w:val="00761AC0"/>
    <w:rsid w:val="00775E78"/>
    <w:rsid w:val="0078098C"/>
    <w:rsid w:val="00787DE8"/>
    <w:rsid w:val="007A2CDE"/>
    <w:rsid w:val="007A5370"/>
    <w:rsid w:val="007A7242"/>
    <w:rsid w:val="007C1F0A"/>
    <w:rsid w:val="007C3DA6"/>
    <w:rsid w:val="007D105E"/>
    <w:rsid w:val="007E116F"/>
    <w:rsid w:val="007E1A26"/>
    <w:rsid w:val="007F2010"/>
    <w:rsid w:val="007F7C88"/>
    <w:rsid w:val="00805E13"/>
    <w:rsid w:val="00837E0F"/>
    <w:rsid w:val="008440C4"/>
    <w:rsid w:val="00854137"/>
    <w:rsid w:val="008918F2"/>
    <w:rsid w:val="00891D91"/>
    <w:rsid w:val="0089238A"/>
    <w:rsid w:val="008A5873"/>
    <w:rsid w:val="008B38B7"/>
    <w:rsid w:val="008C0B9D"/>
    <w:rsid w:val="008C585B"/>
    <w:rsid w:val="008D0B1C"/>
    <w:rsid w:val="008D3402"/>
    <w:rsid w:val="008D479D"/>
    <w:rsid w:val="008D51E8"/>
    <w:rsid w:val="008D7B6F"/>
    <w:rsid w:val="008E7127"/>
    <w:rsid w:val="008E7EFA"/>
    <w:rsid w:val="008F0E2E"/>
    <w:rsid w:val="008F4F6D"/>
    <w:rsid w:val="00902774"/>
    <w:rsid w:val="00904892"/>
    <w:rsid w:val="00933E9E"/>
    <w:rsid w:val="009365DC"/>
    <w:rsid w:val="00957FDC"/>
    <w:rsid w:val="0096159B"/>
    <w:rsid w:val="00971D19"/>
    <w:rsid w:val="0097244D"/>
    <w:rsid w:val="00975B84"/>
    <w:rsid w:val="00975FBA"/>
    <w:rsid w:val="009928F7"/>
    <w:rsid w:val="00997BDF"/>
    <w:rsid w:val="009C05CF"/>
    <w:rsid w:val="009C59D4"/>
    <w:rsid w:val="009C6C35"/>
    <w:rsid w:val="009E1072"/>
    <w:rsid w:val="009E3899"/>
    <w:rsid w:val="009F3ABE"/>
    <w:rsid w:val="009F5466"/>
    <w:rsid w:val="00A1772C"/>
    <w:rsid w:val="00A33B5D"/>
    <w:rsid w:val="00A47711"/>
    <w:rsid w:val="00A47DB3"/>
    <w:rsid w:val="00A5532B"/>
    <w:rsid w:val="00A62345"/>
    <w:rsid w:val="00A70CB0"/>
    <w:rsid w:val="00A804C7"/>
    <w:rsid w:val="00A8223C"/>
    <w:rsid w:val="00A849CF"/>
    <w:rsid w:val="00A851BE"/>
    <w:rsid w:val="00A9579C"/>
    <w:rsid w:val="00AB2747"/>
    <w:rsid w:val="00AB7666"/>
    <w:rsid w:val="00AD0A44"/>
    <w:rsid w:val="00AD0DA3"/>
    <w:rsid w:val="00AD2DC2"/>
    <w:rsid w:val="00AE01E3"/>
    <w:rsid w:val="00AE6AC9"/>
    <w:rsid w:val="00AF3B09"/>
    <w:rsid w:val="00B15C51"/>
    <w:rsid w:val="00B216A4"/>
    <w:rsid w:val="00B23B65"/>
    <w:rsid w:val="00B275A6"/>
    <w:rsid w:val="00B310AC"/>
    <w:rsid w:val="00B35ACB"/>
    <w:rsid w:val="00B60767"/>
    <w:rsid w:val="00B730E4"/>
    <w:rsid w:val="00B748C2"/>
    <w:rsid w:val="00B8302D"/>
    <w:rsid w:val="00B96E50"/>
    <w:rsid w:val="00BA00E9"/>
    <w:rsid w:val="00BB096F"/>
    <w:rsid w:val="00BB2A77"/>
    <w:rsid w:val="00BF6A0F"/>
    <w:rsid w:val="00C0761F"/>
    <w:rsid w:val="00C2064F"/>
    <w:rsid w:val="00C274BD"/>
    <w:rsid w:val="00C37967"/>
    <w:rsid w:val="00C37C6D"/>
    <w:rsid w:val="00C50A15"/>
    <w:rsid w:val="00C50B2B"/>
    <w:rsid w:val="00C5253C"/>
    <w:rsid w:val="00C55B1D"/>
    <w:rsid w:val="00C73578"/>
    <w:rsid w:val="00C754BF"/>
    <w:rsid w:val="00C773A4"/>
    <w:rsid w:val="00C80561"/>
    <w:rsid w:val="00C84022"/>
    <w:rsid w:val="00C84667"/>
    <w:rsid w:val="00C84736"/>
    <w:rsid w:val="00C84A51"/>
    <w:rsid w:val="00C91428"/>
    <w:rsid w:val="00CA27D5"/>
    <w:rsid w:val="00CA44BE"/>
    <w:rsid w:val="00CA50EA"/>
    <w:rsid w:val="00CB1029"/>
    <w:rsid w:val="00CE2396"/>
    <w:rsid w:val="00CF1D00"/>
    <w:rsid w:val="00D14A40"/>
    <w:rsid w:val="00D2074B"/>
    <w:rsid w:val="00D32F10"/>
    <w:rsid w:val="00D550BC"/>
    <w:rsid w:val="00D76448"/>
    <w:rsid w:val="00D772B6"/>
    <w:rsid w:val="00D9175E"/>
    <w:rsid w:val="00D91F36"/>
    <w:rsid w:val="00DB156C"/>
    <w:rsid w:val="00DB3803"/>
    <w:rsid w:val="00DB657E"/>
    <w:rsid w:val="00DE154B"/>
    <w:rsid w:val="00DE71D8"/>
    <w:rsid w:val="00E07E3C"/>
    <w:rsid w:val="00E16485"/>
    <w:rsid w:val="00E271B0"/>
    <w:rsid w:val="00E31ADA"/>
    <w:rsid w:val="00E3675F"/>
    <w:rsid w:val="00E56666"/>
    <w:rsid w:val="00E62041"/>
    <w:rsid w:val="00E736FD"/>
    <w:rsid w:val="00E76C8D"/>
    <w:rsid w:val="00E96545"/>
    <w:rsid w:val="00EB60C7"/>
    <w:rsid w:val="00EC170C"/>
    <w:rsid w:val="00EC630D"/>
    <w:rsid w:val="00EC68A3"/>
    <w:rsid w:val="00ED25F0"/>
    <w:rsid w:val="00EF7D77"/>
    <w:rsid w:val="00F06F44"/>
    <w:rsid w:val="00F13F12"/>
    <w:rsid w:val="00F17E55"/>
    <w:rsid w:val="00F37892"/>
    <w:rsid w:val="00F470DB"/>
    <w:rsid w:val="00F670F2"/>
    <w:rsid w:val="00F71DBC"/>
    <w:rsid w:val="00F76BA2"/>
    <w:rsid w:val="00FA6BF5"/>
    <w:rsid w:val="00FB1074"/>
    <w:rsid w:val="00FF2D30"/>
    <w:rsid w:val="00FF7A39"/>
    <w:rsid w:val="474960F7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uiPriority="0" w:unhideWhenUsed="0"/>
    <w:lsdException w:name="endnote text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adjustRightInd w:val="0"/>
      <w:snapToGrid w:val="0"/>
      <w:spacing w:line="300" w:lineRule="auto"/>
      <w:outlineLvl w:val="0"/>
    </w:pPr>
    <w:rPr>
      <w:rFonts w:eastAsia="黑体"/>
      <w:bCs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adjustRightInd w:val="0"/>
      <w:snapToGrid w:val="0"/>
      <w:spacing w:line="300" w:lineRule="auto"/>
      <w:jc w:val="left"/>
      <w:outlineLvl w:val="1"/>
    </w:pPr>
    <w:rPr>
      <w:rFonts w:ascii="Arial" w:eastAsia="黑体" w:hAnsi="Arial"/>
      <w:bCs/>
      <w:sz w:val="30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adjustRightInd w:val="0"/>
      <w:snapToGrid w:val="0"/>
      <w:spacing w:line="300" w:lineRule="auto"/>
      <w:outlineLvl w:val="2"/>
    </w:pPr>
    <w:rPr>
      <w:rFonts w:eastAsia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b/>
      <w:bCs/>
      <w:sz w:val="24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b/>
      <w:bCs/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1"/>
      <w:szCs w:val="24"/>
    </w:rPr>
  </w:style>
  <w:style w:type="paragraph" w:styleId="BodyTextIndent">
    <w:name w:val="Body Text Indent"/>
    <w:basedOn w:val="Normal"/>
    <w:pPr>
      <w:spacing w:line="400" w:lineRule="atLeast"/>
      <w:ind w:firstLine="480"/>
    </w:pPr>
    <w:rPr>
      <w:sz w:val="24"/>
      <w:szCs w:val="20"/>
    </w:rPr>
  </w:style>
  <w:style w:type="paragraph" w:styleId="BlockText">
    <w:name w:val="Block Text"/>
    <w:basedOn w:val="Normal"/>
    <w:pPr>
      <w:autoSpaceDE w:val="0"/>
      <w:autoSpaceDN w:val="0"/>
      <w:adjustRightInd w:val="0"/>
      <w:spacing w:line="321" w:lineRule="atLeast"/>
      <w:ind w:left="175" w:right="6" w:firstLine="420"/>
    </w:pPr>
    <w:rPr>
      <w:kern w:val="0"/>
      <w:szCs w:val="21"/>
    </w:rPr>
  </w:style>
  <w:style w:type="paragraph" w:styleId="TOC3">
    <w:name w:val="toc 3"/>
    <w:basedOn w:val="Normal"/>
    <w:next w:val="Normal"/>
    <w:uiPriority w:val="39"/>
    <w:qFormat/>
    <w:pPr>
      <w:adjustRightInd w:val="0"/>
      <w:snapToGrid w:val="0"/>
      <w:spacing w:line="300" w:lineRule="auto"/>
      <w:ind w:left="400" w:leftChars="400"/>
    </w:pPr>
    <w:rPr>
      <w:sz w:val="28"/>
    </w:rPr>
  </w:style>
  <w:style w:type="paragraph" w:styleId="PlainText">
    <w:name w:val="Plain Text"/>
    <w:basedOn w:val="Normal"/>
    <w:link w:val="Char0"/>
    <w:rPr>
      <w:rFonts w:ascii="宋体" w:hAnsi="Courier New"/>
      <w:szCs w:val="20"/>
    </w:rPr>
  </w:style>
  <w:style w:type="character" w:customStyle="1" w:styleId="Char0">
    <w:name w:val="纯文本 Char"/>
    <w:link w:val="PlainText"/>
    <w:rPr>
      <w:rFonts w:ascii="宋体" w:hAnsi="Courier New"/>
      <w:kern w:val="2"/>
      <w:sz w:val="21"/>
    </w:rPr>
  </w:style>
  <w:style w:type="paragraph" w:styleId="BodyTextIndent2">
    <w:name w:val="Body Text Indent 2"/>
    <w:basedOn w:val="Normal"/>
    <w:pPr>
      <w:spacing w:line="600" w:lineRule="atLeast"/>
      <w:ind w:firstLine="735"/>
    </w:pPr>
    <w:rPr>
      <w:rFonts w:ascii="仿宋_GB2312" w:eastAsia="仿宋_GB2312" w:hint="eastAsia"/>
      <w:sz w:val="32"/>
      <w:szCs w:val="20"/>
    </w:rPr>
  </w:style>
  <w:style w:type="paragraph" w:styleId="EndnoteText">
    <w:name w:val="endnote text"/>
    <w:basedOn w:val="Normal"/>
    <w:semiHidden/>
    <w:pPr>
      <w:snapToGrid w:val="0"/>
      <w:jc w:val="left"/>
    </w:pPr>
  </w:style>
  <w:style w:type="paragraph" w:styleId="BalloonText">
    <w:name w:val="Balloon Text"/>
    <w:basedOn w:val="Normal"/>
    <w:link w:val="Char1"/>
    <w:rPr>
      <w:sz w:val="18"/>
      <w:szCs w:val="18"/>
    </w:rPr>
  </w:style>
  <w:style w:type="character" w:customStyle="1" w:styleId="Char1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Char3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  <w:pPr>
      <w:tabs>
        <w:tab w:val="right" w:leader="dot" w:pos="9345"/>
      </w:tabs>
      <w:adjustRightInd w:val="0"/>
      <w:snapToGrid w:val="0"/>
      <w:spacing w:line="300" w:lineRule="auto"/>
    </w:pPr>
    <w:rPr>
      <w:sz w:val="28"/>
    </w:rPr>
  </w:style>
  <w:style w:type="paragraph" w:styleId="FootnoteText">
    <w:name w:val="footnote text"/>
    <w:basedOn w:val="Normal"/>
    <w:semiHidden/>
    <w:pPr>
      <w:snapToGrid w:val="0"/>
      <w:jc w:val="left"/>
    </w:pPr>
    <w:rPr>
      <w:sz w:val="18"/>
      <w:szCs w:val="18"/>
    </w:rPr>
  </w:style>
  <w:style w:type="paragraph" w:styleId="BodyTextIndent3">
    <w:name w:val="Body Text Indent 3"/>
    <w:basedOn w:val="Normal"/>
    <w:pPr>
      <w:spacing w:line="360" w:lineRule="atLeast"/>
      <w:ind w:firstLine="735"/>
    </w:pPr>
    <w:rPr>
      <w:rFonts w:ascii="仿宋_GB2312" w:eastAsia="仿宋_GB2312" w:hint="eastAsia"/>
      <w:sz w:val="24"/>
    </w:rPr>
  </w:style>
  <w:style w:type="paragraph" w:styleId="TOC2">
    <w:name w:val="toc 2"/>
    <w:basedOn w:val="Normal"/>
    <w:next w:val="Normal"/>
    <w:uiPriority w:val="39"/>
    <w:qFormat/>
    <w:pPr>
      <w:adjustRightInd w:val="0"/>
      <w:snapToGrid w:val="0"/>
      <w:spacing w:line="300" w:lineRule="auto"/>
      <w:ind w:left="200" w:leftChars="200"/>
    </w:pPr>
    <w:rPr>
      <w:sz w:val="28"/>
    </w:rPr>
  </w:style>
  <w:style w:type="paragraph" w:styleId="BodyText2">
    <w:name w:val="Body Text 2"/>
    <w:basedOn w:val="Normal"/>
    <w:link w:val="2Char"/>
    <w:pPr>
      <w:spacing w:after="120" w:line="480" w:lineRule="auto"/>
    </w:pPr>
  </w:style>
  <w:style w:type="character" w:customStyle="1" w:styleId="2Char">
    <w:name w:val="正文文本 2 Char"/>
    <w:link w:val="BodyText2"/>
    <w:rPr>
      <w:kern w:val="2"/>
      <w:sz w:val="21"/>
      <w:szCs w:val="24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Title">
    <w:name w:val="Title"/>
    <w:basedOn w:val="Normal"/>
    <w:link w:val="Char4"/>
    <w:qFormat/>
    <w:pPr>
      <w:jc w:val="center"/>
    </w:pPr>
    <w:rPr>
      <w:rFonts w:eastAsia="黑体"/>
      <w:b/>
      <w:bCs/>
      <w:sz w:val="32"/>
    </w:rPr>
  </w:style>
  <w:style w:type="character" w:customStyle="1" w:styleId="Char4">
    <w:name w:val="标题 Char"/>
    <w:link w:val="Title"/>
    <w:rPr>
      <w:rFonts w:eastAsia="黑体"/>
      <w:b/>
      <w:bCs/>
      <w:kern w:val="2"/>
      <w:sz w:val="32"/>
      <w:szCs w:val="24"/>
    </w:rPr>
  </w:style>
  <w:style w:type="paragraph" w:styleId="CommentSubject">
    <w:name w:val="annotation subject"/>
    <w:basedOn w:val="CommentText"/>
    <w:next w:val="CommentText"/>
    <w:link w:val="Char5"/>
    <w:rPr>
      <w:b/>
      <w:bCs/>
    </w:rPr>
  </w:style>
  <w:style w:type="character" w:customStyle="1" w:styleId="Char5">
    <w:name w:val="批注主题 Char"/>
    <w:link w:val="CommentSubject"/>
    <w:rPr>
      <w:b/>
      <w:bCs/>
      <w:kern w:val="2"/>
      <w:sz w:val="21"/>
      <w:szCs w:val="24"/>
    </w:rPr>
  </w:style>
  <w:style w:type="character" w:styleId="EndnoteReference">
    <w:name w:val="endnote reference"/>
    <w:semiHidden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3">
    <w:name w:val="样式3"/>
    <w:pPr>
      <w:widowControl w:val="0"/>
      <w:jc w:val="both"/>
    </w:pPr>
    <w:rPr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adjustRightInd/>
      <w:snapToGrid/>
      <w:spacing w:before="480" w:line="276" w:lineRule="auto"/>
      <w:jc w:val="left"/>
      <w:outlineLvl w:val="9"/>
    </w:pPr>
    <w:rPr>
      <w:rFonts w:ascii="Cambria" w:eastAsia="宋体" w:hAnsi="Cambria" w:cs="Times New Roman"/>
      <w:b/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hyperlink" Target="https://d.book118.com/256102002115010052" TargetMode="External" /><Relationship Id="rId8" Type="http://schemas.openxmlformats.org/officeDocument/2006/relationships/header" Target="header3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2462</Words>
  <Characters>14034</Characters>
  <Application>Microsoft Office Word</Application>
  <DocSecurity>0</DocSecurity>
  <Lines>116</Lines>
  <Paragraphs>32</Paragraphs>
  <ScaleCrop>false</ScaleCrop>
  <Company/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沈 阳 建 筑 工 程 学 院</dc:title>
  <dc:creator>蓝瑞生</dc:creator>
  <cp:lastModifiedBy>张老师</cp:lastModifiedBy>
  <cp:revision>5</cp:revision>
  <cp:lastPrinted>2021-05-20T02:42:00Z</cp:lastPrinted>
  <dcterms:created xsi:type="dcterms:W3CDTF">2019-06-16T03:30:00Z</dcterms:created>
  <dcterms:modified xsi:type="dcterms:W3CDTF">2023-11-04T12:13:23Z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7F0B9EE9FADE4219963B403D00E4F34A_12</vt:lpwstr>
  </property>
  <property fmtid="{D5CDD505-2E9C-101B-9397-08002B2CF9AE}" pid="3" name="KSOProductBuildVer">
    <vt:lpwstr>2052-12.1.0.15712</vt:lpwstr>
  </property>
</Properties>
</file>