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2024年兰州石化职业技术学院高职单招（英语／数学／语文）笔试历年真题摘选含答案解析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下列句子中，不是宾语前置的是（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A.丘未之逮也，而有志焉。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B.姜氏何厌之有？不如早为之所，无使滋蔓。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C.人之将死，其脏腑必有先受其病者。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D.辞曰：“责毕收，以何市而反？”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《天净沙·秋思》前三句用各写三种景物的词语构成（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B.鼎足对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C.流水对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D.博喻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根据《宝玉挨打》一文判断下列哪句是薛宝钗说的（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A.“我的娘，怎么下这般的狠手！——你但凡听我一句话，也不到这个分儿。幸而没动筋骨，倘或打出个残疾来，可叫人怎么样呢？”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B.“你可都改了罢！”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C.“早听人一句话，也不至有今日！别说老太太、太太心疼，就是我们看着，心里也——”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D.“可好些了？想什么吃，叫人往我那里取去。”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马致远的《天净沙·秋思》中紧接“枯藤老树昏鸦”的句子是（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B.古道西风瘦马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C.夕阳西下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“呕出一颗心来，——在我心里!”此诗句出自（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A.郭沫若《炉中煤》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B.艾青《我爱这土地》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D.徐志摩《再别康桥》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https://d.book118.com/256103133134010101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56103133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