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水及电解质平衡调节药项目分析评价报告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_Toc2943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8" w:history="1">
        <w:r>
          <w:rPr>
            <w:rFonts w:ascii="仿宋" w:eastAsia="仿宋" w:hAnsi="仿宋" w:cs="仿宋" w:hint="eastAsia"/>
            <w:lang w:val="en-US"/>
          </w:rPr>
          <w:t>一、发展规划</w:t>
        </w:r>
        <w:r>
          <w:tab/>
        </w:r>
        <w:r>
          <w:fldChar w:fldCharType="begin"/>
        </w:r>
        <w:r>
          <w:instrText xml:space="preserve"> PAGEREF _Toc19888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_Toc28877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val="en-US"/>
          </w:rPr>
          <w:t>二、水及电解质平衡调节药项目建设地分析</w:t>
        </w:r>
        <w:r>
          <w:tab/>
        </w:r>
        <w:r>
          <w:fldChar w:fldCharType="begin"/>
        </w:r>
        <w:r>
          <w:instrText xml:space="preserve"> PAGEREF _Toc21726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5" w:history="1">
        <w:r>
          <w:rPr>
            <w:rFonts w:ascii="仿宋" w:eastAsia="仿宋" w:hAnsi="仿宋" w:cs="仿宋" w:hint="eastAsia"/>
            <w:lang w:val="en-US"/>
          </w:rPr>
          <w:t>(一)、水及电解质平衡调节药项目选址原则</w:t>
        </w:r>
        <w:r>
          <w:tab/>
        </w:r>
        <w:r>
          <w:fldChar w:fldCharType="begin"/>
        </w:r>
        <w:r>
          <w:instrText xml:space="preserve"> PAGEREF _Toc23615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val="en-US"/>
          </w:rPr>
          <w:t>(二)、水及电解质平衡调节药项目选址</w:t>
        </w:r>
        <w:r>
          <w:tab/>
        </w:r>
        <w:r>
          <w:fldChar w:fldCharType="begin"/>
        </w:r>
        <w:r>
          <w:instrText xml:space="preserve"> PAGEREF _Toc20239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_Toc12477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_Toc7814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_Toc6431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_Toc10283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_Toc24176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_Toc12690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_Toc13770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val="en-US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_Toc20988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_Toc24008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_Toc18540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_Toc4308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val="en-US"/>
          </w:rPr>
          <w:t>四、申报单位及水及电解质平衡调节药项目概论</w:t>
        </w:r>
        <w:r>
          <w:tab/>
        </w:r>
        <w:r>
          <w:fldChar w:fldCharType="begin"/>
        </w:r>
        <w:r>
          <w:instrText xml:space="preserve"> PAGEREF _Toc18259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val="en-US"/>
          </w:rPr>
          <w:t>(一)、水及电解质平衡调节药项目概况</w:t>
        </w:r>
        <w:r>
          <w:tab/>
        </w:r>
        <w:r>
          <w:fldChar w:fldCharType="begin"/>
        </w:r>
        <w:r>
          <w:instrText xml:space="preserve"> PAGEREF _Toc15005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_Toc2717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_Toc4722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_Toc29478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val="en-US"/>
          </w:rPr>
          <w:t>五、劳动安全</w:t>
        </w:r>
        <w:r>
          <w:tab/>
        </w:r>
        <w:r>
          <w:fldChar w:fldCharType="begin"/>
        </w:r>
        <w:r>
          <w:instrText xml:space="preserve"> PAGEREF _Toc2399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_Toc31459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58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_Toc12858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_Toc12097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val="en-US"/>
          </w:rPr>
          <w:t>六、 进入国际市场的方式</w:t>
        </w:r>
        <w:r>
          <w:tab/>
        </w:r>
        <w:r>
          <w:fldChar w:fldCharType="begin"/>
        </w:r>
        <w:r>
          <w:instrText xml:space="preserve"> PAGEREF _Toc15101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_Toc2948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_Toc2601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_Toc6968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val="en-US"/>
          </w:rPr>
          <w:t>七、风险因素分析及规避措施</w:t>
        </w:r>
        <w:r>
          <w:tab/>
        </w:r>
        <w:r>
          <w:fldChar w:fldCharType="begin"/>
        </w:r>
        <w:r>
          <w:instrText xml:space="preserve"> PAGEREF _Toc26629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_Toc19683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_Toc6890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_Toc24480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val="en-US"/>
          </w:rPr>
          <w:t>八、市场营销方案</w:t>
        </w:r>
        <w:r>
          <w:tab/>
        </w:r>
        <w:r>
          <w:fldChar w:fldCharType="begin"/>
        </w:r>
        <w:r>
          <w:instrText xml:space="preserve"> PAGEREF _Toc22284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val="en-US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_Toc27217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val="en-US"/>
          </w:rPr>
          <w:t>(二)、市场竞争分析</w:t>
        </w:r>
        <w:r>
          <w:tab/>
        </w:r>
        <w:r>
          <w:fldChar w:fldCharType="begin"/>
        </w:r>
        <w:r>
          <w:instrText xml:space="preserve"> PAGEREF _Toc9557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val="en-US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_Toc12670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val="en-US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_Toc16976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val="en-US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_Toc26917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val="en-US"/>
          </w:rPr>
          <w:t>九、水及电解质平衡调节药项目风险对策</w:t>
        </w:r>
        <w:r>
          <w:tab/>
        </w:r>
        <w:r>
          <w:fldChar w:fldCharType="begin"/>
        </w:r>
        <w:r>
          <w:instrText xml:space="preserve"> PAGEREF _Toc15671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_Toc10752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_Toc8348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_Toc24079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_Toc31057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_Toc18027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_Toc30060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_Toc3241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_Toc25763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val="en-US"/>
          </w:rPr>
          <w:t>十、渠道扁平化</w:t>
        </w:r>
        <w:r>
          <w:tab/>
        </w:r>
        <w:r>
          <w:fldChar w:fldCharType="begin"/>
        </w:r>
        <w:r>
          <w:instrText xml:space="preserve"> PAGEREF _Toc9301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_Toc27730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_Toc9551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354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_Toc5354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val="en-US"/>
          </w:rPr>
          <w:t>十一、企业研究与发展管理</w:t>
        </w:r>
        <w:r>
          <w:tab/>
        </w:r>
        <w:r>
          <w:fldChar w:fldCharType="begin"/>
        </w:r>
        <w:r>
          <w:instrText xml:space="preserve"> PAGEREF _Toc19988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_Toc17304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val="en-US"/>
          </w:rPr>
          <w:t>十二、水及电解质平衡调节药项目可行性研究</w:t>
        </w:r>
        <w:r>
          <w:tab/>
        </w:r>
        <w:r>
          <w:fldChar w:fldCharType="begin"/>
        </w:r>
        <w:r>
          <w:instrText xml:space="preserve"> PAGEREF _Toc5425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val="en-US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_Toc2663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val="en-US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_Toc11126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val="en-US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_Toc18983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val="en-US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_Toc7334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_Toc15586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_Toc27315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val="en-US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_Toc29863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_Toc8132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_Toc31215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_Toc30111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_Toc19944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_Toc25901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_Toc30832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val="en-US"/>
          </w:rPr>
          <w:t>十五、组织架构分析</w:t>
        </w:r>
        <w:r>
          <w:tab/>
        </w:r>
        <w:r>
          <w:fldChar w:fldCharType="begin"/>
        </w:r>
        <w:r>
          <w:instrText xml:space="preserve"> PAGEREF _Toc18212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_Toc18049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_Toc14123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val="en-US"/>
          </w:rPr>
          <w:t>十六、员工晋升与职业发展通道</w:t>
        </w:r>
        <w:r>
          <w:tab/>
        </w:r>
        <w:r>
          <w:fldChar w:fldCharType="begin"/>
        </w:r>
        <w:r>
          <w:instrText xml:space="preserve"> PAGEREF _Toc17755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val="en-US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_Toc13552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val="en-US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_Toc10167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val="en-US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_Toc6912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val="en-US"/>
          </w:rPr>
          <w:t>十七、必要性分析</w:t>
        </w:r>
        <w:r>
          <w:tab/>
        </w:r>
        <w:r>
          <w:fldChar w:fldCharType="begin"/>
        </w:r>
        <w:r>
          <w:instrText xml:space="preserve"> PAGEREF _Toc28093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_Toc363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0" w:history="1">
        <w:r>
          <w:rPr>
            <w:rFonts w:ascii="仿宋" w:eastAsia="仿宋" w:hAnsi="仿宋" w:cs="仿宋" w:hint="eastAsia"/>
            <w:lang w:val="en-US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_Toc11680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val="en-US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_Toc4727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559" w:history="1">
        <w:r>
          <w:rPr>
            <w:rFonts w:ascii="仿宋" w:eastAsia="仿宋" w:hAnsi="仿宋" w:cs="仿宋" w:hint="eastAsia"/>
            <w:lang w:val="en-US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_Toc2559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val="en-US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_Toc18924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val="en-US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_Toc3208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3" w:history="1">
        <w:r>
          <w:rPr>
            <w:rFonts w:ascii="仿宋" w:eastAsia="仿宋" w:hAnsi="仿宋" w:cs="仿宋" w:hint="eastAsia"/>
            <w:lang w:val="en-US"/>
          </w:rPr>
          <w:t>十九、员工培训与发展方案</w:t>
        </w:r>
        <w:r>
          <w:tab/>
        </w:r>
        <w:r>
          <w:fldChar w:fldCharType="begin"/>
        </w:r>
        <w:r>
          <w:instrText xml:space="preserve"> PAGEREF _Toc7103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_Toc3688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_Toc9516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_Toc26003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_Toc25465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val="en-US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_Toc1252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val="en-US"/>
          </w:rPr>
          <w:t>二十、未来展望与增长策略</w:t>
        </w:r>
        <w:r>
          <w:tab/>
        </w:r>
        <w:r>
          <w:fldChar w:fldCharType="begin"/>
        </w:r>
        <w:r>
          <w:instrText xml:space="preserve"> PAGEREF _Toc1531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val="en-US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_Toc28324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4" w:history="1">
        <w:r>
          <w:rPr>
            <w:rFonts w:ascii="仿宋" w:eastAsia="仿宋" w:hAnsi="仿宋" w:cs="仿宋" w:hint="eastAsia"/>
            <w:lang w:val="en-US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_Toc23824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val="en-US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_Toc5124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val="en-US"/>
          </w:rPr>
          <w:t>二十一、安全生产与环境保护培训</w:t>
        </w:r>
        <w:r>
          <w:tab/>
        </w:r>
        <w:r>
          <w:fldChar w:fldCharType="begin"/>
        </w:r>
        <w:r>
          <w:instrText xml:space="preserve"> PAGEREF _Toc13873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_Toc20862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_Toc13641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_Toc30533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_Toc32232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https://d.book118.com/257006005166006045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水及电解质平衡调节药项目分析评价报告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水及电解质平衡调节药项目分析评价报告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水及电解质平衡调节药项目分析评价报告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水及电解质平衡调节药项目分析评价报告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水及电解质平衡调节药项目分析评价报告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FE19DB"/>
    <w:rsid w:val="73FE19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5700600516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2024-02-24T11:46:00Z</dcterms:created>
  <dcterms:modified xsi:type="dcterms:W3CDTF">2024-02-24T11:47:06Z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