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药物缓释材料行业相关公司设立可行性研究报告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(七)、药物缓释材料项目建设必要性分析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三、药物缓释材料筹建公司基本信息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四、药物缓释材料项目概况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(二)、药物缓释材料项目提出的理由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(三)、药物缓释材料项目选址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(六)、药物缓释材料项目投资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(七)、药物缓释材料项目进度规划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(九)、药物缓释材料项目综合评价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(一)、药物缓释材料项目进度安排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(二)、药物缓释材料项目实施保障措施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(一)、药物缓释材料项目背景分析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(二)、药物缓释材料项目建设必要性分析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八、药物缓释材料项目经济效益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(三)、药物缓释材料项目盈利能力分析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九、药物缓释材料项目风险分析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(一)、药物缓释材料项目风险分析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(二)、药物缓释材料项目风险对策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(五)、药物缓释材料项目总投资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3" w:history="1">
        <w:r>
          <w:rPr>
            <w:rFonts w:ascii="仿宋" w:eastAsia="仿宋" w:hAnsi="仿宋" w:cs="仿宋" w:hint="eastAsia"/>
            <w:lang w:eastAsia="zh-CN"/>
          </w:rPr>
          <w:t>十二、药物缓释材料项目总结分析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0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https://d.book118.com/257022153160006032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药物缓释材料行业相关公司设立可行性研究报告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药物缓释材料行业相关公司设立可行性研究报告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药物缓释材料行业相关公司设立可行性研究报告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药物缓释材料行业相关公司设立可行性研究报告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药物缓释材料行业相关公司设立可行性研究报告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7022153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2024-01-15T08:26:00Z</dcterms:created>
  <dcterms:modified xsi:type="dcterms:W3CDTF">2024-01-15T08:26:30Z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2AEB8618A3BE44ED99C5A1627188EBE7_11</vt:lpwstr>
  </property>
  <property fmtid="{D5CDD505-2E9C-101B-9397-08002B2CF9AE}" pid="3" name="KSOProductBuildVer">
    <vt:lpwstr>2052-12.1.0.16120</vt:lpwstr>
  </property>
</Properties>
</file>