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2"/>
        <w:keepNext/>
        <w:keepLines/>
        <w:widowControl w:val="0"/>
        <w:shd w:val="clear" w:color="auto" w:fill="auto"/>
        <w:bidi w:val="0"/>
        <w:spacing w:before="160" w:after="236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章设计任务及设计资料</w:t>
      </w:r>
      <w:bookmarkEnd w:id="0"/>
      <w:bookmarkEnd w:id="1"/>
      <w:bookmarkEnd w:id="2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  <w:rPr>
          <w:sz w:val="42"/>
          <w:szCs w:val="42"/>
        </w:rPr>
      </w:pPr>
      <w:bookmarkStart w:id="3" w:name="bookmark3"/>
      <w:bookmarkStart w:id="4" w:name="bookmark4"/>
      <w:bookmarkStart w:id="5" w:name="bookmark5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1.1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设计任务</w:t>
      </w:r>
      <w:bookmarkEnd w:id="3"/>
      <w:bookmarkEnd w:id="4"/>
      <w:bookmarkEnd w:id="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某城市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/d</w:t>
      </w:r>
      <w:r>
        <w:rPr>
          <w:color w:val="000000"/>
          <w:spacing w:val="0"/>
          <w:w w:val="100"/>
          <w:position w:val="0"/>
        </w:rPr>
        <w:t>污水处理厂设计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  <w:rPr>
          <w:sz w:val="42"/>
          <w:szCs w:val="42"/>
        </w:rPr>
      </w:pPr>
      <w:bookmarkStart w:id="6" w:name="bookmark6"/>
      <w:bookmarkStart w:id="7" w:name="bookmark7"/>
      <w:bookmarkStart w:id="8" w:name="bookmark8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1.2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设计目的</w:t>
      </w:r>
      <w:bookmarkEnd w:id="6"/>
      <w:bookmarkEnd w:id="7"/>
      <w:bookmarkEnd w:id="8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4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通过城市中小型污水处理厂工艺的选择、设计，培养我们利用所学到的知识，系 统的掌握污水处理方案比较、优化，各主要构筑物结构设计与参数计算，主要构 筑物包括格栅、提升泵房、曝气沉砂池、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O</w:t>
      </w:r>
      <w:r>
        <w:rPr>
          <w:color w:val="000000"/>
          <w:spacing w:val="0"/>
          <w:w w:val="100"/>
          <w:position w:val="0"/>
        </w:rPr>
        <w:t>反应池、二次沉淀池、污泥浓缩池、 污泥脱水车间等，以及平面布置和高程计算。然后根据所确定的工艺和计算结果， 绘制污水处理厂总平面布置图，高程布置图等。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800" w:line="240" w:lineRule="auto"/>
        <w:ind w:left="0" w:right="0" w:firstLine="0"/>
        <w:jc w:val="left"/>
        <w:rPr>
          <w:sz w:val="42"/>
          <w:szCs w:val="42"/>
        </w:rPr>
      </w:pPr>
      <w:bookmarkStart w:id="9" w:name="bookmark10"/>
      <w:bookmarkStart w:id="10" w:name="bookmark11"/>
      <w:bookmarkStart w:id="11" w:name="bookmark9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1.3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设计要求</w:t>
      </w:r>
      <w:bookmarkEnd w:id="9"/>
      <w:bookmarkEnd w:id="10"/>
      <w:bookmarkEnd w:id="1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方案选择合理；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参数选取与计算准确；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处理系统布置紧凑；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所选设备质优、可靠、易于操作;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图纸绘制达到施工图要求；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概算部分尽量准确，详细。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  <w:rPr>
          <w:sz w:val="42"/>
          <w:szCs w:val="42"/>
        </w:rPr>
      </w:pPr>
      <w:bookmarkStart w:id="12" w:name="bookmark12"/>
      <w:bookmarkStart w:id="13" w:name="bookmark13"/>
      <w:bookmarkStart w:id="14" w:name="bookmark14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1.4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设计资料</w:t>
      </w:r>
      <w:bookmarkEnd w:id="12"/>
      <w:bookmarkEnd w:id="13"/>
      <w:bookmarkEnd w:id="1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1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1.4.1</w:t>
      </w:r>
      <w:r>
        <w:rPr>
          <w:b/>
          <w:bCs/>
          <w:color w:val="000000"/>
          <w:spacing w:val="0"/>
          <w:w w:val="100"/>
          <w:position w:val="0"/>
        </w:rPr>
        <w:t>气象与水文资料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风向：多年主导风向为东北风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1" w:lineRule="exact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水文：降水量多年平均为每年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2010mm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1" w:lineRule="exact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蒸发量多年平均为每年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1800mm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地下水水位：地面下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年平均水温：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20°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地震烈度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color w:val="000000"/>
          <w:spacing w:val="0"/>
          <w:w w:val="100"/>
          <w:position w:val="0"/>
        </w:rPr>
        <w:t>度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4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1.4.2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厂区地形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1" w:lineRule="exact"/>
        <w:ind w:left="0" w:right="0" w:firstLine="0"/>
        <w:jc w:val="left"/>
        <w:sectPr>
          <w:pgSz w:w="17861" w:h="25258"/>
          <w:pgMar w:top="1762" w:right="2449" w:bottom="2296" w:left="255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污水厂选址区域海拔标高在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1m</w:t>
      </w:r>
      <w:r>
        <w:rPr>
          <w:color w:val="000000"/>
          <w:spacing w:val="0"/>
          <w:w w:val="100"/>
          <w:position w:val="0"/>
        </w:rPr>
        <w:t>左右，平均地面标高为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20m </w:t>
      </w:r>
      <w:r>
        <w:rPr>
          <w:color w:val="000000"/>
          <w:spacing w:val="0"/>
          <w:w w:val="100"/>
          <w:position w:val="0"/>
        </w:rPr>
        <w:t>平均地面坡度为</w:t>
      </w:r>
      <w:r>
        <w:rPr>
          <w:b/>
          <w:bCs/>
          <w:color w:val="000000"/>
          <w:spacing w:val="0"/>
          <w:w w:val="100"/>
          <w:position w:val="0"/>
        </w:rPr>
        <w:t>0.3%o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0.5%o</w:t>
      </w:r>
      <w:r>
        <w:rPr>
          <w:color w:val="000000"/>
          <w:spacing w:val="0"/>
          <w:w w:val="100"/>
          <w:position w:val="0"/>
        </w:rPr>
        <w:t>，地势为西南高，东北低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1440" w:line="240" w:lineRule="auto"/>
        <w:ind w:left="0" w:right="0" w:firstLine="0"/>
        <w:jc w:val="center"/>
      </w:pPr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</w:rPr>
        <w:t>2</w:t>
      </w:r>
      <w:r>
        <w:rPr>
          <w:color w:val="000000"/>
          <w:spacing w:val="0"/>
          <w:w w:val="100"/>
          <w:position w:val="0"/>
        </w:rPr>
        <w:t>章设计说明书</w:t>
      </w:r>
      <w:bookmarkEnd w:id="15"/>
      <w:bookmarkEnd w:id="16"/>
      <w:bookmarkEnd w:id="1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160"/>
        <w:jc w:val="left"/>
        <w:rPr>
          <w:sz w:val="42"/>
          <w:szCs w:val="42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2.1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设计流量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平均流量 </w:t>
      </w:r>
      <w:r>
        <w:rPr>
          <w:color w:val="000000"/>
          <w:spacing w:val="0"/>
          <w:w w:val="100"/>
          <w:position w:val="0"/>
        </w:rPr>
        <w:t>Q=20000 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</w:rPr>
        <w:t>/d=834m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</w:rPr>
        <w:t>/h=213.48L/s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最大流量 </w:t>
      </w:r>
      <w:r>
        <w:rPr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  <w:vertAlign w:val="subscript"/>
        </w:rPr>
        <w:t>max</w:t>
      </w:r>
      <w:r>
        <w:rPr>
          <w:color w:val="000000"/>
          <w:spacing w:val="0"/>
          <w:w w:val="100"/>
          <w:position w:val="0"/>
        </w:rPr>
        <w:t xml:space="preserve">= KzxQ=1.48x20000 </w:t>
      </w:r>
      <w:r>
        <w:rPr>
          <w:color w:val="000000"/>
          <w:spacing w:val="0"/>
          <w:w w:val="100"/>
          <w:position w:val="0"/>
        </w:rPr>
        <w:t xml:space="preserve">=29600 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</w:rPr>
        <w:t>/d =1233.4 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</w:rPr>
        <w:t>/h =0.343 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</w:rPr>
        <w:t>/s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取总变化系数</w:t>
      </w:r>
      <w:r>
        <w:rPr>
          <w:color w:val="000000"/>
          <w:spacing w:val="0"/>
          <w:w w:val="100"/>
          <w:position w:val="0"/>
        </w:rPr>
        <w:t>Kz=1.48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160"/>
        <w:jc w:val="both"/>
        <w:rPr>
          <w:sz w:val="42"/>
          <w:szCs w:val="42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2.2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进出水水质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2-1</w:t>
      </w:r>
      <w:r>
        <w:rPr>
          <w:b/>
          <w:bCs/>
          <w:color w:val="000000"/>
          <w:spacing w:val="0"/>
          <w:w w:val="100"/>
          <w:position w:val="0"/>
        </w:rPr>
        <w:t>：</w:t>
      </w:r>
      <w:r>
        <w:rPr>
          <w:b/>
          <w:bCs/>
          <w:color w:val="000000"/>
          <w:spacing w:val="0"/>
          <w:w w:val="100"/>
          <w:position w:val="0"/>
        </w:rPr>
        <w:t>进出水水质表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31"/>
        <w:gridCol w:w="2141"/>
        <w:gridCol w:w="2117"/>
        <w:gridCol w:w="2141"/>
        <w:gridCol w:w="2122"/>
        <w:gridCol w:w="21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BOD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15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COD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cr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SS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TN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TP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mg/l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mg/l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mg/l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mg/l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mg/l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进水水质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450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45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出水水质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25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1.0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9" w:right="0" w:firstLine="0"/>
        <w:jc w:val="left"/>
      </w:pPr>
      <w:r>
        <w:rPr>
          <w:color w:val="000000"/>
          <w:spacing w:val="0"/>
          <w:w w:val="100"/>
          <w:position w:val="0"/>
        </w:rPr>
        <w:t>排放标准：</w:t>
      </w:r>
      <w:r>
        <w:rPr>
          <w:b/>
          <w:bCs/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GB8978-1996</w:t>
      </w:r>
      <w:r>
        <w:rPr>
          <w:b/>
          <w:bCs/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二级标准</w:t>
      </w:r>
    </w:p>
    <w:p>
      <w:pPr>
        <w:widowControl w:val="0"/>
        <w:spacing w:after="4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20" w:line="585" w:lineRule="exact"/>
        <w:ind w:left="0" w:right="0" w:firstLine="160"/>
        <w:jc w:val="both"/>
        <w:rPr>
          <w:sz w:val="42"/>
          <w:szCs w:val="42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2.3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去除率的计算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585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2.3.1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溶解性</w:t>
      </w:r>
      <w:r>
        <w:rPr>
          <w:color w:val="000000"/>
          <w:spacing w:val="0"/>
          <w:w w:val="100"/>
          <w:position w:val="0"/>
        </w:rPr>
        <w:t>BOD</w:t>
      </w:r>
      <w:r>
        <w:rPr>
          <w:color w:val="000000"/>
          <w:spacing w:val="0"/>
          <w:w w:val="100"/>
          <w:position w:val="0"/>
          <w:sz w:val="18"/>
          <w:szCs w:val="18"/>
        </w:rPr>
        <w:t>5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的去除率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472"/>
        </w:tabs>
        <w:bidi w:val="0"/>
        <w:spacing w:before="0" w:after="0" w:line="585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活洼污泥处理系统处理水中的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值是由残存的溶解性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 xml:space="preserve">和非溶解性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二者组成，而后者主要是以生物污泥的残屑为主体。活性污泥的净化功能， 是去除溶解性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。因此从活性污泥的净化功能来考虑，应将非溶解性的</w:t>
      </w:r>
      <w:r>
        <w:rPr>
          <w:color w:val="000000"/>
          <w:spacing w:val="0"/>
          <w:w w:val="100"/>
          <w:position w:val="0"/>
        </w:rPr>
        <w:t>BOD</w:t>
      </w:r>
      <w:r>
        <w:rPr>
          <w:color w:val="000000"/>
          <w:spacing w:val="0"/>
          <w:w w:val="100"/>
          <w:position w:val="0"/>
          <w:sz w:val="18"/>
          <w:szCs w:val="18"/>
        </w:rPr>
        <w:t xml:space="preserve">5 </w:t>
      </w:r>
      <w:r>
        <w:rPr>
          <w:color w:val="000000"/>
          <w:spacing w:val="0"/>
          <w:w w:val="100"/>
          <w:position w:val="0"/>
        </w:rPr>
        <w:t>从处理水的总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值中减去。</w:t>
        <w:tab/>
      </w:r>
      <w:r>
        <w:rPr>
          <w:color w:val="000000"/>
          <w:spacing w:val="0"/>
          <w:w w:val="100"/>
          <w:position w:val="0"/>
          <w:vertAlign w:val="superscript"/>
        </w:rPr>
        <w:t>5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585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取原污水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值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300mg/L</w:t>
      </w:r>
      <w:r>
        <w:rPr>
          <w:color w:val="000000"/>
          <w:spacing w:val="0"/>
          <w:w w:val="100"/>
          <w:position w:val="0"/>
        </w:rPr>
        <w:t>，经反应后，按降低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25</w:t>
      </w:r>
      <w:r>
        <w:rPr>
          <w:color w:val="000000"/>
          <w:spacing w:val="0"/>
          <w:w w:val="100"/>
          <w:position w:val="0"/>
        </w:rPr>
        <w:t>%考虑，则进入 曝气池的污水，其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值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为：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360" w:lineRule="auto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Sa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</w:rPr>
        <w:t xml:space="preserve">300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color w:val="000000"/>
          <w:spacing w:val="0"/>
          <w:w w:val="100"/>
          <w:position w:val="0"/>
        </w:rPr>
        <w:t>1-25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%)=</w:t>
      </w:r>
      <w:r>
        <w:rPr>
          <w:color w:val="000000"/>
          <w:spacing w:val="0"/>
          <w:w w:val="100"/>
          <w:position w:val="0"/>
        </w:rPr>
        <w:t>225mg/L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5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计算去除率，对此，首先按式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X(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1.42bXaCe</w:t>
      </w:r>
      <w:r>
        <w:rPr>
          <w:color w:val="000000"/>
          <w:spacing w:val="0"/>
          <w:w w:val="100"/>
          <w:position w:val="0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=7.1XaCe</w:t>
      </w:r>
      <w:r>
        <w:rPr>
          <w:color w:val="000000"/>
          <w:spacing w:val="0"/>
          <w:w w:val="100"/>
          <w:position w:val="0"/>
        </w:rPr>
        <w:t>计算处理 水中的非溶解性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值,上式中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5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Ce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</w:rPr>
        <w:t>处理水中悬浮固体浓度，取用综合排放一级标准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30mg/L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5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</w:rPr>
        <w:t>微生物自身氧化率，一般介于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0.05-0.1</w:t>
      </w:r>
      <w:r>
        <w:rPr>
          <w:color w:val="000000"/>
          <w:spacing w:val="0"/>
          <w:w w:val="100"/>
          <w:position w:val="0"/>
        </w:rPr>
        <w:t>之间，取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0.09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5" w:lineRule="exact"/>
        <w:ind w:left="0" w:right="0" w:firstLine="78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Xa-</w:t>
      </w:r>
      <w:r>
        <w:rPr>
          <w:color w:val="000000"/>
          <w:spacing w:val="0"/>
          <w:w w:val="100"/>
          <w:position w:val="0"/>
          <w:sz w:val="36"/>
          <w:szCs w:val="36"/>
        </w:rPr>
        <w:t>—活性微生物在处理水中所占比例，取值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0.4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585" w:lineRule="exact"/>
        <w:ind w:left="0" w:right="0" w:firstLine="780"/>
        <w:jc w:val="both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得 </w:t>
      </w:r>
      <w:r>
        <w:rPr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5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7.1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0.09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0.4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>7.7g/L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.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78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处理水中溶解性</w:t>
      </w:r>
      <w:r>
        <w:rPr>
          <w:color w:val="000000"/>
          <w:spacing w:val="0"/>
          <w:w w:val="100"/>
          <w:position w:val="0"/>
        </w:rPr>
        <w:t>BOD</w:t>
      </w:r>
      <w:r>
        <w:rPr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值为：</w:t>
      </w:r>
      <w:r>
        <w:rPr>
          <w:color w:val="000000"/>
          <w:spacing w:val="0"/>
          <w:w w:val="100"/>
          <w:position w:val="0"/>
        </w:rPr>
        <w:t>30-7.7=22.3mg/l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both"/>
        <w:rPr>
          <w:sz w:val="34"/>
          <w:szCs w:val="34"/>
        </w:rPr>
        <w:sectPr>
          <w:type w:val="nextPage"/>
          <w:pgSz w:w="17861" w:h="25258"/>
          <w:pgMar w:top="1762" w:right="2449" w:bottom="2296" w:left="255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去除率 </w:t>
      </w:r>
      <w:r>
        <w:rPr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40"/>
          <w:szCs w:val="40"/>
          <w:vertAlign w:val="superscript"/>
        </w:rPr>
        <w:t>225</w:t>
      </w:r>
      <w:r>
        <w:rPr>
          <w:strike/>
          <w:color w:val="000000"/>
          <w:spacing w:val="0"/>
          <w:w w:val="100"/>
          <w:position w:val="0"/>
          <w:sz w:val="26"/>
          <w:szCs w:val="26"/>
        </w:rPr>
        <w:t>~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40"/>
          <w:szCs w:val="40"/>
          <w:vertAlign w:val="superscript"/>
        </w:rPr>
        <w:t>22</w:t>
      </w:r>
      <w:r>
        <w:rPr>
          <w:strike/>
          <w:color w:val="000000"/>
          <w:spacing w:val="0"/>
          <w:w w:val="100"/>
          <w:position w:val="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40"/>
          <w:szCs w:val="40"/>
          <w:vertAlign w:val="superscript"/>
        </w:rPr>
        <w:t>3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90%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8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225</w:t>
      </w:r>
    </w:p>
    <w:p>
      <w:pPr>
        <w:pStyle w:val="5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12"/>
        </w:tabs>
        <w:bidi w:val="0"/>
        <w:spacing w:before="0" w:after="260" w:line="240" w:lineRule="auto"/>
        <w:ind w:left="0" w:right="0" w:firstLine="0"/>
        <w:jc w:val="left"/>
      </w:pPr>
      <w:bookmarkStart w:id="18" w:name="bookmark18"/>
      <w:bookmarkEnd w:id="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COD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cr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的去除率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88" w:lineRule="exact"/>
        <w:ind w:left="5780" w:right="0" w:hanging="70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strike/>
          <w:color w:val="000000"/>
          <w:spacing w:val="0"/>
          <w:w w:val="100"/>
          <w:position w:val="0"/>
          <w:sz w:val="26"/>
          <w:szCs w:val="26"/>
        </w:rPr>
        <w:t>45°T2°</w:t>
      </w:r>
      <w:r>
        <w:rPr>
          <w:strike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73% </w:t>
      </w:r>
      <w:r>
        <w:rPr>
          <w:color w:val="000000"/>
          <w:spacing w:val="0"/>
          <w:w w:val="100"/>
          <w:position w:val="0"/>
          <w:sz w:val="24"/>
          <w:szCs w:val="24"/>
        </w:rPr>
        <w:t>450</w:t>
      </w:r>
    </w:p>
    <w:p>
      <w:pPr>
        <w:pStyle w:val="5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12"/>
        </w:tabs>
        <w:bidi w:val="0"/>
        <w:spacing w:before="0" w:after="260" w:line="240" w:lineRule="auto"/>
        <w:ind w:left="0" w:right="0" w:firstLine="0"/>
        <w:jc w:val="left"/>
      </w:pPr>
      <w:bookmarkStart w:id="19" w:name="bookmark19"/>
      <w:bookmarkEnd w:id="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SS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的去除率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54" w:lineRule="exact"/>
        <w:ind w:left="0" w:right="0" w:firstLine="0"/>
        <w:jc w:val="center"/>
      </w:pPr>
      <w:bookmarkStart w:id="20" w:name="bookmark20"/>
      <w:bookmarkStart w:id="21" w:name="bookmark21"/>
      <w:bookmarkStart w:id="22" w:name="bookmark22"/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  <w:shd w:val="clear" w:color="auto" w:fill="FFFFFF"/>
        </w:rPr>
        <w:t>=</w:t>
      </w:r>
      <w:r>
        <w:rPr>
          <w:strike/>
          <w:color w:val="000000"/>
          <w:spacing w:val="0"/>
          <w:w w:val="100"/>
          <w:position w:val="0"/>
          <w:sz w:val="40"/>
          <w:szCs w:val="40"/>
          <w:shd w:val="clear" w:color="auto" w:fill="FFFFFF"/>
          <w:vertAlign w:val="superscript"/>
        </w:rPr>
        <w:t>350-30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  <w:shd w:val="clear" w:color="auto" w:fill="FFFFFF"/>
        </w:rPr>
        <w:t>=</w:t>
      </w:r>
      <w:r>
        <w:rPr>
          <w:color w:val="000000"/>
          <w:spacing w:val="0"/>
          <w:w w:val="100"/>
          <w:position w:val="0"/>
          <w:shd w:val="clear" w:color="auto" w:fill="FFFFFF"/>
        </w:rPr>
        <w:t>9i.4%</w:t>
      </w:r>
      <w:bookmarkEnd w:id="20"/>
      <w:bookmarkEnd w:id="21"/>
      <w:bookmarkEnd w:id="22"/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5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350</w:t>
      </w:r>
    </w:p>
    <w:p>
      <w:pPr>
        <w:pStyle w:val="5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12"/>
        </w:tabs>
        <w:bidi w:val="0"/>
        <w:spacing w:before="0" w:after="260" w:line="240" w:lineRule="auto"/>
        <w:ind w:left="0" w:right="0" w:firstLine="0"/>
        <w:jc w:val="left"/>
      </w:pPr>
      <w:bookmarkStart w:id="23" w:name="bookmark23"/>
      <w:bookmarkEnd w:id="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TN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的去除率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^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45-20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</w:rPr>
        <w:t>44.4%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520" w:line="28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45</w:t>
      </w:r>
    </w:p>
    <w:p>
      <w:pPr>
        <w:pStyle w:val="5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12"/>
        </w:tabs>
        <w:bidi w:val="0"/>
        <w:spacing w:before="0" w:after="260" w:line="240" w:lineRule="auto"/>
        <w:ind w:left="0" w:right="0" w:firstLine="0"/>
        <w:jc w:val="left"/>
      </w:pPr>
      <w:bookmarkStart w:id="24" w:name="bookmark24"/>
      <w:bookmarkEnd w:id="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TP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的去除率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55n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</w:rPr>
        <w:t>82%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5.5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left"/>
        <w:rPr>
          <w:sz w:val="42"/>
          <w:szCs w:val="42"/>
        </w:rPr>
      </w:pPr>
      <w:bookmarkStart w:id="25" w:name="bookmark25"/>
      <w:bookmarkStart w:id="26" w:name="bookmark26"/>
      <w:bookmarkStart w:id="27" w:name="bookmark27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2.4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工艺流程的选择比较</w:t>
      </w:r>
      <w:bookmarkEnd w:id="25"/>
      <w:bookmarkEnd w:id="26"/>
      <w:bookmarkEnd w:id="27"/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47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2.4.1 A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/O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处理工艺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7" w:lineRule="exact"/>
        <w:ind w:left="0" w:right="0" w:firstLine="7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/O</w:t>
      </w:r>
      <w:r>
        <w:rPr>
          <w:color w:val="000000"/>
          <w:spacing w:val="0"/>
          <w:w w:val="100"/>
          <w:position w:val="0"/>
        </w:rPr>
        <w:t>处理工艺是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Anaerobic</w:t>
      </w:r>
      <w:r>
        <w:rPr>
          <w:color w:val="000000"/>
          <w:spacing w:val="0"/>
          <w:w w:val="100"/>
          <w:position w:val="0"/>
        </w:rPr>
        <w:t>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Anoxic </w:t>
      </w:r>
      <w:r>
        <w:rPr>
          <w:color w:val="000000"/>
          <w:spacing w:val="0"/>
          <w:w w:val="100"/>
          <w:position w:val="0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Oxic</w:t>
      </w:r>
      <w:r>
        <w:rPr>
          <w:color w:val="000000"/>
          <w:spacing w:val="0"/>
          <w:w w:val="100"/>
          <w:position w:val="0"/>
        </w:rPr>
        <w:t>的英文缩写，它是厌氧一缺氧一 好氧生物脱氮除磷工艺的简称，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/O</w:t>
      </w:r>
      <w:r>
        <w:rPr>
          <w:color w:val="000000"/>
          <w:spacing w:val="0"/>
          <w:w w:val="100"/>
          <w:position w:val="0"/>
        </w:rPr>
        <w:t>工艺是在厌氧一好氧除磷工艺的基础上开 发出来的，该工艺同时具有脱氮除磷的功能。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7" w:lineRule="exact"/>
        <w:ind w:left="0" w:right="0" w:firstLine="7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/O</w:t>
      </w:r>
      <w:r>
        <w:rPr>
          <w:color w:val="000000"/>
          <w:spacing w:val="0"/>
          <w:w w:val="100"/>
          <w:position w:val="0"/>
        </w:rPr>
        <w:t>工艺的特点：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A：</w:t>
      </w:r>
      <w:r>
        <w:rPr>
          <w:color w:val="000000"/>
          <w:spacing w:val="0"/>
          <w:w w:val="100"/>
          <w:position w:val="0"/>
        </w:rPr>
        <w:t>厌氧、缺氧、好氧三种不同的环境条件和不同种类的微生物菌群的有机配合， 能同时具有去除有机物、脱氮除磷功能；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9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B：</w:t>
      </w:r>
      <w:r>
        <w:rPr>
          <w:color w:val="000000"/>
          <w:spacing w:val="0"/>
          <w:w w:val="100"/>
          <w:position w:val="0"/>
        </w:rPr>
        <w:t>在同时脱氮除磷去除有机物的工艺中，该工艺流程最为简单，总的水力停留 时间也少于同类其它工艺。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C：</w:t>
      </w:r>
      <w:r>
        <w:rPr>
          <w:color w:val="000000"/>
          <w:spacing w:val="0"/>
          <w:w w:val="100"/>
          <w:position w:val="0"/>
        </w:rPr>
        <w:t>在厌氧-缺氧-好氧交替运行下，丝状菌不会大量繁殖，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SVI </w:t>
      </w:r>
      <w:r>
        <w:rPr>
          <w:color w:val="000000"/>
          <w:spacing w:val="0"/>
          <w:w w:val="100"/>
          <w:position w:val="0"/>
        </w:rPr>
        <w:t>一般小于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100</w:t>
      </w:r>
      <w:r>
        <w:rPr>
          <w:color w:val="000000"/>
          <w:spacing w:val="0"/>
          <w:w w:val="100"/>
          <w:position w:val="0"/>
        </w:rPr>
        <w:t>， 不会发生污泥膨胀。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D：</w:t>
      </w:r>
      <w:r>
        <w:rPr>
          <w:color w:val="000000"/>
          <w:spacing w:val="0"/>
          <w:w w:val="100"/>
          <w:position w:val="0"/>
        </w:rPr>
        <w:t>污泥中含磷量高，一般为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2.5%</w:t>
      </w:r>
      <w:r>
        <w:rPr>
          <w:color w:val="000000"/>
          <w:spacing w:val="0"/>
          <w:w w:val="100"/>
          <w:position w:val="0"/>
        </w:rPr>
        <w:t>以上。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2.4.2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氧化沟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严格地说，氧化沟不属于专门的生物除磷脱氮工艺。但是随着氧化沟技术的 发展，它早已超出原先的实践范围，出现了一系列除磷脱氮技术与氧化沟技术相 结合的污水处理工艺流程。按照运行方式，氧化沟可以分为连续工作式、交替工 作式和半交替工作式。连续工作式氧化沟，如帕斯韦尔氧化沟、卡鲁塞尔氧化沟。 奥贝尔氧化沟在我国应用比较多，这些氧化沟通过设置适当的缺氧段、厌氧段、 好氧段都能取得较好的除磷脱氮效果。连续工作式氧化沟又可分为合建式和分建 式。 交替工作式氧化沟一般采用合建式，多采用转刷曝气，不设二沉池和污泥 回流设施。交替工作式氧化沟又可分为单沟式、双沟式和三沟式，交替式氧化沟 兼有连续式氧化沟和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工艺的一些特点，可以根据水量水质的变化调节转刷 的开停，既可以节约能源，又可以实现最佳的除磷脱氮效果。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氧化沟具有以下特点：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42"/>
        </w:tabs>
        <w:bidi w:val="0"/>
        <w:spacing w:before="0" w:after="0" w:line="475" w:lineRule="exact"/>
        <w:ind w:left="0" w:right="0" w:firstLine="0"/>
        <w:jc w:val="left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工艺流程简单，运行管理方便。氧化沟工艺不需要初沉池和污泥消化池。有 些类型氧化沟还可以和二沉池合建，省去污泥回流系统。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84"/>
        </w:tabs>
        <w:bidi w:val="0"/>
        <w:spacing w:before="0" w:after="140" w:line="475" w:lineRule="exact"/>
        <w:ind w:left="0" w:right="0" w:firstLine="0"/>
        <w:jc w:val="left"/>
        <w:sectPr>
          <w:type w:val="nextPage"/>
          <w:pgSz w:w="17861" w:h="25258"/>
          <w:pgMar w:top="1762" w:right="2449" w:bottom="2296" w:left="255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运行稳定，处理效果好。氧化沟的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平均处理水平可达到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95%</w:t>
      </w:r>
      <w:r>
        <w:rPr>
          <w:color w:val="000000"/>
          <w:spacing w:val="0"/>
          <w:w w:val="100"/>
          <w:position w:val="0"/>
        </w:rPr>
        <w:t>左右。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46"/>
        </w:tabs>
        <w:bidi w:val="0"/>
        <w:spacing w:before="0" w:after="0" w:line="480" w:lineRule="exact"/>
        <w:ind w:left="0" w:right="0" w:firstLine="0"/>
        <w:jc w:val="left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能承受水量、水质的冲击负荷，对浓度较高的工业废水有较强的适应能力。 这主要是由于氧化沟水力停留时间长、泥龄长和循环稀释水量大。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46"/>
        </w:tabs>
        <w:bidi w:val="0"/>
        <w:spacing w:before="0" w:after="0" w:line="490" w:lineRule="exact"/>
        <w:ind w:left="0" w:right="0" w:firstLine="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污泥量少、性质稳定。由于氧化沟泥龄长。一般为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30d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污泥在沟内已 好氧稳定，所以污泥产量少从而管理简单，运行费用低。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46"/>
        </w:tabs>
        <w:bidi w:val="0"/>
        <w:spacing w:before="0" w:after="0" w:line="475" w:lineRule="exact"/>
        <w:ind w:left="0" w:right="0" w:firstLine="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可以除磷脱氮。可以通过氧化沟中曝气机的开关，创造好氧、缺氧环境达到 除磷脱氮目的，脱氮效率一般〉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80%</w:t>
      </w:r>
      <w:r>
        <w:rPr>
          <w:color w:val="000000"/>
          <w:spacing w:val="0"/>
          <w:w w:val="100"/>
          <w:position w:val="0"/>
        </w:rPr>
        <w:t>。但要达到较高的除磷效果则需要采取另外 措施。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56"/>
        </w:tabs>
        <w:bidi w:val="0"/>
        <w:spacing w:before="0" w:after="0" w:line="474" w:lineRule="exact"/>
        <w:ind w:left="0" w:right="0" w:firstLine="0"/>
        <w:jc w:val="left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基建投资省、运行费用低。和传统活性污泥法工艺相比，在去除</w:t>
      </w:r>
      <w:r>
        <w:rPr>
          <w:color w:val="000000"/>
          <w:spacing w:val="0"/>
          <w:w w:val="100"/>
          <w:position w:val="0"/>
        </w:rPr>
        <w:t>BOD</w:t>
      </w:r>
      <w:r>
        <w:rPr>
          <w:color w:val="000000"/>
          <w:spacing w:val="0"/>
          <w:w w:val="100"/>
          <w:position w:val="0"/>
        </w:rPr>
        <w:t xml:space="preserve">、去除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NH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-N</w:t>
      </w:r>
      <w:r>
        <w:rPr>
          <w:color w:val="000000"/>
          <w:spacing w:val="0"/>
          <w:w w:val="100"/>
          <w:position w:val="0"/>
        </w:rPr>
        <w:t>及去除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和脱氮三种情况下，基建费用和运行费用都有较大 降低，特别是在去除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和脱氮情况下更省。同时统计表明在规模较小的情况 下，氧化沟的基建投资比传统活性污泥法节省更多。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2.4.3 SBR 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工艺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0" w:right="0" w:firstLine="6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是一种间歇式的活性泥泥系统，其基本特征是在一个反应池内完成污水 的生化反应、固液分离、排水、排泥。可通过双池或多池组合运行实现连续进出 水。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通过对反应池曝气量和溶解氧的控制而实现不同的处理目标，具有很 大的灵活性。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0" w:right="0" w:firstLine="6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池通常每个周期运行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4-6</w:t>
      </w:r>
      <w:r>
        <w:rPr>
          <w:color w:val="000000"/>
          <w:spacing w:val="0"/>
          <w:w w:val="100"/>
          <w:position w:val="0"/>
        </w:rPr>
        <w:t>小时，当出现雨水高峰流量时，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系统就 从正常循环自动切换至雨水运行模式，通过调整其循环周期，以适应来水量的变 化。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系统通常能够承受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3-5</w:t>
      </w:r>
      <w:r>
        <w:rPr>
          <w:color w:val="000000"/>
          <w:spacing w:val="0"/>
          <w:w w:val="100"/>
          <w:position w:val="0"/>
        </w:rPr>
        <w:t>倍旱流量的冲击负荷。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0" w:right="0" w:firstLine="6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工艺具有以下特点：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84"/>
        </w:tabs>
        <w:bidi w:val="0"/>
        <w:spacing w:before="0" w:after="0" w:line="590" w:lineRule="exact"/>
        <w:ind w:left="0" w:right="0" w:firstLine="0"/>
        <w:jc w:val="both"/>
      </w:pPr>
      <w:bookmarkStart w:id="34" w:name="bookmark34"/>
      <w:bookmarkEnd w:id="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工艺流程简单、管理方便、造价低。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工艺只有一个反应器，不需要 二沉池，不需要污泥回流设备，一般情况下也不需要调节池，因此要比传统活性 污泥工艺节省基建投资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30%</w:t>
      </w:r>
      <w:r>
        <w:rPr>
          <w:color w:val="000000"/>
          <w:spacing w:val="0"/>
          <w:w w:val="100"/>
          <w:position w:val="0"/>
        </w:rPr>
        <w:t>以上，而且布置紧凑，节省用地。由于科技进步， 目前自动控制已相当成熟、配套。这就使得运行管理变得十分方便、灵活，很适 合小城市采用。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79"/>
        </w:tabs>
        <w:bidi w:val="0"/>
        <w:spacing w:before="0" w:after="0" w:line="592" w:lineRule="exact"/>
        <w:ind w:left="0" w:right="0" w:firstLine="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处理效果好。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工艺反应过程是不连续的，是典型的非稳态过程，但在曝 气阶段其底物和微生物浓度变化是连续的(尽管是处于完全混合状态中)，随时间 的延续而逐渐降低。反应器内活性污泥处于一种交替的吸附、吸收及生物降解和 活化的变化过程之中，因此处理效果好。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79"/>
        </w:tabs>
        <w:bidi w:val="0"/>
        <w:spacing w:before="0" w:after="0" w:line="614" w:lineRule="exact"/>
        <w:ind w:left="0" w:right="0" w:firstLine="0"/>
        <w:jc w:val="both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有较好的除磷脱氮效果。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工艺可以很容易地交替实现好氧、缺氧、厌氧 的环境，并可以通过改变曝气量、反应时间等方面来创造条件提高除磷脱氮效率。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84"/>
        </w:tabs>
        <w:bidi w:val="0"/>
        <w:spacing w:before="0" w:after="180" w:line="593" w:lineRule="exact"/>
        <w:ind w:left="0" w:right="0" w:firstLine="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污泥沉降性能好。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工艺具有的特殊运行环境抑制了污泥中丝状菌的生长， 减少了污泥膨胀的可能。同时由于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工艺的沉淀阶段是在静止的状态下进行 的，因此沉淀效果更好。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79"/>
        </w:tabs>
        <w:bidi w:val="0"/>
        <w:spacing w:before="0" w:after="0" w:line="360" w:lineRule="auto"/>
        <w:ind w:left="0" w:right="0" w:firstLine="0"/>
        <w:jc w:val="both"/>
      </w:pPr>
      <w:bookmarkStart w:id="38" w:name="bookmark38"/>
      <w:bookmarkEnd w:id="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SBR</w:t>
      </w:r>
      <w:r>
        <w:rPr>
          <w:color w:val="000000"/>
          <w:spacing w:val="0"/>
          <w:w w:val="100"/>
          <w:position w:val="0"/>
        </w:rPr>
        <w:t>工艺独特的运行工况决定了它能很好的适应进水水量、水质波动。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588" w:lineRule="exact"/>
        <w:ind w:left="0" w:right="0" w:firstLine="680"/>
        <w:jc w:val="both"/>
        <w:sectPr>
          <w:type w:val="nextPage"/>
          <w:pgSz w:w="17861" w:h="25258"/>
          <w:pgMar w:top="1762" w:right="2449" w:bottom="2296" w:left="2558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处理厂的工艺流程是指在达到所要求处理程度的前提下，污水处理各单元的</w:t>
      </w:r>
      <w:r>
        <w:rPr>
          <w:color w:val="000000"/>
          <w:spacing w:val="0"/>
          <w:w w:val="100"/>
          <w:position w:val="0"/>
        </w:rPr>
        <w:t xml:space="preserve"> 有机组合；构筑物的选型是指处理构筑物形式的选择。两者是相互联系，互为影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588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 xml:space="preserve"> 响的。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58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城市生活污水一般以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物质为主要去除对象。由于经过一级处理后的污 水，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只去除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</w:rPr>
        <w:t>%左右，仍不能排放；二级处理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去除率可达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90</w:t>
      </w:r>
      <w:r>
        <w:rPr>
          <w:color w:val="000000"/>
          <w:spacing w:val="0"/>
          <w:w w:val="100"/>
          <w:position w:val="0"/>
        </w:rPr>
        <w:t>%以上， 处理后的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含量可能降到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20-30mg/L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已具备排放水体的标准</w:t>
      </w:r>
      <w:r>
        <w:rPr>
          <w:color w:val="000000"/>
          <w:spacing w:val="0"/>
          <w:w w:val="100"/>
          <w:position w:val="0"/>
          <w:sz w:val="28"/>
          <w:szCs w:val="28"/>
        </w:rPr>
        <w:t>*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又该城市污水处理厂的方案，既要考虑有效去除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又要适当去除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color w:val="000000"/>
          <w:spacing w:val="0"/>
          <w:w w:val="100"/>
          <w:position w:val="0"/>
        </w:rPr>
        <w:t>故本设计米用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/O</w:t>
      </w:r>
      <w:r>
        <w:rPr>
          <w:color w:val="000000"/>
          <w:spacing w:val="0"/>
          <w:w w:val="100"/>
          <w:position w:val="0"/>
        </w:rPr>
        <w:t>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6" w:lineRule="exact"/>
        <w:ind w:left="0" w:right="0" w:firstLine="6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该流程包括完整的二级处理系统和污泥处理系统。污水经由一级处理的格栅、 沉砂池进入二级处理的厌氧池、缺氧池和好氧池，然后在二次沉淀池中进行泥水 分离，二沉池出水经接触消毒池消毒后排放。二沉池中一部分污泥作为回流污泥 进入二级处理部分，剩余污泥进入污泥浓缩池，经浓缩之后的污泥进入脱水机房 加药脱水，最后外运</w:t>
      </w:r>
      <w:r>
        <w:rPr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优点：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79"/>
        </w:tabs>
        <w:bidi w:val="0"/>
        <w:spacing w:before="0" w:after="0" w:line="586" w:lineRule="exact"/>
        <w:ind w:left="0" w:right="0" w:firstLine="0"/>
        <w:jc w:val="both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该工艺为最简单的同步脱氮除磷工艺，总的水力停留时间，总产占地面积少 于其它的工艺。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84"/>
        </w:tabs>
        <w:bidi w:val="0"/>
        <w:spacing w:before="0" w:after="0" w:line="586" w:lineRule="exact"/>
        <w:ind w:left="0" w:right="0" w:firstLine="0"/>
        <w:jc w:val="both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 xml:space="preserve">在厌氧的好氧交替运行条件下，丝状菌得不到大量增殖，无污泥膨胀之虞，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SVI</w:t>
      </w:r>
      <w:r>
        <w:rPr>
          <w:color w:val="000000"/>
          <w:spacing w:val="0"/>
          <w:w w:val="100"/>
          <w:position w:val="0"/>
        </w:rPr>
        <w:t>值一般均小于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100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⑶污泥中含磷浓度高，具有很高的肥效。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(4)</w:t>
      </w:r>
      <w:r>
        <w:rPr>
          <w:color w:val="000000"/>
          <w:spacing w:val="0"/>
          <w:w w:val="100"/>
          <w:position w:val="0"/>
        </w:rPr>
        <w:t>运行中无需投药，两个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段只用轻缓搅拌，以保证充足溶解氧浓度，运行费 低。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缺点：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84"/>
        </w:tabs>
        <w:bidi w:val="0"/>
        <w:spacing w:before="0" w:after="0" w:line="595" w:lineRule="exact"/>
        <w:ind w:left="0" w:right="0" w:firstLine="0"/>
        <w:jc w:val="left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除磷效果难于再行提高，污泥增长有一定的限度，不易提高，特别是当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P/BOD </w:t>
      </w:r>
      <w:r>
        <w:rPr>
          <w:color w:val="000000"/>
          <w:spacing w:val="0"/>
          <w:w w:val="100"/>
          <w:position w:val="0"/>
        </w:rPr>
        <w:t>值高时更是如此。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84"/>
        </w:tabs>
        <w:bidi w:val="0"/>
        <w:spacing w:before="0" w:after="0" w:line="589" w:lineRule="exact"/>
        <w:ind w:left="0" w:right="0" w:firstLine="0"/>
        <w:jc w:val="left"/>
      </w:pPr>
      <w:bookmarkStart w:id="42" w:name="bookmark42"/>
      <w:bookmarkEnd w:id="42"/>
      <w:r>
        <w:rPr>
          <w:color w:val="000000"/>
          <w:spacing w:val="0"/>
          <w:w w:val="100"/>
          <w:position w:val="0"/>
        </w:rPr>
        <w:t>脱氮效果也难于进一步提高，内循环量一般以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2Q</w:t>
      </w:r>
      <w:r>
        <w:rPr>
          <w:color w:val="000000"/>
          <w:spacing w:val="0"/>
          <w:w w:val="100"/>
          <w:position w:val="0"/>
        </w:rPr>
        <w:t>为限，不宜太高，否则增加 运行费用。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84"/>
        </w:tabs>
        <w:bidi w:val="0"/>
        <w:spacing w:before="0" w:after="820" w:line="589" w:lineRule="exact"/>
        <w:ind w:left="0" w:right="0" w:firstLine="0"/>
        <w:jc w:val="left"/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对沉淀池要保持一定的浓度的溶解氧，减少停留时间，防止产生厌氧状态和 污泥释放磷的现象出现，但溶解浓度也不宜过高。以防止循环混合液对缺反应 器的干扰。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  <w:rPr>
          <w:sz w:val="42"/>
          <w:szCs w:val="42"/>
        </w:rPr>
      </w:pPr>
      <w:bookmarkStart w:id="44" w:name="bookmark44"/>
      <w:bookmarkStart w:id="45" w:name="bookmark45"/>
      <w:bookmarkStart w:id="46" w:name="bookmark46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2.5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污水处理构筑物设计</w:t>
      </w:r>
      <w:bookmarkEnd w:id="44"/>
      <w:bookmarkEnd w:id="45"/>
      <w:bookmarkEnd w:id="46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6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2.5.1</w:t>
      </w:r>
      <w:r>
        <w:rPr>
          <w:b/>
          <w:bCs/>
          <w:color w:val="000000"/>
          <w:spacing w:val="0"/>
          <w:w w:val="100"/>
          <w:position w:val="0"/>
        </w:rPr>
        <w:t>中格栅和提升泵房(两者合建在一起)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进水中格栅是污水处理厂第一道预处理设施，中格栅用以截留水中的较大悬 浮物或漂浮物，以减轻后续处理构筑物的负荷，用来去除那些可能堵塞水泵机组 驻管道阀门的较粗大的悬浮物，并保证后续处理设施能正常运行的装置。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3" w:lineRule="exact"/>
        <w:ind w:left="0" w:right="0" w:firstLine="660"/>
        <w:jc w:val="left"/>
        <w:sectPr>
          <w:type w:val="nextPage"/>
          <w:pgSz w:w="17861" w:h="25258"/>
          <w:pgMar w:top="1762" w:right="2449" w:bottom="2296" w:left="2558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提升泵房用以提高污水的水位，保证污水能在整个污水处理流程过程中流 </w:t>
      </w:r>
      <w:r>
        <w:rPr>
          <w:color w:val="000000"/>
          <w:spacing w:val="0"/>
          <w:w w:val="100"/>
          <w:position w:val="0"/>
        </w:rPr>
        <w:t>过，从而达到污水的净化。对于新建污水处理厂，工艺管线可以充分优化，故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 xml:space="preserve"> 污水只考虑一次提升。污水经提升后入曝气沉砂池。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2.5.2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细格栅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58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污水由进水泵房提升至细格栅沉砂池，细格栅用于进一步去除污水中较小的 颗粒悬浮、漂浮物。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2.5.3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沉砂池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沉砂池的作用是从污水中将比重较大的颗粒去除，其工作原理是以重力分离 为基础，故应将沉砂池的进水流速控制在只能使比重大的无机颗粒下沉，而有机 悬浮颗粒则随水流带起立。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沉砂池有平流式、竖流式、曝气式和旋流式四种形式。平流式沉砂池具有构 造简单、处理效果好的优点；竖流式沉砂池污水由中心管进入池后自下而上流动， 无机物颗粒借重力沉于池底，处理效果一般较差；曝气沉砂池则是在池的一侧通 入空气，使污水沿池旋转前进，从而产生与主流方向垂直的横向恒速环流。砂粒 之间产生摩擦作用，可使沙粒上悬浮性有机物得以有效分离，且不使细小悬浮物 沉淀，便于沉砂和有机物的分别处理和处置。旋流式沉砂池有占地小，能耗低， 土建费用低的优点。本设计采用曝气沉砂池。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沉砂池设计中，必需按照下列原则：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430"/>
        </w:tabs>
        <w:bidi w:val="0"/>
        <w:spacing w:before="0" w:after="0" w:line="588" w:lineRule="exact"/>
        <w:ind w:left="0" w:right="0" w:firstLine="0"/>
        <w:jc w:val="both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城市污水厂一般均应设置沉砂池，座数或分格数应不少于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座(格)，并按并联 运行原则考虑。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435"/>
        </w:tabs>
        <w:bidi w:val="0"/>
        <w:spacing w:before="0" w:after="0" w:line="588" w:lineRule="exact"/>
        <w:ind w:left="0" w:right="0" w:firstLine="0"/>
        <w:jc w:val="both"/>
      </w:pPr>
      <w:bookmarkStart w:id="48" w:name="bookmark48"/>
      <w:bookmarkEnd w:id="48"/>
      <w:r>
        <w:rPr>
          <w:color w:val="000000"/>
          <w:spacing w:val="0"/>
          <w:w w:val="100"/>
          <w:position w:val="0"/>
        </w:rPr>
        <w:t>设计流量应按分期建设考虑：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579"/>
        </w:tabs>
        <w:bidi w:val="0"/>
        <w:spacing w:before="0" w:after="0" w:line="588" w:lineRule="exact"/>
        <w:ind w:left="0" w:right="0" w:firstLine="0"/>
        <w:jc w:val="both"/>
      </w:pPr>
      <w:bookmarkStart w:id="49" w:name="bookmark49"/>
      <w:bookmarkEnd w:id="49"/>
      <w:r>
        <w:rPr>
          <w:color w:val="000000"/>
          <w:spacing w:val="0"/>
          <w:w w:val="100"/>
          <w:position w:val="0"/>
        </w:rPr>
        <w:t>当污水自流进入时，应按每期的最大设计流量计算；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579"/>
        </w:tabs>
        <w:bidi w:val="0"/>
        <w:spacing w:before="0" w:after="0" w:line="595" w:lineRule="exact"/>
        <w:ind w:left="0" w:right="0" w:firstLine="0"/>
        <w:jc w:val="both"/>
      </w:pPr>
      <w:bookmarkStart w:id="50" w:name="bookmark50"/>
      <w:bookmarkEnd w:id="50"/>
      <w:r>
        <w:rPr>
          <w:color w:val="000000"/>
          <w:spacing w:val="0"/>
          <w:w w:val="100"/>
          <w:position w:val="0"/>
        </w:rPr>
        <w:t>当污水为用提升泵送入时，则应按每期工作水泵的最大组合流量计算；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579"/>
        </w:tabs>
        <w:bidi w:val="0"/>
        <w:spacing w:before="0" w:after="0" w:line="595" w:lineRule="exact"/>
        <w:ind w:left="0" w:right="0" w:firstLine="0"/>
        <w:jc w:val="both"/>
      </w:pPr>
      <w:bookmarkStart w:id="51" w:name="bookmark51"/>
      <w:bookmarkEnd w:id="51"/>
      <w:r>
        <w:rPr>
          <w:color w:val="000000"/>
          <w:spacing w:val="0"/>
          <w:w w:val="100"/>
          <w:position w:val="0"/>
        </w:rPr>
        <w:t>合流制处理系统中，应按降雨时的设计流量计算。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435"/>
        </w:tabs>
        <w:bidi w:val="0"/>
        <w:spacing w:before="0" w:after="0" w:line="595" w:lineRule="exact"/>
        <w:ind w:left="0" w:right="0" w:firstLine="0"/>
        <w:jc w:val="both"/>
      </w:pPr>
      <w:bookmarkStart w:id="52" w:name="bookmark52"/>
      <w:bookmarkEnd w:id="52"/>
      <w:r>
        <w:rPr>
          <w:color w:val="000000"/>
          <w:spacing w:val="0"/>
          <w:w w:val="100"/>
          <w:position w:val="0"/>
        </w:rPr>
        <w:t>沉砂池去除的砂粒杂质是以比重为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2.65</w:t>
      </w:r>
      <w:r>
        <w:rPr>
          <w:color w:val="000000"/>
          <w:spacing w:val="0"/>
          <w:w w:val="100"/>
          <w:position w:val="0"/>
        </w:rPr>
        <w:t>，粒径为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0.2</w:t>
      </w:r>
      <w:r>
        <w:rPr>
          <w:color w:val="000000"/>
          <w:spacing w:val="0"/>
          <w:w w:val="100"/>
          <w:position w:val="0"/>
        </w:rPr>
        <w:t>以上的颗粒为主。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440"/>
        </w:tabs>
        <w:bidi w:val="0"/>
        <w:spacing w:before="0" w:after="120" w:line="595" w:lineRule="exact"/>
        <w:ind w:left="0" w:right="0" w:firstLine="0"/>
        <w:jc w:val="both"/>
      </w:pPr>
      <w:bookmarkStart w:id="53" w:name="bookmark53"/>
      <w:bookmarkEnd w:id="53"/>
      <w:r>
        <w:rPr>
          <w:color w:val="000000"/>
          <w:spacing w:val="0"/>
          <w:w w:val="100"/>
          <w:position w:val="0"/>
        </w:rPr>
        <w:t>贮砂斗容积应按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日沉砂量计算，贮砂斗池壁与水平面的倾角不应小于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55</w:t>
      </w:r>
      <w:r>
        <w:rPr>
          <w:color w:val="000000"/>
          <w:spacing w:val="0"/>
          <w:w w:val="100"/>
          <w:position w:val="0"/>
        </w:rPr>
        <w:t>°排 砂管直径应不小于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0.3m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440"/>
        </w:tabs>
        <w:bidi w:val="0"/>
        <w:spacing w:before="0" w:after="0" w:line="240" w:lineRule="auto"/>
        <w:ind w:left="0" w:right="0" w:firstLine="0"/>
        <w:jc w:val="both"/>
      </w:pPr>
      <w:bookmarkStart w:id="54" w:name="bookmark54"/>
      <w:bookmarkEnd w:id="54"/>
      <w:r>
        <w:rPr>
          <w:color w:val="000000"/>
          <w:spacing w:val="0"/>
          <w:w w:val="100"/>
          <w:position w:val="0"/>
        </w:rPr>
        <w:t>沉砂池的超高不宜大于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0.3m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2.5.4A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/O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反应池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二级处理的主体构筑物，是活性污泥的反应器，即厌氧、缺氧、好氧反应器。 其独特的结构使其具有脱氮除磷功能，经过此处理构筑物后，水质得到很大的改 善。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79"/>
        </w:tabs>
        <w:bidi w:val="0"/>
        <w:spacing w:before="0" w:after="0" w:line="475" w:lineRule="exact"/>
        <w:ind w:left="0" w:right="0" w:firstLine="0"/>
        <w:jc w:val="left"/>
      </w:pPr>
      <w:bookmarkStart w:id="55" w:name="bookmark55"/>
      <w:bookmarkEnd w:id="55"/>
      <w:r>
        <w:rPr>
          <w:color w:val="000000"/>
          <w:spacing w:val="0"/>
          <w:w w:val="100"/>
          <w:position w:val="0"/>
        </w:rPr>
        <w:t>厌氧池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本池主要功能是释放磷，使污水中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</w:rPr>
        <w:t>的浓度升高，溶解性有机物被微生物细 胞吸收而使污水中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color w:val="000000"/>
          <w:spacing w:val="0"/>
          <w:w w:val="100"/>
          <w:position w:val="0"/>
        </w:rPr>
        <w:t>浓度下降；另外，氨氮因细胞的合成而被去处一部分， 使污水中氨氮浓度下降，但硝酸盐氮含量没有变化。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79"/>
        </w:tabs>
        <w:bidi w:val="0"/>
        <w:spacing w:before="0" w:after="0" w:line="475" w:lineRule="exact"/>
        <w:ind w:left="0" w:right="0" w:firstLine="0"/>
        <w:jc w:val="both"/>
      </w:pPr>
      <w:bookmarkStart w:id="56" w:name="bookmark56"/>
      <w:bookmarkEnd w:id="56"/>
      <w:r>
        <w:rPr>
          <w:color w:val="000000"/>
          <w:spacing w:val="0"/>
          <w:w w:val="100"/>
          <w:position w:val="0"/>
        </w:rPr>
        <w:t>缺氧池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700"/>
        <w:jc w:val="both"/>
        <w:sectPr>
          <w:type w:val="nextPage"/>
          <w:pgSz w:w="17861" w:h="25258"/>
          <w:pgMar w:top="1762" w:right="2449" w:bottom="2296" w:left="2558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在缺氧池中，反硝化菌利用污水中的有机物作碳源，将回流混合液中带入的 大量硝酸盐氮和亚硝酸盐氮还原为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释放至空气，因此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</w:rPr>
        <w:t>浓度下降，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NO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-N </w:t>
      </w:r>
      <w:r>
        <w:rPr>
          <w:color w:val="000000"/>
          <w:spacing w:val="0"/>
          <w:w w:val="100"/>
          <w:position w:val="0"/>
        </w:rPr>
        <w:t>浓度大幅下降，而磷的变化很小。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79"/>
        </w:tabs>
        <w:bidi w:val="0"/>
        <w:spacing w:before="0" w:after="0" w:line="240" w:lineRule="auto"/>
        <w:ind w:left="0" w:right="0" w:firstLine="0"/>
        <w:jc w:val="both"/>
      </w:pPr>
      <w:bookmarkStart w:id="57" w:name="bookmark57"/>
      <w:bookmarkEnd w:id="57"/>
      <w:r>
        <w:rPr>
          <w:color w:val="000000"/>
          <w:spacing w:val="0"/>
          <w:w w:val="100"/>
          <w:position w:val="0"/>
        </w:rPr>
        <w:t>好氧池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在好氧池中，有机物被微生物生化降解，而继续下降；有机氮被氨化继而被 硝化，使氨氮浓度显著下降，但随着硝化过程使硝酸盐氮的浓度增加，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</w:rPr>
        <w:t>随着聚 磷菌的过量摄取，也以较快的速度下降。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2.5.5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二沉池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二沉池是活性污泥系统的重要组成部分，用于好氧池流出的混合液进行泥水 分离，并浓缩、回收活性污泥，确保污水厂出水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SS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BOD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color w:val="000000"/>
          <w:spacing w:val="0"/>
          <w:w w:val="100"/>
          <w:position w:val="0"/>
        </w:rPr>
        <w:t>等指标达到所要求 的排放标准。在本次设计中为了提高沉淀效率，节约土地资源，降低筹建成本， 采用机械刮泥吸泥机的辐流沉淀池。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2.5.6</w:t>
      </w:r>
      <w:r>
        <w:rPr>
          <w:b/>
          <w:bCs/>
          <w:color w:val="000000"/>
          <w:spacing w:val="0"/>
          <w:w w:val="100"/>
          <w:position w:val="0"/>
        </w:rPr>
        <w:t>接触消毒池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本设计采用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廊道推流式消毒接触反应池。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  <w:rPr>
          <w:sz w:val="42"/>
          <w:szCs w:val="42"/>
        </w:rPr>
      </w:pPr>
      <w:bookmarkStart w:id="58" w:name="bookmark58"/>
      <w:bookmarkStart w:id="59" w:name="bookmark59"/>
      <w:bookmarkStart w:id="60" w:name="bookmark60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2.6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污泥处理构筑物设计</w:t>
      </w:r>
      <w:bookmarkEnd w:id="58"/>
      <w:bookmarkEnd w:id="59"/>
      <w:bookmarkEnd w:id="6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469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污水厂在处理污水的同时，每日要产生大量的污泥，这些污泥含有大量的易 分解的有机物质，对环境污染具有潜在的污染能力，若不进行有效处理，必然要 对环境造成二次污染。同时，污泥含水率高，体积庞大，处理和运输均很困难。 因此，在最终处置前必须处理，以降低污泥中的有机物含量，并减少其水分。使 之在最终处置时对黄静的危害减少。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579"/>
        </w:tabs>
        <w:bidi w:val="0"/>
        <w:spacing w:before="0" w:after="0" w:line="288" w:lineRule="auto"/>
        <w:ind w:left="0" w:right="0" w:firstLine="0"/>
        <w:jc w:val="left"/>
      </w:pPr>
      <w:bookmarkStart w:id="61" w:name="bookmark61"/>
      <w:bookmarkEnd w:id="61"/>
      <w:r>
        <w:rPr>
          <w:color w:val="000000"/>
          <w:spacing w:val="0"/>
          <w:w w:val="100"/>
          <w:position w:val="0"/>
        </w:rPr>
        <w:t>减量：降低污泥含水率，减小污泥体积；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579"/>
        </w:tabs>
        <w:bidi w:val="0"/>
        <w:spacing w:before="0" w:after="0" w:line="288" w:lineRule="auto"/>
        <w:ind w:left="0" w:right="0" w:firstLine="0"/>
        <w:jc w:val="left"/>
      </w:pPr>
      <w:bookmarkStart w:id="62" w:name="bookmark62"/>
      <w:bookmarkEnd w:id="62"/>
      <w:r>
        <w:rPr>
          <w:color w:val="000000"/>
          <w:spacing w:val="0"/>
          <w:w w:val="100"/>
          <w:position w:val="0"/>
        </w:rPr>
        <w:t>稳定：去除污泥中的有机物，使之稳定；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579"/>
        </w:tabs>
        <w:bidi w:val="0"/>
        <w:spacing w:before="0" w:after="0" w:line="288" w:lineRule="auto"/>
        <w:ind w:left="0" w:right="0" w:firstLine="0"/>
        <w:jc w:val="left"/>
      </w:pPr>
      <w:bookmarkStart w:id="63" w:name="bookmark63"/>
      <w:bookmarkEnd w:id="63"/>
      <w:r>
        <w:rPr>
          <w:color w:val="000000"/>
          <w:spacing w:val="0"/>
          <w:w w:val="100"/>
          <w:position w:val="0"/>
        </w:rPr>
        <w:t>无害化：杀灭寄生虫卵和病原菌；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579"/>
        </w:tabs>
        <w:bidi w:val="0"/>
        <w:spacing w:before="0" w:after="0" w:line="288" w:lineRule="auto"/>
        <w:ind w:left="0" w:right="0" w:firstLine="0"/>
        <w:jc w:val="left"/>
        <w:rPr>
          <w:sz w:val="34"/>
          <w:szCs w:val="34"/>
        </w:rPr>
      </w:pPr>
      <w:bookmarkStart w:id="64" w:name="bookmark64"/>
      <w:bookmarkEnd w:id="64"/>
      <w:r>
        <w:rPr>
          <w:color w:val="000000"/>
          <w:spacing w:val="0"/>
          <w:w w:val="100"/>
          <w:position w:val="0"/>
          <w:sz w:val="36"/>
          <w:szCs w:val="36"/>
        </w:rPr>
        <w:t>污泥综合利用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污泥处理的原则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84"/>
        </w:tabs>
        <w:bidi w:val="0"/>
        <w:spacing w:before="0" w:after="0" w:line="456" w:lineRule="exact"/>
        <w:ind w:left="0" w:right="0" w:firstLine="0"/>
        <w:jc w:val="left"/>
      </w:pPr>
      <w:bookmarkStart w:id="65" w:name="bookmark65"/>
      <w:bookmarkEnd w:id="65"/>
      <w:r>
        <w:rPr>
          <w:color w:val="000000"/>
          <w:spacing w:val="0"/>
          <w:w w:val="100"/>
          <w:position w:val="0"/>
        </w:rPr>
        <w:t>城镇污水污泥，应根据地区经济条件和环境条件进行减量化、危害化和无害 化处理，并逐步提高资源化程度。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84"/>
        </w:tabs>
        <w:bidi w:val="0"/>
        <w:spacing w:before="0" w:after="60" w:line="480" w:lineRule="exact"/>
        <w:ind w:left="0" w:right="0" w:firstLine="0"/>
        <w:jc w:val="left"/>
      </w:pPr>
      <w:bookmarkStart w:id="66" w:name="bookmark66"/>
      <w:bookmarkEnd w:id="66"/>
      <w:r>
        <w:rPr>
          <w:color w:val="000000"/>
          <w:spacing w:val="0"/>
          <w:w w:val="100"/>
          <w:position w:val="0"/>
        </w:rPr>
        <w:t>污泥的处置方式包括用作肥料、做建材、做燃料和填埋等，污泥的处理流程 应根据污泥的最终处置方式选定。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79"/>
        </w:tabs>
        <w:bidi w:val="0"/>
        <w:spacing w:before="0" w:after="0" w:line="288" w:lineRule="auto"/>
        <w:ind w:left="0" w:right="0" w:firstLine="0"/>
        <w:jc w:val="left"/>
      </w:pPr>
      <w:bookmarkStart w:id="67" w:name="bookmark67"/>
      <w:bookmarkEnd w:id="67"/>
      <w:r>
        <w:rPr>
          <w:color w:val="000000"/>
          <w:spacing w:val="0"/>
          <w:w w:val="100"/>
          <w:position w:val="0"/>
        </w:rPr>
        <w:t>污泥做肥料时，其有害物质含量应符合国家现行标准的规定。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79"/>
        </w:tabs>
        <w:bidi w:val="0"/>
        <w:spacing w:before="0" w:after="0" w:line="288" w:lineRule="auto"/>
        <w:ind w:left="0" w:right="0" w:firstLine="0"/>
        <w:jc w:val="left"/>
      </w:pPr>
      <w:bookmarkStart w:id="68" w:name="bookmark68"/>
      <w:bookmarkEnd w:id="68"/>
      <w:r>
        <w:rPr>
          <w:color w:val="000000"/>
          <w:spacing w:val="0"/>
          <w:w w:val="100"/>
          <w:position w:val="0"/>
        </w:rPr>
        <w:t>污泥处理过程中产生的污泥水应返回污水处理构筑物进行处理。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46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污泥处理方法的选择：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79"/>
        </w:tabs>
        <w:bidi w:val="0"/>
        <w:spacing w:before="0" w:after="0" w:line="288" w:lineRule="auto"/>
        <w:ind w:left="0" w:right="0" w:firstLine="0"/>
        <w:jc w:val="left"/>
      </w:pPr>
      <w:bookmarkStart w:id="69" w:name="bookmark69"/>
      <w:bookmarkEnd w:id="69"/>
      <w:r>
        <w:rPr>
          <w:color w:val="000000"/>
          <w:spacing w:val="0"/>
          <w:w w:val="100"/>
          <w:position w:val="0"/>
        </w:rPr>
        <w:t>生污泥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浓缩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消化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机械脱水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最终处理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79"/>
        </w:tabs>
        <w:bidi w:val="0"/>
        <w:spacing w:before="0" w:after="0" w:line="288" w:lineRule="auto"/>
        <w:ind w:left="0" w:right="0" w:firstLine="0"/>
        <w:jc w:val="left"/>
      </w:pPr>
      <w:bookmarkStart w:id="70" w:name="bookmark70"/>
      <w:bookmarkEnd w:id="70"/>
      <w:r>
        <w:rPr>
          <w:color w:val="000000"/>
          <w:spacing w:val="0"/>
          <w:w w:val="100"/>
          <w:position w:val="0"/>
        </w:rPr>
        <w:t>生污泥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浓缩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机械脱水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最终处理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79"/>
        </w:tabs>
        <w:bidi w:val="0"/>
        <w:spacing w:before="0" w:after="0" w:line="494" w:lineRule="exact"/>
        <w:ind w:left="0" w:right="0" w:firstLine="0"/>
        <w:jc w:val="left"/>
      </w:pPr>
      <w:bookmarkStart w:id="71" w:name="bookmark71"/>
      <w:bookmarkEnd w:id="71"/>
      <w:r>
        <w:rPr>
          <w:color w:val="000000"/>
          <w:spacing w:val="0"/>
          <w:w w:val="100"/>
          <w:position w:val="0"/>
        </w:rPr>
        <w:t>生污泥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浓缩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消化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机械脱水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焚烧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最终处理 根据实际情况和建设的需要笨设计采用方案二来处理污泥。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4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处理构筑物有污泥回流泵房、污泥浓缩池、污泥脱水车间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  <w:rPr>
          <w:sz w:val="42"/>
          <w:szCs w:val="42"/>
        </w:rPr>
      </w:pPr>
      <w:bookmarkStart w:id="72" w:name="bookmark72"/>
      <w:bookmarkStart w:id="73" w:name="bookmark73"/>
      <w:bookmarkStart w:id="74" w:name="bookmark74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2.7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污水厂平面、高程布置</w:t>
      </w:r>
      <w:bookmarkEnd w:id="72"/>
      <w:bookmarkEnd w:id="73"/>
      <w:bookmarkEnd w:id="74"/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sectPr>
          <w:type w:val="nextPage"/>
          <w:pgSz w:w="17861" w:h="25258"/>
          <w:pgMar w:top="1762" w:right="2449" w:bottom="2296" w:left="255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2.7.1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平面布置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各处理单元构筑物的平面布置: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92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处理构筑物是污水处理厂的主体建筑物，在对它们进行平面布置时，应根据 各构筑物的功能和水力要求结合当地地形地质条件，确定它们在厂区内的平面布 置应考虑：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037"/>
        </w:tabs>
        <w:bidi w:val="0"/>
        <w:spacing w:before="0" w:after="0" w:line="592" w:lineRule="exact"/>
        <w:ind w:left="160" w:right="0" w:firstLine="0"/>
        <w:jc w:val="both"/>
      </w:pPr>
      <w:bookmarkStart w:id="75" w:name="bookmark75"/>
      <w:bookmarkEnd w:id="75"/>
      <w:r>
        <w:rPr>
          <w:color w:val="000000"/>
          <w:spacing w:val="0"/>
          <w:w w:val="100"/>
          <w:position w:val="0"/>
        </w:rPr>
        <w:t>贯通，连接各处理构筑物之间管道应直通，应避免迂回曲折，造成管理不 便。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906"/>
        </w:tabs>
        <w:bidi w:val="0"/>
        <w:spacing w:before="0" w:after="0" w:line="581" w:lineRule="exact"/>
        <w:ind w:left="160" w:right="0" w:firstLine="0"/>
        <w:jc w:val="both"/>
      </w:pPr>
      <w:bookmarkStart w:id="76" w:name="bookmark76"/>
      <w:bookmarkEnd w:id="76"/>
      <w:r>
        <w:rPr>
          <w:color w:val="000000"/>
          <w:spacing w:val="0"/>
          <w:w w:val="100"/>
          <w:position w:val="0"/>
        </w:rPr>
        <w:t>土方量做到基本平衡，避免劣质土壤地段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042"/>
        </w:tabs>
        <w:bidi w:val="0"/>
        <w:spacing w:before="0" w:after="0" w:line="581" w:lineRule="exact"/>
        <w:ind w:left="160" w:right="0" w:firstLine="0"/>
        <w:jc w:val="both"/>
      </w:pPr>
      <w:bookmarkStart w:id="77" w:name="bookmark77"/>
      <w:bookmarkEnd w:id="77"/>
      <w:r>
        <w:rPr>
          <w:color w:val="000000"/>
          <w:spacing w:val="0"/>
          <w:w w:val="100"/>
          <w:position w:val="0"/>
        </w:rPr>
        <w:t xml:space="preserve">在各处理构筑物之间应保持一定产间距，以满足放工要求，一般间距要求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10m</w:t>
      </w:r>
      <w:r>
        <w:rPr>
          <w:color w:val="000000"/>
          <w:spacing w:val="0"/>
          <w:w w:val="100"/>
          <w:position w:val="0"/>
        </w:rPr>
        <w:t>，如有特殊要求构筑物其间距按有关规定执行。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906"/>
        </w:tabs>
        <w:bidi w:val="0"/>
        <w:spacing w:before="0" w:after="0" w:line="581" w:lineRule="exact"/>
        <w:ind w:left="160" w:right="0" w:firstLine="0"/>
        <w:jc w:val="both"/>
      </w:pPr>
      <w:bookmarkStart w:id="78" w:name="bookmark78"/>
      <w:bookmarkEnd w:id="78"/>
      <w:r>
        <w:rPr>
          <w:color w:val="000000"/>
          <w:spacing w:val="0"/>
          <w:w w:val="100"/>
          <w:position w:val="0"/>
        </w:rPr>
        <w:t>各处理构筑物之间在平面上应尽量紧凑，在减少占地面积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576" w:lineRule="exact"/>
        <w:ind w:left="160" w:right="0" w:firstLine="0"/>
        <w:jc w:val="both"/>
      </w:pPr>
      <w:r>
        <w:rPr>
          <w:color w:val="000000"/>
          <w:spacing w:val="0"/>
          <w:w w:val="100"/>
          <w:position w:val="0"/>
        </w:rPr>
        <w:t>2.7.2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管线布置</w:t>
      </w:r>
    </w:p>
    <w:p>
      <w:pPr>
        <w:pStyle w:val="a4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906"/>
        </w:tabs>
        <w:bidi w:val="0"/>
        <w:spacing w:before="0" w:after="0" w:line="576" w:lineRule="exact"/>
        <w:ind w:left="160" w:right="0" w:firstLine="0"/>
        <w:jc w:val="both"/>
        <w:rPr>
          <w:sz w:val="32"/>
          <w:szCs w:val="32"/>
        </w:rPr>
      </w:pPr>
      <w:bookmarkStart w:id="79" w:name="bookmark79"/>
      <w:bookmarkEnd w:id="79"/>
      <w:r>
        <w:rPr>
          <w:color w:val="000000"/>
          <w:spacing w:val="0"/>
          <w:w w:val="100"/>
          <w:position w:val="0"/>
          <w:sz w:val="32"/>
          <w:szCs w:val="32"/>
        </w:rPr>
        <w:t>应设超越管线，当出现故障时，可直接排入水体。</w:t>
      </w:r>
    </w:p>
    <w:p>
      <w:pPr>
        <w:pStyle w:val="a4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906"/>
        </w:tabs>
        <w:bidi w:val="0"/>
        <w:spacing w:before="0" w:after="0" w:line="576" w:lineRule="exact"/>
        <w:ind w:left="0" w:right="0" w:firstLine="160"/>
        <w:jc w:val="both"/>
        <w:rPr>
          <w:sz w:val="32"/>
          <w:szCs w:val="32"/>
        </w:rPr>
      </w:pPr>
      <w:bookmarkStart w:id="80" w:name="bookmark80"/>
      <w:bookmarkEnd w:id="80"/>
      <w:r>
        <w:rPr>
          <w:color w:val="000000"/>
          <w:spacing w:val="0"/>
          <w:w w:val="100"/>
          <w:position w:val="0"/>
          <w:sz w:val="32"/>
          <w:szCs w:val="32"/>
        </w:rPr>
        <w:t>厂区内还应有给水管，生活水管，雨水管。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0" w:line="576" w:lineRule="exact"/>
        <w:ind w:left="160" w:right="0" w:firstLine="78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在污水厂内主干道应尽量成环，方便运输。主干宽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10m</w:t>
      </w:r>
      <w:r>
        <w:rPr>
          <w:color w:val="000000"/>
          <w:spacing w:val="0"/>
          <w:w w:val="100"/>
          <w:position w:val="0"/>
          <w:sz w:val="32"/>
          <w:szCs w:val="32"/>
        </w:rPr>
        <w:t>次干道宽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4m</w:t>
      </w:r>
      <w:r>
        <w:rPr>
          <w:color w:val="000000"/>
          <w:spacing w:val="0"/>
          <w:w w:val="100"/>
          <w:position w:val="0"/>
          <w:sz w:val="32"/>
          <w:szCs w:val="32"/>
        </w:rPr>
        <w:t>，人行道 宽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1.5m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2.0m</w:t>
      </w:r>
      <w:r>
        <w:rPr>
          <w:color w:val="000000"/>
          <w:spacing w:val="0"/>
          <w:w w:val="100"/>
          <w:position w:val="0"/>
          <w:sz w:val="32"/>
          <w:szCs w:val="32"/>
        </w:rPr>
        <w:t>曲率半径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9m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  <w:sz w:val="32"/>
          <w:szCs w:val="32"/>
        </w:rPr>
        <w:t>有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30%</w:t>
      </w:r>
      <w:r>
        <w:rPr>
          <w:color w:val="000000"/>
          <w:spacing w:val="0"/>
          <w:w w:val="100"/>
          <w:position w:val="0"/>
          <w:sz w:val="32"/>
          <w:szCs w:val="32"/>
        </w:rPr>
        <w:t>以上的绿化。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2.7.3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高程布置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586" w:lineRule="exact"/>
        <w:ind w:left="160" w:right="0" w:firstLine="620"/>
        <w:jc w:val="both"/>
      </w:pPr>
      <w:r>
        <w:rPr>
          <w:color w:val="000000"/>
          <w:spacing w:val="0"/>
          <w:w w:val="100"/>
          <w:position w:val="0"/>
        </w:rPr>
        <w:t>为了降低运行费用和使维护管理，污水在处理构筑物之间的流动以按重力流 考虑为宜，厂内高程布置的主要特点是先确定最大构筑物的地面标高，然后根据 水头损失，通过水力计算，递推出前后构筑物的各项控制标高。根据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  <w:sz w:val="18"/>
          <w:szCs w:val="18"/>
        </w:rPr>
        <w:t>2</w:t>
      </w:r>
      <w:r>
        <w:rPr>
          <w:color w:val="000000"/>
          <w:spacing w:val="0"/>
          <w:w w:val="100"/>
          <w:position w:val="0"/>
        </w:rPr>
        <w:t>/O</w:t>
      </w:r>
      <w:r>
        <w:rPr>
          <w:color w:val="000000"/>
          <w:spacing w:val="0"/>
          <w:w w:val="100"/>
          <w:position w:val="0"/>
        </w:rPr>
        <w:t>反应 池的设计水面标高，推求各污水处理构筑物的水面标高，根据和处理构筑物结构 稳定性，确定处理构筑物的设计地面标高。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1400" w:line="240" w:lineRule="auto"/>
        <w:ind w:left="0" w:right="0" w:firstLine="0"/>
        <w:jc w:val="center"/>
      </w:pPr>
      <w:bookmarkStart w:id="81" w:name="bookmark81"/>
      <w:bookmarkStart w:id="82" w:name="bookmark82"/>
      <w:bookmarkStart w:id="83" w:name="bookmark83"/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  <w:sz w:val="48"/>
          <w:szCs w:val="48"/>
        </w:rPr>
        <w:t>3</w:t>
      </w:r>
      <w:r>
        <w:rPr>
          <w:color w:val="000000"/>
          <w:spacing w:val="0"/>
          <w:w w:val="100"/>
          <w:position w:val="0"/>
        </w:rPr>
        <w:t>章主要构筑物设计计算书</w:t>
      </w:r>
      <w:bookmarkEnd w:id="81"/>
      <w:bookmarkEnd w:id="82"/>
      <w:bookmarkEnd w:id="83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160"/>
        <w:jc w:val="both"/>
        <w:rPr>
          <w:sz w:val="42"/>
          <w:szCs w:val="42"/>
        </w:rPr>
      </w:pPr>
      <w:bookmarkStart w:id="84" w:name="bookmark84"/>
      <w:bookmarkStart w:id="85" w:name="bookmark85"/>
      <w:bookmarkStart w:id="86" w:name="bookmark86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3.1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中格栅</w:t>
      </w:r>
      <w:bookmarkEnd w:id="84"/>
      <w:bookmarkEnd w:id="85"/>
      <w:bookmarkEnd w:id="86"/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3.1.1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设计参数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3-1</w:t>
      </w: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主要设计参数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389"/>
        <w:gridCol w:w="641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参数值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8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每日平均流量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Q =20000m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/d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平均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栅条净间隙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e=25.0mm</w:t>
            </w:r>
          </w:p>
        </w:tc>
      </w:tr>
    </w:tbl>
    <w:p>
      <w:pPr>
        <w:sectPr>
          <w:type w:val="nextPage"/>
          <w:pgSz w:w="17861" w:h="25258"/>
          <w:pgMar w:top="1762" w:right="2449" w:bottom="2296" w:left="2558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389"/>
        <w:gridCol w:w="641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栅前流速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=0.7m/s</w:t>
            </w:r>
          </w:p>
        </w:tc>
      </w:tr>
    </w:tbl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389"/>
        <w:gridCol w:w="641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过栅流速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=0.8m/s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栅条宽度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s=0.01m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栅前部分长度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0.5m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格栅倾角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60°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单位栅渣量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]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=0.05m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3 </w:t>
            </w:r>
            <w:r>
              <w:rPr>
                <w:color w:val="000000"/>
                <w:spacing w:val="0"/>
                <w:w w:val="100"/>
                <w:position w:val="0"/>
              </w:rPr>
              <w:t>栅渣</w:t>
            </w:r>
            <w:r>
              <w:rPr>
                <w:color w:val="000000"/>
                <w:spacing w:val="0"/>
                <w:w w:val="100"/>
                <w:position w:val="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3 </w:t>
            </w:r>
            <w:r>
              <w:rPr>
                <w:color w:val="000000"/>
                <w:spacing w:val="0"/>
                <w:w w:val="100"/>
                <w:position w:val="0"/>
              </w:rPr>
              <w:t>污水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49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3.1.2</w:t>
      </w:r>
      <w:r>
        <w:rPr>
          <w:b/>
          <w:bCs/>
          <w:color w:val="000000"/>
          <w:spacing w:val="0"/>
          <w:w w:val="100"/>
          <w:position w:val="0"/>
        </w:rPr>
        <w:t>设计计算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9" w:right="0" w:firstLine="0"/>
        <w:jc w:val="left"/>
      </w:pPr>
      <w:r>
        <w:rPr>
          <w:color w:val="000000"/>
          <w:spacing w:val="0"/>
          <w:w w:val="100"/>
          <w:position w:val="0"/>
        </w:rPr>
        <w:t>最大日流量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max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=0.343m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/s</w:t>
      </w:r>
      <w:r>
        <w:rPr>
          <w:color w:val="000000"/>
          <w:spacing w:val="0"/>
          <w:w w:val="100"/>
          <w:position w:val="0"/>
        </w:rPr>
        <w:t>，过栅流速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=0.8m/s</w:t>
      </w:r>
      <w:r>
        <w:rPr>
          <w:color w:val="000000"/>
          <w:spacing w:val="0"/>
          <w:w w:val="100"/>
          <w:position w:val="0"/>
        </w:rPr>
        <w:t>，则，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0" w:lineRule="atLeas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栅前槽宽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B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</w:rPr>
        <w:t>]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40"/>
          <w:szCs w:val="40"/>
          <w:vertAlign w:val="superscript"/>
        </w:rPr>
        <w:t>2Q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22"/>
          <w:szCs w:val="22"/>
        </w:rPr>
        <w:t>max</w:t>
      </w:r>
      <w:r>
        <w:rPr>
          <w:color w:val="000000"/>
          <w:spacing w:val="0"/>
          <w:w w:val="100"/>
          <w:position w:val="0"/>
        </w:rPr>
        <w:t>=</w:t>
      </w:r>
      <w:r>
        <w:rPr>
          <w:rFonts w:ascii="Times New Roman" w:eastAsia="Times New Roman" w:hAnsi="Times New Roman" w:cs="Times New Roman"/>
          <w:i/>
          <w:iCs/>
          <w:smallCaps/>
          <w:strike/>
          <w:color w:val="000000"/>
          <w:spacing w:val="0"/>
          <w:w w:val="100"/>
          <w:position w:val="0"/>
          <w:sz w:val="68"/>
          <w:szCs w:val="68"/>
        </w:rPr>
        <w:t>[</w:t>
      </w:r>
      <w:r>
        <w:rPr>
          <w:rFonts w:ascii="Times New Roman" w:eastAsia="Times New Roman" w:hAnsi="Times New Roman" w:cs="Times New Roman"/>
          <w:i/>
          <w:iCs/>
          <w:smallCaps/>
          <w:strike/>
          <w:color w:val="000000"/>
          <w:spacing w:val="0"/>
          <w:w w:val="100"/>
          <w:position w:val="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iCs/>
          <w:smallCaps/>
          <w:strike/>
          <w:color w:val="000000"/>
          <w:spacing w:val="0"/>
          <w:w w:val="100"/>
          <w:position w:val="0"/>
          <w:sz w:val="24"/>
          <w:szCs w:val="24"/>
        </w:rPr>
        <w:t>xo.343</w:t>
      </w:r>
      <w:r>
        <w:rPr>
          <w:color w:val="000000"/>
          <w:spacing w:val="0"/>
          <w:w w:val="100"/>
          <w:position w:val="0"/>
        </w:rPr>
        <w:t>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.96m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取栅前槽宽</w:t>
      </w:r>
      <w:r>
        <w:rPr>
          <w:i/>
          <w:iCs/>
          <w:color w:val="000000"/>
          <w:spacing w:val="0"/>
          <w:w w:val="100"/>
          <w:position w:val="0"/>
        </w:rPr>
        <w:t>B =1m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3311"/>
          <w:tab w:val="left" w:pos="8440"/>
        </w:tabs>
        <w:bidi w:val="0"/>
        <w:spacing w:before="0" w:line="240" w:lineRule="auto"/>
        <w:ind w:left="192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24"/>
          <w:szCs w:val="24"/>
          <w:vertAlign w:val="superscript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 \ </w:t>
      </w:r>
      <w:r>
        <w:rPr>
          <w:color w:val="000000"/>
          <w:spacing w:val="0"/>
          <w:w w:val="100"/>
          <w:position w:val="0"/>
          <w:sz w:val="24"/>
          <w:szCs w:val="24"/>
        </w:rPr>
        <w:t>v</w:t>
      </w:r>
      <w:r>
        <w:rPr>
          <w:color w:val="000000"/>
          <w:spacing w:val="0"/>
          <w:w w:val="100"/>
          <w:position w:val="0"/>
          <w:sz w:val="24"/>
          <w:szCs w:val="24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ab/>
        <w:t>P 0.8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perscript"/>
        </w:rPr>
        <w:t>1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both"/>
      </w:pPr>
      <w:bookmarkStart w:id="87" w:name="bookmark87"/>
      <w:bookmarkStart w:id="88" w:name="bookmark88"/>
      <w:bookmarkStart w:id="89" w:name="bookmark89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栅前水深</w:t>
      </w:r>
      <w:r>
        <w:rPr>
          <w:color w:val="000000"/>
          <w:spacing w:val="0"/>
          <w:w w:val="100"/>
          <w:position w:val="0"/>
        </w:rPr>
        <w:t>h=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1</w:t>
      </w:r>
      <w:r>
        <w:rPr>
          <w:color w:val="000000"/>
          <w:spacing w:val="0"/>
          <w:w w:val="100"/>
          <w:position w:val="0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</w:rPr>
        <w:t>=0.5m</w:t>
      </w:r>
      <w:bookmarkEnd w:id="87"/>
      <w:bookmarkEnd w:id="88"/>
      <w:bookmarkEnd w:id="89"/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214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22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pos="4355"/>
        </w:tabs>
        <w:bidi w:val="0"/>
        <w:spacing w:before="0" w:after="0" w:line="235" w:lineRule="exact"/>
        <w:ind w:left="3180" w:right="0" w:hanging="3020"/>
        <w:jc w:val="both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栅条的间隙数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n"</w:t>
      </w:r>
      <w:r>
        <w:rPr>
          <w:color w:val="000000"/>
          <w:spacing w:val="0"/>
          <w:w w:val="100"/>
          <w:position w:val="0"/>
          <w:sz w:val="19"/>
          <w:szCs w:val="19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>蓦云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24"/>
          <w:szCs w:val="24"/>
        </w:rPr>
        <w:t>03</w:t>
      </w:r>
      <w:r>
        <w:rPr>
          <w:color w:val="000000"/>
          <w:spacing w:val="0"/>
          <w:w w:val="100"/>
          <w:position w:val="0"/>
          <w:sz w:val="36"/>
          <w:szCs w:val="36"/>
        </w:rPr>
        <w:t>球匝</w:t>
      </w:r>
      <w:r>
        <w:rPr>
          <w:color w:val="000000"/>
          <w:spacing w:val="0"/>
          <w:w w:val="100"/>
          <w:position w:val="0"/>
          <w:sz w:val="24"/>
          <w:szCs w:val="24"/>
        </w:rPr>
        <w:t>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=43.1</w:t>
      </w:r>
      <w:r>
        <w:rPr>
          <w:color w:val="000000"/>
          <w:spacing w:val="0"/>
          <w:w w:val="100"/>
          <w:position w:val="0"/>
          <w:sz w:val="36"/>
          <w:szCs w:val="36"/>
        </w:rPr>
        <w:t>,取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n=43 </w:t>
      </w:r>
      <w:r>
        <w:rPr>
          <w:color w:val="000000"/>
          <w:spacing w:val="0"/>
          <w:w w:val="100"/>
          <w:position w:val="0"/>
          <w:sz w:val="24"/>
          <w:szCs w:val="24"/>
        </w:rPr>
        <w:t>ehv</w:t>
      </w:r>
      <w:r>
        <w:rPr>
          <w:color w:val="000000"/>
          <w:spacing w:val="0"/>
          <w:w w:val="100"/>
          <w:position w:val="0"/>
          <w:sz w:val="24"/>
          <w:szCs w:val="24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4"/>
          <w:szCs w:val="24"/>
        </w:rPr>
        <w:t>0.025x0.5x0.8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235" w:lineRule="exact"/>
        <w:ind w:left="0" w:right="0" w:firstLine="78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栅前水深，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35" w:lineRule="exact"/>
        <w:ind w:left="0" w:right="0" w:firstLine="78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max</w:t>
      </w:r>
      <w:r>
        <w:rPr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最大设计流量，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/s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235" w:lineRule="exact"/>
        <w:ind w:left="0" w:right="0" w:firstLine="78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栅条净间隙，取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0.025m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688"/>
        </w:tabs>
        <w:bidi w:val="0"/>
        <w:spacing w:before="0" w:after="0" w:line="235" w:lineRule="exact"/>
        <w:ind w:left="0" w:right="0" w:firstLine="7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</w:rPr>
        <w:t>过栅流速，取</w:t>
      </w:r>
      <w:r>
        <w:rPr>
          <w:color w:val="000000"/>
          <w:spacing w:val="0"/>
          <w:w w:val="100"/>
          <w:position w:val="0"/>
        </w:rPr>
        <w:t>0.8m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35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栅槽有效宽度，设计采用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010</w:t>
      </w:r>
      <w:r>
        <w:rPr>
          <w:color w:val="000000"/>
          <w:spacing w:val="0"/>
          <w:w w:val="100"/>
          <w:position w:val="0"/>
        </w:rPr>
        <w:t>圆钢为栅条，即</w:t>
      </w:r>
      <w:r>
        <w:rPr>
          <w:color w:val="000000"/>
          <w:spacing w:val="0"/>
          <w:w w:val="100"/>
          <w:position w:val="0"/>
        </w:rPr>
        <w:t>S=0.01m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140" w:line="240" w:lineRule="auto"/>
        <w:ind w:left="0" w:right="0" w:firstLine="780"/>
        <w:jc w:val="left"/>
      </w:pPr>
      <w:bookmarkStart w:id="90" w:name="bookmark90"/>
      <w:bookmarkStart w:id="91" w:name="bookmark91"/>
      <w:bookmarkStart w:id="92" w:name="bookmark92"/>
      <w:r>
        <w:rPr>
          <w:color w:val="000000"/>
          <w:spacing w:val="0"/>
          <w:w w:val="100"/>
          <w:position w:val="0"/>
        </w:rPr>
        <w:t>B=s(n-1)+en=0.01(43-1)+0.025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</w:rPr>
        <w:t xml:space="preserve">43=1.495m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就 </w:t>
      </w:r>
      <w:r>
        <w:rPr>
          <w:color w:val="000000"/>
          <w:spacing w:val="0"/>
          <w:w w:val="100"/>
          <w:position w:val="0"/>
        </w:rPr>
        <w:t>1.5m</w:t>
      </w:r>
      <w:bookmarkEnd w:id="90"/>
      <w:bookmarkEnd w:id="91"/>
      <w:bookmarkEnd w:id="92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688"/>
        </w:tabs>
        <w:bidi w:val="0"/>
        <w:spacing w:before="0" w:after="60" w:line="235" w:lineRule="exact"/>
        <w:ind w:left="0" w:right="0" w:firstLine="78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栅槽宽度，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688"/>
        </w:tabs>
        <w:bidi w:val="0"/>
        <w:spacing w:before="0" w:after="60" w:line="235" w:lineRule="exact"/>
        <w:ind w:left="0" w:right="0" w:firstLine="7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</w:rPr>
        <w:t>栅条宽度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235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</w:rPr>
        <w:t>格栅间隙数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235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选用回转式格栅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HG-750</w:t>
      </w:r>
      <w:r>
        <w:rPr>
          <w:color w:val="000000"/>
          <w:spacing w:val="0"/>
          <w:w w:val="100"/>
          <w:position w:val="0"/>
        </w:rPr>
        <w:t>型两台，栅条间隙</w:t>
      </w:r>
      <w:r>
        <w:rPr>
          <w:color w:val="000000"/>
          <w:spacing w:val="0"/>
          <w:w w:val="100"/>
          <w:position w:val="0"/>
        </w:rPr>
        <w:t>25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>，每台功率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0.75w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格栅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235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倾角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color w:val="000000"/>
          <w:spacing w:val="0"/>
          <w:w w:val="100"/>
          <w:position w:val="0"/>
        </w:rPr>
        <w:t>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35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进水渠道渐宽部分长度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35" w:lineRule="exact"/>
        <w:ind w:left="0" w:right="0" w:firstLine="78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进水渠宽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=1m</w:t>
      </w:r>
      <w:r>
        <w:rPr>
          <w:color w:val="000000"/>
          <w:spacing w:val="0"/>
          <w:w w:val="100"/>
          <w:position w:val="0"/>
          <w:sz w:val="36"/>
          <w:szCs w:val="36"/>
        </w:rPr>
        <w:t>，渐宽部分展开角</w:t>
      </w:r>
      <w:r>
        <w:rPr>
          <w:color w:val="000000"/>
          <w:spacing w:val="0"/>
          <w:w w:val="100"/>
          <w:position w:val="0"/>
          <w:sz w:val="34"/>
          <w:szCs w:val="34"/>
        </w:rPr>
        <w:t>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=20</w:t>
      </w:r>
      <w:r>
        <w:rPr>
          <w:color w:val="000000"/>
          <w:spacing w:val="0"/>
          <w:w w:val="100"/>
          <w:position w:val="0"/>
          <w:sz w:val="36"/>
          <w:szCs w:val="36"/>
        </w:rPr>
        <w:t>°，则</w:t>
      </w:r>
      <w:r>
        <w:rPr>
          <w:color w:val="000000"/>
          <w:spacing w:val="0"/>
          <w:w w:val="100"/>
          <w:position w:val="0"/>
          <w:sz w:val="36"/>
          <w:szCs w:val="36"/>
        </w:rPr>
        <w:t>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d=q^</w:t>
      </w:r>
      <w:r>
        <w:rPr>
          <w:color w:val="000000"/>
          <w:spacing w:val="0"/>
          <w:w w:val="100"/>
          <w:position w:val="0"/>
          <w:sz w:val="36"/>
          <w:szCs w:val="36"/>
        </w:rPr>
        <w:t>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.68m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6444"/>
          <w:tab w:val="left" w:pos="8440"/>
        </w:tabs>
        <w:bidi w:val="0"/>
        <w:spacing w:before="0" w:after="140" w:line="240" w:lineRule="auto"/>
        <w:ind w:left="258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perscript"/>
        </w:rPr>
        <w:t>1</w:t>
        <w:tab/>
        <w:t>1</w:t>
        <w:tab/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24"/>
          <w:szCs w:val="24"/>
        </w:rPr>
        <w:t>2tana 2tan20°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渠道与出水渠道连接处的渐窄部分长度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=U=</w:t>
      </w:r>
      <w:r>
        <w:rPr>
          <w:color w:val="000000"/>
          <w:spacing w:val="0"/>
          <w:w w:val="100"/>
          <w:position w:val="0"/>
          <w:sz w:val="36"/>
          <w:szCs w:val="36"/>
        </w:rPr>
        <w:t>箜</w:t>
      </w:r>
      <w:r>
        <w:rPr>
          <w:color w:val="000000"/>
          <w:spacing w:val="0"/>
          <w:w w:val="100"/>
          <w:position w:val="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=0.34m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7382"/>
        </w:tabs>
        <w:bidi w:val="0"/>
        <w:spacing w:before="0" w:after="180"/>
        <w:ind w:left="6460" w:right="0" w:firstLine="0"/>
        <w:jc w:val="left"/>
      </w:pPr>
      <w:bookmarkStart w:id="93" w:name="bookmark93"/>
      <w:bookmarkStart w:id="94" w:name="bookmark94"/>
      <w:bookmarkStart w:id="95" w:name="bookmark9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vertAlign w:val="subscript"/>
        </w:rPr>
        <w:t>2</w:t>
        <w:tab/>
        <w:t>2</w:t>
      </w:r>
      <w:bookmarkEnd w:id="93"/>
      <w:bookmarkEnd w:id="94"/>
      <w:bookmarkEnd w:id="95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35" w:lineRule="exact"/>
        <w:ind w:left="0" w:right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过栅水头损失 </w:t>
      </w:r>
      <w:r>
        <w:rPr>
          <w:color w:val="000000"/>
          <w:spacing w:val="0"/>
          <w:w w:val="100"/>
          <w:position w:val="0"/>
        </w:rPr>
        <w:t>h=KK=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K£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v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£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sinc</w:t>
      </w:r>
      <w:r>
        <w:rPr>
          <w:color w:val="000000"/>
          <w:spacing w:val="0"/>
          <w:w w:val="100"/>
          <w:position w:val="0"/>
        </w:rPr>
        <w:t>=3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</w:rPr>
        <w:t>2.42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X(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皿)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vertAlign w:val="superscript"/>
        </w:rPr>
        <w:t>4/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 xml:space="preserve">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地 </w:t>
      </w:r>
      <w:r>
        <w:rPr>
          <w:rFonts w:ascii="SimSun" w:eastAsia="SimSun" w:hAnsi="SimSun" w:cs="SimSun"/>
          <w:smallCap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 sin60°</w:t>
      </w:r>
      <w:r>
        <w:rPr>
          <w:color w:val="000000"/>
          <w:spacing w:val="0"/>
          <w:w w:val="100"/>
          <w:position w:val="0"/>
        </w:rPr>
        <w:t>=0.061m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3311"/>
          <w:tab w:val="left" w:pos="7150"/>
          <w:tab w:val="left" w:pos="8983"/>
        </w:tabs>
        <w:bidi w:val="0"/>
        <w:spacing w:before="0" w:after="0" w:line="240" w:lineRule="auto"/>
        <w:ind w:left="258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perscript"/>
        </w:rPr>
        <w:t>1</w:t>
        <w:tab/>
        <w:t>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24"/>
          <w:szCs w:val="24"/>
        </w:rPr>
        <w:t>2g</w:t>
        <w:tab/>
        <w:t>0.025</w:t>
        <w:tab/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4"/>
          <w:szCs w:val="24"/>
        </w:rPr>
        <w:t>2x9.8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688"/>
        </w:tabs>
        <w:bidi w:val="0"/>
        <w:spacing w:before="0" w:after="0" w:line="235" w:lineRule="exact"/>
        <w:ind w:left="0" w:right="0" w:firstLine="78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过栅水头损失，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688"/>
        </w:tabs>
        <w:bidi w:val="0"/>
        <w:spacing w:before="0" w:after="0" w:line="235" w:lineRule="exact"/>
        <w:ind w:left="0" w:right="0" w:firstLine="7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</w:rPr>
        <w:t>计算水头损失，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31"/>
        <w:keepNext/>
        <w:keepLines/>
        <w:widowControl w:val="0"/>
        <w:shd w:val="clear" w:color="auto" w:fill="auto"/>
        <w:tabs>
          <w:tab w:val="left" w:leader="hyphen" w:pos="1688"/>
        </w:tabs>
        <w:bidi w:val="0"/>
        <w:spacing w:before="0" w:after="60" w:line="240" w:lineRule="auto"/>
        <w:ind w:left="0" w:right="0" w:firstLine="780"/>
        <w:jc w:val="left"/>
      </w:pPr>
      <w:bookmarkStart w:id="96" w:name="bookmark96"/>
      <w:bookmarkStart w:id="97" w:name="bookmark97"/>
      <w:bookmarkStart w:id="98" w:name="bookmark98"/>
      <w:r>
        <w:rPr>
          <w:color w:val="000000"/>
          <w:spacing w:val="0"/>
          <w:w w:val="100"/>
          <w:position w:val="0"/>
        </w:rPr>
        <w:t>g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重力加速度，</w:t>
      </w:r>
      <w:r>
        <w:rPr>
          <w:color w:val="000000"/>
          <w:spacing w:val="0"/>
          <w:w w:val="100"/>
          <w:position w:val="0"/>
        </w:rPr>
        <w:t>9.8 m/s</w:t>
      </w:r>
      <w:bookmarkEnd w:id="96"/>
      <w:bookmarkEnd w:id="97"/>
      <w:bookmarkEnd w:id="98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235" w:lineRule="exact"/>
        <w:ind w:left="0" w:right="0" w:firstLine="78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</w:t>
      </w:r>
      <w:r>
        <w:rPr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系数，格栅受污物堵塞后，水头损失增大的倍数，一般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k=3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35" w:lineRule="exact"/>
        <w:ind w:left="0" w:right="0" w:firstLine="78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e </w:t>
      </w:r>
      <w:r>
        <w:rPr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阻力系数，与栅条断面形状有关，</w:t>
      </w:r>
      <w:r>
        <w:rPr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color w:val="000000"/>
          <w:spacing w:val="0"/>
          <w:w w:val="100"/>
          <w:position w:val="0"/>
          <w:sz w:val="36"/>
          <w:szCs w:val="36"/>
        </w:rPr>
        <w:t>邛(?</w:t>
      </w:r>
      <w:r>
        <w:rPr>
          <w:color w:val="000000"/>
          <w:spacing w:val="0"/>
          <w:w w:val="100"/>
          <w:position w:val="0"/>
          <w:sz w:val="19"/>
          <w:szCs w:val="19"/>
        </w:rPr>
        <w:t>4</w:t>
      </w:r>
      <w:r>
        <w:rPr>
          <w:color w:val="000000"/>
          <w:spacing w:val="0"/>
          <w:w w:val="100"/>
          <w:position w:val="0"/>
          <w:sz w:val="36"/>
          <w:szCs w:val="36"/>
        </w:rPr>
        <w:t>,当为矩形断面时，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6 = </w:t>
      </w:r>
      <w:r>
        <w:rPr>
          <w:color w:val="000000"/>
          <w:spacing w:val="0"/>
          <w:w w:val="100"/>
          <w:position w:val="0"/>
          <w:sz w:val="34"/>
          <w:szCs w:val="34"/>
        </w:rPr>
        <w:t>2.42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235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栅后槽总高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35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取栅前渠道超高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=0.3m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780"/>
        <w:jc w:val="left"/>
      </w:pPr>
      <w:bookmarkStart w:id="99" w:name="bookmark100"/>
      <w:bookmarkStart w:id="100" w:name="bookmark101"/>
      <w:bookmarkStart w:id="101" w:name="bookmark99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栅后槽总高 </w:t>
      </w:r>
      <w:r>
        <w:rPr>
          <w:color w:val="000000"/>
          <w:spacing w:val="0"/>
          <w:w w:val="100"/>
          <w:position w:val="0"/>
        </w:rPr>
        <w:t>H= h+ h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+ h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=0.5+0.061+0.3=0.861m</w:t>
      </w:r>
      <w:bookmarkEnd w:id="99"/>
      <w:bookmarkEnd w:id="100"/>
      <w:bookmarkEnd w:id="10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00"/>
        <w:jc w:val="both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栅前水深，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00"/>
        <w:jc w:val="both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栅前渠道超高，一般取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0.3m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240" w:line="470" w:lineRule="exact"/>
        <w:ind w:left="0" w:right="0" w:firstLine="700"/>
        <w:jc w:val="both"/>
      </w:pPr>
      <w:bookmarkStart w:id="102" w:name="bookmark102"/>
      <w:bookmarkStart w:id="103" w:name="bookmark103"/>
      <w:bookmarkStart w:id="104" w:name="bookmark104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栅前槽高 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</w:rPr>
        <w:t xml:space="preserve">= h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=0.5+0.3=0.8 m</w:t>
      </w:r>
      <w:bookmarkEnd w:id="102"/>
      <w:bookmarkEnd w:id="103"/>
      <w:bookmarkEnd w:id="104"/>
    </w:p>
    <w:p>
      <w:pPr>
        <w:pStyle w:val="31"/>
        <w:keepNext/>
        <w:keepLines/>
        <w:widowControl w:val="0"/>
        <w:shd w:val="clear" w:color="auto" w:fill="auto"/>
        <w:tabs>
          <w:tab w:val="left" w:pos="3000"/>
          <w:tab w:val="left" w:pos="4445"/>
          <w:tab w:val="left" w:pos="8146"/>
        </w:tabs>
        <w:bidi w:val="0"/>
        <w:spacing w:before="0" w:after="0" w:line="245" w:lineRule="exact"/>
        <w:ind w:left="2500" w:right="0" w:hanging="2500"/>
        <w:jc w:val="left"/>
        <w:rPr>
          <w:sz w:val="24"/>
          <w:szCs w:val="24"/>
        </w:rPr>
      </w:pPr>
      <w:bookmarkStart w:id="105" w:name="bookmark105"/>
      <w:bookmarkStart w:id="106" w:name="bookmark106"/>
      <w:bookmarkStart w:id="107" w:name="bookmark107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栅槽总长度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L= L+ L+0.5+1+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业―</w:t>
      </w:r>
      <w:r>
        <w:rPr>
          <w:color w:val="000000"/>
          <w:spacing w:val="0"/>
          <w:w w:val="100"/>
          <w:position w:val="0"/>
          <w:sz w:val="34"/>
          <w:szCs w:val="34"/>
        </w:rPr>
        <w:t>=0.68+0.34+0.5+1+-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°^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=2.98m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vertAlign w:val="superscript"/>
        </w:rPr>
        <w:t>1</w:t>
        <w:tab/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tan60°</w:t>
        <w:tab/>
        <w:t>tan60°</w:t>
      </w:r>
      <w:bookmarkEnd w:id="105"/>
      <w:bookmarkEnd w:id="106"/>
      <w:bookmarkEnd w:id="10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00"/>
        <w:jc w:val="both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L</w:t>
      </w:r>
      <w:r>
        <w:rPr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栅槽总长度，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725"/>
        </w:tabs>
        <w:bidi w:val="0"/>
        <w:spacing w:before="0" w:after="0" w:line="470" w:lineRule="exact"/>
        <w:ind w:left="0" w:right="0" w:firstLine="700"/>
        <w:jc w:val="both"/>
        <w:rPr>
          <w:sz w:val="34"/>
          <w:szCs w:val="34"/>
        </w:rPr>
        <w:sectPr>
          <w:type w:val="nextPage"/>
          <w:pgSz w:w="17861" w:h="25258"/>
          <w:pgMar w:top="1762" w:right="2449" w:bottom="2296" w:left="2558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栅前槽高，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466"/>
        </w:tabs>
        <w:bidi w:val="0"/>
        <w:spacing w:before="0" w:after="0" w:line="470" w:lineRule="exact"/>
        <w:ind w:left="0" w:right="0" w:firstLine="700"/>
        <w:jc w:val="both"/>
        <w:rPr>
          <w:sz w:val="34"/>
          <w:szCs w:val="34"/>
        </w:rPr>
      </w:pPr>
      <w:bookmarkStart w:id="108" w:name="bookmark108"/>
      <w:bookmarkEnd w:id="108"/>
      <w:r>
        <w:rPr>
          <w:color w:val="000000"/>
          <w:spacing w:val="0"/>
          <w:w w:val="100"/>
          <w:position w:val="0"/>
          <w:sz w:val="36"/>
          <w:szCs w:val="36"/>
        </w:rPr>
        <w:t>—</w:t>
      </w:r>
      <w:r>
        <w:rPr>
          <w:color w:val="000000"/>
          <w:spacing w:val="0"/>
          <w:w w:val="100"/>
          <w:position w:val="0"/>
          <w:sz w:val="36"/>
          <w:szCs w:val="36"/>
        </w:rPr>
        <w:t>进水渠道渐宽部分长度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471"/>
        </w:tabs>
        <w:bidi w:val="0"/>
        <w:spacing w:before="0" w:after="240" w:line="470" w:lineRule="exact"/>
        <w:ind w:left="0" w:right="0" w:firstLine="700"/>
        <w:jc w:val="both"/>
        <w:rPr>
          <w:sz w:val="34"/>
          <w:szCs w:val="34"/>
        </w:rPr>
      </w:pPr>
      <w:bookmarkStart w:id="109" w:name="bookmark109"/>
      <w:bookmarkEnd w:id="109"/>
      <w:r>
        <w:rPr>
          <w:color w:val="000000"/>
          <w:spacing w:val="0"/>
          <w:w w:val="100"/>
          <w:position w:val="0"/>
          <w:sz w:val="36"/>
          <w:szCs w:val="36"/>
        </w:rPr>
        <w:t>—</w:t>
      </w:r>
      <w:r>
        <w:rPr>
          <w:color w:val="000000"/>
          <w:spacing w:val="0"/>
          <w:w w:val="100"/>
          <w:position w:val="0"/>
          <w:sz w:val="36"/>
          <w:szCs w:val="36"/>
        </w:rPr>
        <w:t>渠道与出水渠道连接处的渐窄部分长度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6456"/>
        </w:tabs>
        <w:bidi w:val="0"/>
        <w:spacing w:before="0" w:after="0" w:line="245" w:lineRule="exact"/>
        <w:ind w:left="2680" w:right="0" w:hanging="2680"/>
        <w:jc w:val="left"/>
        <w:rPr>
          <w:sz w:val="24"/>
          <w:szCs w:val="24"/>
        </w:rPr>
      </w:pPr>
      <w:bookmarkStart w:id="110" w:name="bookmark110"/>
      <w:bookmarkStart w:id="111" w:name="bookmark111"/>
      <w:bookmarkStart w:id="112" w:name="bookmark112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每日栅渣量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gQ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蔚 </w:t>
      </w:r>
      <w:r>
        <w:rPr>
          <w:smallCaps/>
          <w:strike/>
          <w:color w:val="000000"/>
          <w:spacing w:val="0"/>
          <w:w w:val="100"/>
          <w:position w:val="0"/>
          <w:sz w:val="18"/>
          <w:szCs w:val="18"/>
        </w:rPr>
        <w:t>°</w:t>
      </w:r>
      <w:r>
        <w:rPr>
          <w:smallCaps/>
          <w:strike/>
          <w:color w:val="000000"/>
          <w:spacing w:val="0"/>
          <w:w w:val="100"/>
          <w:position w:val="0"/>
          <w:sz w:val="22"/>
          <w:szCs w:val="22"/>
        </w:rPr>
        <w:t>i</w:t>
      </w:r>
      <w:r>
        <w:rPr>
          <w:rFonts w:ascii="Courier New" w:eastAsia="Courier New" w:hAnsi="Courier New" w:cs="Courier New"/>
          <w:smallCaps/>
          <w:strike/>
          <w:color w:val="000000"/>
          <w:spacing w:val="0"/>
          <w:w w:val="100"/>
          <w:position w:val="0"/>
          <w:sz w:val="42"/>
          <w:szCs w:val="42"/>
          <w:vertAlign w:val="superscript"/>
        </w:rPr>
        <w:t>x86400</w:t>
      </w:r>
      <w:r>
        <w:rPr>
          <w:rFonts w:ascii="SimSun" w:eastAsia="SimSun" w:hAnsi="SimSun" w:cs="SimSun"/>
          <w:smallCaps/>
          <w:color w:val="000000"/>
          <w:spacing w:val="0"/>
          <w:w w:val="100"/>
          <w:position w:val="0"/>
          <w:sz w:val="36"/>
          <w:szCs w:val="36"/>
        </w:rPr>
        <w:t>=0.232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strike/>
          <w:color w:val="000000"/>
          <w:spacing w:val="0"/>
          <w:w w:val="100"/>
          <w:position w:val="0"/>
          <w:sz w:val="40"/>
          <w:szCs w:val="40"/>
          <w:vertAlign w:val="superscript"/>
        </w:rPr>
        <w:t>0</w:t>
      </w:r>
      <w:r>
        <w:rPr>
          <w:rFonts w:ascii="SimSun" w:eastAsia="SimSun" w:hAnsi="SimSun" w:cs="SimSun"/>
          <w:strike/>
          <w:color w:val="000000"/>
          <w:spacing w:val="0"/>
          <w:w w:val="100"/>
          <w:position w:val="0"/>
          <w:sz w:val="26"/>
          <w:szCs w:val="26"/>
        </w:rPr>
        <w:t>-</w:t>
      </w:r>
      <w:r>
        <w:rPr>
          <w:strike/>
          <w:color w:val="000000"/>
          <w:spacing w:val="0"/>
          <w:w w:val="100"/>
          <w:position w:val="0"/>
          <w:sz w:val="40"/>
          <w:szCs w:val="40"/>
          <w:vertAlign w:val="superscript"/>
        </w:rPr>
        <w:t>05x86400</w:t>
      </w:r>
      <w:r>
        <w:rPr>
          <w:color w:val="000000"/>
          <w:spacing w:val="0"/>
          <w:w w:val="100"/>
          <w:position w:val="0"/>
          <w:sz w:val="34"/>
          <w:szCs w:val="34"/>
        </w:rPr>
        <w:t>=1.0 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  <w:sz w:val="34"/>
          <w:szCs w:val="34"/>
        </w:rPr>
        <w:t>/d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&gt;</w:t>
      </w:r>
      <w:r>
        <w:rPr>
          <w:color w:val="000000"/>
          <w:spacing w:val="0"/>
          <w:w w:val="100"/>
          <w:position w:val="0"/>
          <w:sz w:val="34"/>
          <w:szCs w:val="34"/>
        </w:rPr>
        <w:t>0.2 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  <w:sz w:val="34"/>
          <w:szCs w:val="34"/>
        </w:rPr>
        <w:t>/d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 xml:space="preserve">平均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1000</w:t>
        <w:tab/>
        <w:t>1000</w:t>
      </w:r>
      <w:bookmarkEnd w:id="110"/>
      <w:bookmarkEnd w:id="111"/>
      <w:bookmarkEnd w:id="11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00"/>
        <w:jc w:val="both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W</w:t>
      </w:r>
      <w:r>
        <w:rPr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  <w:sz w:val="36"/>
          <w:szCs w:val="36"/>
        </w:rPr>
        <w:t>每日栅渣量，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/d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725"/>
        </w:tabs>
        <w:bidi w:val="0"/>
        <w:spacing w:before="0" w:after="0" w:line="47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叫</w:t>
        <w:tab/>
        <w:t>单位栅渣量，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</w:rPr>
        <w:t>栅渣</w:t>
      </w:r>
      <w:r>
        <w:rPr>
          <w:color w:val="000000"/>
          <w:spacing w:val="0"/>
          <w:w w:val="100"/>
          <w:position w:val="0"/>
        </w:rPr>
        <w:t>/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</w:rPr>
        <w:t>污水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采用机械清渣，污物的排出采用机械装置：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0600</w:t>
      </w:r>
      <w:r>
        <w:rPr>
          <w:color w:val="000000"/>
          <w:spacing w:val="0"/>
          <w:w w:val="100"/>
          <w:position w:val="0"/>
        </w:rPr>
        <w:t>螺旋输送物，选用长度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l=8.0m </w:t>
      </w:r>
      <w:r>
        <w:rPr>
          <w:color w:val="000000"/>
          <w:spacing w:val="0"/>
          <w:w w:val="100"/>
          <w:position w:val="0"/>
        </w:rPr>
        <w:t>的一台。</w:t>
      </w:r>
    </w:p>
    <w:p>
      <w:pPr>
        <w:framePr w:w="17861" w:h="7982" w:hRule="atLeast" w:vSpace="408" w:wrap="notBeside" w:vAnchor="text" w:hAnchor="text" w:x="-2502" w:y="409"/>
        <w:widowControl w:val="0"/>
        <w:rPr>
          <w:sz w:val="2"/>
          <w:szCs w:val="2"/>
        </w:rPr>
      </w:pPr>
      <w:r>
        <w:drawing>
          <wp:inline>
            <wp:extent cx="11344910" cy="507174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507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1818005" simplePos="0" relativeHeight="251659264" behindDoc="0" locked="0" layoutInCell="1" allowOverlap="1">
                <wp:simplePos x="0" y="0"/>
                <wp:positionH relativeFrom="column">
                  <wp:posOffset>117475</wp:posOffset>
                </wp:positionH>
                <wp:positionV relativeFrom="paragraph">
                  <wp:posOffset>0</wp:posOffset>
                </wp:positionV>
                <wp:extent cx="7933690" cy="255905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933690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计算草图如下：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624.7pt;height:20.15pt;margin-top:0;margin-left:9.25pt;mso-wrap-distance-bottom:0;mso-wrap-distance-left:0;mso-wrap-distance-right:143.15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计算草图如下：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8895080" simplePos="0" relativeHeight="251661312" behindDoc="0" locked="0" layoutInCell="1" allowOverlap="1">
                <wp:simplePos x="0" y="0"/>
                <wp:positionH relativeFrom="column">
                  <wp:posOffset>4464050</wp:posOffset>
                </wp:positionH>
                <wp:positionV relativeFrom="paragraph">
                  <wp:posOffset>704215</wp:posOffset>
                </wp:positionV>
                <wp:extent cx="856615" cy="243840"/>
                <wp:wrapTopAndBottom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661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工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fl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••平白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" o:spid="_x0000_s1026" type="#_x0000_t202" style="width:67.45pt;height:19.2pt;margin-top:55.45pt;margin-left:351.5pt;mso-wrap-distance-bottom:0;mso-wrap-distance-left:0;mso-wrap-distance-right:700.4pt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工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fl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••平白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8535670" simplePos="0" relativeHeight="251663360" behindDoc="0" locked="0" layoutInCell="1" allowOverlap="1">
                <wp:simplePos x="0" y="0"/>
                <wp:positionH relativeFrom="column">
                  <wp:posOffset>2723515</wp:posOffset>
                </wp:positionH>
                <wp:positionV relativeFrom="paragraph">
                  <wp:posOffset>4425950</wp:posOffset>
                </wp:positionV>
                <wp:extent cx="1216025" cy="250190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6025" cy="250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single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 xml:space="preserve">口口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  <w:u w:val="single"/>
                              </w:rPr>
                              <w:t xml:space="preserve">|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  <w:u w:val="single"/>
                              </w:rPr>
                              <w:t>HlZ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 xml:space="preserve">七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>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7" type="#_x0000_t202" style="width:95.75pt;height:19.7pt;margin-top:348.5pt;margin-left:214.45pt;mso-wrap-distance-bottom:0;mso-wrap-distance-left:0;mso-wrap-distance-right:672.1pt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single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 xml:space="preserve">口口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  <w:u w:val="single"/>
                        </w:rPr>
                        <w:t xml:space="preserve">|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  <w:u w:val="single"/>
                        </w:rPr>
                        <w:t>HlZ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 xml:space="preserve">七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>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9434830" simplePos="0" relativeHeight="251665408" behindDoc="0" locked="0" layoutInCell="1" allowOverlap="1">
                <wp:simplePos x="0" y="0"/>
                <wp:positionH relativeFrom="column">
                  <wp:posOffset>4906010</wp:posOffset>
                </wp:positionH>
                <wp:positionV relativeFrom="paragraph">
                  <wp:posOffset>4443730</wp:posOffset>
                </wp:positionV>
                <wp:extent cx="316865" cy="250190"/>
                <wp:wrapTopAndBottom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6865" cy="250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single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>口 口口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" o:spid="_x0000_s1028" type="#_x0000_t202" style="width:24.95pt;height:19.7pt;margin-top:349.9pt;margin-left:386.3pt;mso-wrap-distance-bottom:0;mso-wrap-distance-left:0;mso-wrap-distance-right:742.9pt;mso-wrap-distance-top:0;position:absolute;v-text-anchor:top;z-index:25166438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single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>口 口口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  <w:rPr>
          <w:sz w:val="42"/>
          <w:szCs w:val="42"/>
        </w:rPr>
      </w:pPr>
      <w:bookmarkStart w:id="113" w:name="bookmark113"/>
      <w:bookmarkStart w:id="114" w:name="bookmark114"/>
      <w:bookmarkStart w:id="115" w:name="bookmark115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3.2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污水提升泵站</w:t>
      </w:r>
      <w:bookmarkEnd w:id="113"/>
      <w:bookmarkEnd w:id="114"/>
      <w:bookmarkEnd w:id="11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3.2.1</w:t>
      </w:r>
      <w:r>
        <w:rPr>
          <w:b/>
          <w:bCs/>
          <w:color w:val="000000"/>
          <w:spacing w:val="0"/>
          <w:w w:val="100"/>
          <w:position w:val="0"/>
        </w:rPr>
        <w:t>泵房形式选择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泵房形式取决于泵站性质，建设规模、选用的泵型与台数、进出水管渠的深 度与方位、出水压力与接纳泵站出水的条件、施工方法、管理水平，以及地形、 水文地质等诸多因素。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本设计采用矩形半地下式合建式泵房，它具有布置紧凑、占地少、结构较省 的特点。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160" w:line="4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3.2.2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设计参数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6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设计流量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Q =0.343m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/s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设两台水泵（一用一备）。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6" w:lineRule="exact"/>
        <w:ind w:left="160" w:right="0" w:firstLine="0"/>
        <w:jc w:val="left"/>
      </w:pPr>
      <w:r>
        <w:rPr>
          <w:color w:val="000000"/>
          <w:spacing w:val="0"/>
          <w:w w:val="100"/>
          <w:position w:val="0"/>
        </w:rPr>
        <w:t>集水池容积:根据规范，污水泵站的容积不应小于最大一台水泵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5min</w:t>
      </w:r>
      <w:r>
        <w:rPr>
          <w:color w:val="000000"/>
          <w:spacing w:val="0"/>
          <w:w w:val="100"/>
          <w:position w:val="0"/>
        </w:rPr>
        <w:t>的出水量， 故笨设计采用一台泵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分钟的流量。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840"/>
        <w:jc w:val="left"/>
        <w:rPr>
          <w:sz w:val="24"/>
          <w:szCs w:val="24"/>
        </w:rPr>
      </w:pPr>
      <w:bookmarkStart w:id="116" w:name="bookmark116"/>
      <w:bookmarkStart w:id="117" w:name="bookmark117"/>
      <w:bookmarkStart w:id="118" w:name="bookmark118"/>
      <w:r>
        <w:rPr>
          <w:color w:val="000000"/>
          <w:spacing w:val="0"/>
          <w:w w:val="100"/>
          <w:position w:val="0"/>
          <w:sz w:val="34"/>
          <w:szCs w:val="34"/>
        </w:rPr>
        <w:t>W=0.343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60=102.9m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，取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120 </w:t>
      </w:r>
      <w:r>
        <w:rPr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bookmarkEnd w:id="116"/>
      <w:bookmarkEnd w:id="117"/>
      <w:bookmarkEnd w:id="118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有效水深</w:t>
      </w:r>
      <w:r>
        <w:rPr>
          <w:color w:val="000000"/>
          <w:spacing w:val="0"/>
          <w:w w:val="100"/>
          <w:position w:val="0"/>
        </w:rPr>
        <w:t>H=1.5m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则</w:t>
      </w:r>
      <w:r>
        <w:rPr>
          <w:color w:val="000000"/>
          <w:spacing w:val="0"/>
          <w:w w:val="100"/>
          <w:position w:val="0"/>
        </w:rPr>
        <w:t>A=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vertAlign w:val="superscript"/>
        </w:rPr>
        <w:t>w</w:t>
      </w:r>
      <w:r>
        <w:rPr>
          <w:color w:val="000000"/>
          <w:spacing w:val="0"/>
          <w:w w:val="100"/>
          <w:position w:val="0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vertAlign w:val="superscript"/>
        </w:rPr>
        <w:t>120</w:t>
      </w:r>
      <w:r>
        <w:rPr>
          <w:color w:val="000000"/>
          <w:spacing w:val="0"/>
          <w:w w:val="100"/>
          <w:position w:val="0"/>
        </w:rPr>
        <w:t>=80m</w:t>
      </w:r>
      <w:r>
        <w:rPr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，设集水池为</w:t>
      </w:r>
      <w:r>
        <w:rPr>
          <w:color w:val="000000"/>
          <w:spacing w:val="0"/>
          <w:w w:val="100"/>
          <w:position w:val="0"/>
        </w:rPr>
        <w:t>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</w:rPr>
        <w:t>9m</w:t>
      </w:r>
      <w:r>
        <w:rPr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</w:rPr>
        <w:t>.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486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H 1.5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6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查阅《给水排水设计手册》第十一册，选择型号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300WL1200-9-110</w:t>
      </w:r>
      <w:r>
        <w:rPr>
          <w:color w:val="000000"/>
          <w:spacing w:val="0"/>
          <w:w w:val="100"/>
          <w:position w:val="0"/>
        </w:rPr>
        <w:t>的立式水泵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6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两台（一用一备）。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6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参数见下表：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https://d.book118.com/257125166200006050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466" w:lineRule="exact"/>
        <w:ind w:left="0" w:right="0" w:firstLine="160"/>
        <w:jc w:val="both"/>
      </w:pPr>
    </w:p>
    <w:sectPr>
      <w:type w:val="nextPage"/>
      <w:pgSz w:w="17861" w:h="25258"/>
      <w:pgMar w:top="1762" w:right="2449" w:bottom="2296" w:left="2558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5735AA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75EBCFB"/>
    <w:multiLevelType w:val="multilevel"/>
    <w:tmpl w:val="00000000"/>
    <w:lvl w:ilvl="0">
      <w:start w:val="2"/>
      <w:numFmt w:val="decimal"/>
      <w:lvlText w:val="2.3.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864C826"/>
    <w:multiLevelType w:val="multilevel"/>
    <w:tmpl w:val="00000000"/>
    <w:lvl w:ilvl="0">
      <w:start w:val="11"/>
      <w:numFmt w:val="decimal"/>
      <w:lvlText w:val="%1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287AD5F"/>
    <w:multiLevelType w:val="multilevel"/>
    <w:tmpl w:val="00000000"/>
    <w:lvl w:ilvl="0">
      <w:start w:val="11"/>
      <w:numFmt w:val="decimal"/>
      <w:lvlText w:val="%1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4D9F4CC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5AA3601"/>
    <w:multiLevelType w:val="multilevel"/>
    <w:tmpl w:val="0000000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  <w:vertAlign w:val="superscript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68F6C25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A2CFEF8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2DC8476E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C54C419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424468D1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46DDD25D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47EF5BDA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511ABEE3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52D2A030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6D606F24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6"/>
  </w:num>
  <w:num w:numId="3">
    <w:abstractNumId w:val="11"/>
  </w:num>
  <w:num w:numId="4">
    <w:abstractNumId w:val="9"/>
  </w:num>
  <w:num w:numId="5">
    <w:abstractNumId w:val="8"/>
  </w:num>
  <w:num w:numId="6">
    <w:abstractNumId w:val="15"/>
  </w:num>
  <w:num w:numId="7">
    <w:abstractNumId w:val="7"/>
  </w:num>
  <w:num w:numId="8">
    <w:abstractNumId w:val="0"/>
  </w:num>
  <w:num w:numId="9">
    <w:abstractNumId w:val="12"/>
  </w:num>
  <w:num w:numId="10">
    <w:abstractNumId w:val="4"/>
  </w:num>
  <w:num w:numId="11">
    <w:abstractNumId w:val="14"/>
  </w:num>
  <w:num w:numId="12">
    <w:abstractNumId w:val="10"/>
  </w:num>
  <w:num w:numId="13">
    <w:abstractNumId w:val="13"/>
  </w:num>
  <w:num w:numId="14">
    <w:abstractNumId w:val="2"/>
  </w:num>
  <w:num w:numId="15">
    <w:abstractNumId w:val="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40"/>
      <w:ind w:firstLine="16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60"/>
      <w:ind w:left="20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27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1420"/>
      <w:jc w:val="center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40"/>
      <w:ind w:firstLine="80"/>
      <w:outlineLvl w:val="2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20" w:line="458" w:lineRule="exac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line="27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line="462" w:lineRule="exact"/>
      <w:ind w:left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70" w:line="180" w:lineRule="auto"/>
      <w:ind w:left="6390"/>
      <w:outlineLvl w:val="0"/>
    </w:pPr>
    <w:rPr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25712516620000605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