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949" w:rsidP="00FB0F32">
      <w:pPr>
        <w:jc w:val="center"/>
        <w:rPr>
          <w:rFonts w:ascii="微软雅黑" w:eastAsia="微软雅黑" w:hAnsi="微软雅黑" w:hint="eastAsia"/>
          <w:b/>
          <w:color w:val="FF0000"/>
          <w:sz w:val="32"/>
          <w:szCs w:val="32"/>
        </w:rPr>
      </w:pPr>
      <w:r w:rsidRPr="00FB0F32">
        <w:rPr>
          <w:rFonts w:ascii="微软雅黑" w:eastAsia="微软雅黑" w:hAnsi="微软雅黑" w:hint="eastAsia"/>
          <w:b/>
          <w:color w:val="FF0000"/>
          <w:sz w:val="32"/>
          <w:szCs w:val="32"/>
          <w:highlight w:val="yellow"/>
        </w:rPr>
        <w:t>新收入准则下施工项目财务核算</w:t>
      </w:r>
      <w:r w:rsidRPr="00FB0F32" w:rsidR="00FB0F32">
        <w:rPr>
          <w:rFonts w:ascii="微软雅黑" w:eastAsia="微软雅黑" w:hAnsi="微软雅黑" w:hint="eastAsia"/>
          <w:b/>
          <w:color w:val="FF0000"/>
          <w:sz w:val="32"/>
          <w:szCs w:val="32"/>
          <w:highlight w:val="yellow"/>
        </w:rPr>
        <w:t>账务处理</w:t>
      </w:r>
    </w:p>
    <w:p w:rsidR="00FB0F32" w:rsidRPr="00FB0F32" w:rsidP="00FB0F32">
      <w:pPr>
        <w:jc w:val="center"/>
        <w:rPr>
          <w:rFonts w:ascii="微软雅黑" w:eastAsia="微软雅黑" w:hAnsi="微软雅黑" w:hint="eastAsia"/>
          <w:b/>
          <w:color w:val="FF0000"/>
          <w:sz w:val="32"/>
          <w:szCs w:val="32"/>
        </w:rPr>
      </w:pPr>
      <w:r>
        <w:rPr>
          <w:rFonts w:ascii="微软雅黑" w:eastAsia="微软雅黑" w:hAnsi="微软雅黑" w:hint="eastAsia"/>
          <w:b/>
          <w:color w:val="FF0000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5.19pt;height:174.83pt" stroked="f">
            <v:imagedata r:id="rId4" o:title=""/>
          </v:shape>
        </w:pict>
      </w:r>
    </w:p>
    <w:p w:rsidR="00FB0F32" w:rsidRPr="00FB0F32" w:rsidP="00FB0F32">
      <w:pPr>
        <w:pStyle w:val="NormalWeb"/>
        <w:shd w:val="clear" w:color="auto" w:fill="FFFFFF"/>
        <w:spacing w:before="0" w:beforeAutospacing="0" w:after="225" w:afterAutospacing="0" w:line="450" w:lineRule="atLeast"/>
        <w:ind w:firstLine="480"/>
        <w:jc w:val="both"/>
        <w:rPr>
          <w:rFonts w:ascii="微软雅黑" w:eastAsia="微软雅黑" w:hAnsi="微软雅黑"/>
          <w:color w:val="333333"/>
          <w:spacing w:val="12"/>
          <w:sz w:val="32"/>
          <w:szCs w:val="32"/>
        </w:rPr>
      </w:pPr>
      <w:r w:rsidRPr="00FB0F32">
        <w:rPr>
          <w:rFonts w:ascii="微软雅黑" w:eastAsia="微软雅黑" w:hAnsi="微软雅黑" w:hint="eastAsia"/>
          <w:color w:val="333333"/>
          <w:spacing w:val="12"/>
          <w:sz w:val="32"/>
          <w:szCs w:val="32"/>
        </w:rPr>
        <w:t>新收入准则下建筑施工企业的账务处理</w:t>
      </w:r>
    </w:p>
    <w:p w:rsidR="00FB0F32" w:rsidRPr="00FB0F32" w:rsidP="00FB0F32">
      <w:pPr>
        <w:pStyle w:val="NormalWeb"/>
        <w:shd w:val="clear" w:color="auto" w:fill="FFFFFF"/>
        <w:spacing w:before="0" w:beforeAutospacing="0" w:after="225" w:afterAutospacing="0" w:line="450" w:lineRule="atLeast"/>
        <w:ind w:firstLine="480"/>
        <w:jc w:val="both"/>
        <w:rPr>
          <w:rFonts w:ascii="微软雅黑" w:eastAsia="微软雅黑" w:hAnsi="微软雅黑" w:hint="eastAsia"/>
          <w:color w:val="FF0000"/>
          <w:spacing w:val="12"/>
          <w:sz w:val="32"/>
          <w:szCs w:val="32"/>
        </w:rPr>
      </w:pPr>
      <w:r w:rsidRPr="00FB0F32">
        <w:rPr>
          <w:rFonts w:ascii="微软雅黑" w:eastAsia="微软雅黑" w:hAnsi="微软雅黑" w:hint="eastAsia"/>
          <w:color w:val="FF0000"/>
          <w:spacing w:val="12"/>
          <w:sz w:val="32"/>
          <w:szCs w:val="32"/>
        </w:rPr>
        <w:t>（一）在收入准则下，建筑施工企业首先需要明确各项收入的定义，以及对收入的确认、计量和记录的要求。</w:t>
      </w:r>
    </w:p>
    <w:p w:rsidR="00FB0F32" w:rsidRPr="00FB0F32" w:rsidP="00FB0F32">
      <w:pPr>
        <w:pStyle w:val="NormalWeb"/>
        <w:shd w:val="clear" w:color="auto" w:fill="FFFFFF"/>
        <w:spacing w:before="0" w:beforeAutospacing="0" w:after="225" w:afterAutospacing="0" w:line="450" w:lineRule="atLeast"/>
        <w:ind w:firstLine="480"/>
        <w:jc w:val="both"/>
        <w:rPr>
          <w:rFonts w:ascii="微软雅黑" w:eastAsia="微软雅黑" w:hAnsi="微软雅黑" w:hint="eastAsia"/>
          <w:color w:val="333333"/>
          <w:spacing w:val="12"/>
          <w:sz w:val="32"/>
          <w:szCs w:val="32"/>
        </w:rPr>
      </w:pPr>
      <w:r w:rsidRPr="00FB0F32">
        <w:rPr>
          <w:rFonts w:ascii="微软雅黑" w:eastAsia="微软雅黑" w:hAnsi="微软雅黑" w:hint="eastAsia"/>
          <w:color w:val="333333"/>
          <w:spacing w:val="12"/>
          <w:sz w:val="32"/>
          <w:szCs w:val="32"/>
        </w:rPr>
        <w:t>（二）其次，建设施工企业应建立完善的管理制度和账务处理制度，确保企业的账务处理按照新的收入准则管理控制和操作，准确记录账务分录，并确定收入的确认时间、账务处理人、操作程序等。</w:t>
      </w:r>
    </w:p>
    <w:p w:rsidR="00FB0F32" w:rsidRPr="00FB0F32" w:rsidP="00FB0F32">
      <w:pPr>
        <w:pStyle w:val="NormalWeb"/>
        <w:shd w:val="clear" w:color="auto" w:fill="FFFFFF"/>
        <w:spacing w:before="0" w:beforeAutospacing="0" w:after="225" w:afterAutospacing="0" w:line="450" w:lineRule="atLeast"/>
        <w:ind w:firstLine="480"/>
        <w:jc w:val="both"/>
        <w:rPr>
          <w:rFonts w:ascii="微软雅黑" w:eastAsia="微软雅黑" w:hAnsi="微软雅黑" w:hint="eastAsia"/>
          <w:color w:val="333333"/>
          <w:spacing w:val="12"/>
          <w:sz w:val="32"/>
          <w:szCs w:val="32"/>
        </w:rPr>
      </w:pPr>
      <w:r w:rsidRPr="00FB0F32">
        <w:rPr>
          <w:rFonts w:ascii="微软雅黑" w:eastAsia="微软雅黑" w:hAnsi="微软雅黑" w:hint="eastAsia"/>
          <w:color w:val="333333"/>
          <w:spacing w:val="12"/>
          <w:sz w:val="32"/>
          <w:szCs w:val="32"/>
        </w:rPr>
        <w:t>（三）此外，建设施工企业还应定期审计账务，以确保账务处理系统的合规性和准确性，确保账务处理可靠和有效。</w:t>
      </w:r>
    </w:p>
    <w:p w:rsidR="00451949" w:rsidRPr="00FB0F32">
      <w:pPr>
        <w:ind w:firstLine="420"/>
        <w:rPr>
          <w:rFonts w:ascii="微软雅黑" w:eastAsia="微软雅黑" w:hAnsi="微软雅黑" w:hint="eastAsia"/>
          <w:bCs/>
          <w:sz w:val="32"/>
          <w:szCs w:val="32"/>
        </w:rPr>
      </w:pPr>
    </w:p>
    <w:p w:rsidR="00451949" w:rsidRPr="00FB0F32">
      <w:pPr>
        <w:ind w:firstLine="420"/>
        <w:rPr>
          <w:rFonts w:ascii="微软雅黑" w:eastAsia="微软雅黑" w:hAnsi="微软雅黑" w:hint="eastAsia"/>
          <w:sz w:val="32"/>
          <w:szCs w:val="32"/>
        </w:rPr>
        <w:sectPr>
          <w:footerReference w:type="even" r:id="rId5"/>
          <w:footerReference w:type="default" r:id="rId6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451949" w:rsidRPr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bCs/>
          <w:sz w:val="32"/>
          <w:szCs w:val="32"/>
        </w:rPr>
        <w:t>根据企业会计准则-第14号（收入准则）的规定，以及上市工作的需要，定于2020年1月1日起集团整体执行新收入准则。</w:t>
      </w:r>
      <w:r w:rsidRPr="00FB0F32">
        <w:rPr>
          <w:rFonts w:ascii="微软雅黑" w:eastAsia="微软雅黑" w:hAnsi="微软雅黑" w:hint="eastAsia"/>
          <w:sz w:val="32"/>
          <w:szCs w:val="32"/>
        </w:rPr>
        <w:t>为规范集团公司财务核算，加强财务基础管理工作，提高财务管理水平，根据集团相关要求，特编制本项目核算指南。</w:t>
      </w:r>
    </w:p>
    <w:p w:rsidR="00451949" w:rsidRPr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>一、新旧准则下的会计科目变化：</w:t>
      </w:r>
    </w:p>
    <w:p w:rsidR="00451949" w:rsidRPr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>1、新增一级会计科目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74"/>
        <w:gridCol w:w="2355"/>
        <w:gridCol w:w="2001"/>
        <w:gridCol w:w="199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新增科目</w:t>
            </w: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二级明细科目</w:t>
            </w:r>
          </w:p>
        </w:tc>
        <w:tc>
          <w:tcPr>
            <w:tcW w:w="2001" w:type="dxa"/>
          </w:tcPr>
          <w:p w:rsidR="00451949" w:rsidRPr="00FB0F32" w:rsidP="00FB0F32">
            <w:pPr>
              <w:ind w:firstLine="320" w:firstLineChars="100"/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科目定义</w:t>
            </w:r>
          </w:p>
        </w:tc>
        <w:tc>
          <w:tcPr>
            <w:tcW w:w="1990" w:type="dxa"/>
          </w:tcPr>
          <w:p w:rsidR="00451949" w:rsidRPr="00FB0F32" w:rsidP="00FB0F32">
            <w:pPr>
              <w:ind w:firstLine="640" w:firstLineChars="200"/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实质</w:t>
            </w: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1125合同资产</w:t>
            </w: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工程款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已完工业主尚未确认的结算</w:t>
            </w: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原工程施工大于工程结算的金额（存货）</w:t>
            </w: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投资项目长期应收款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质保金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质保期内业主扣除的质保金</w:t>
            </w: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待定</w:t>
            </w: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房地产合同资产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其他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1126合同资产减值准备</w:t>
            </w: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工程款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按规定计提的减值准备</w:t>
            </w: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计提减值的标准待定</w:t>
            </w: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投资项目长期应收款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</w:tr>
    </w:tbl>
    <w:p>
      <w:pPr>
        <w:sectPr>
          <w:footerReference w:type="even" r:id="rId7"/>
          <w:footerReference w:type="default" r:id="rId8"/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74"/>
        <w:gridCol w:w="2355"/>
        <w:gridCol w:w="2001"/>
        <w:gridCol w:w="199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质保金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按规定计提的减值准备</w:t>
            </w: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房地产合同资产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其他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5007合同取得成本</w:t>
            </w: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销售佣金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暂不考虑核算</w:t>
            </w: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委托代销手续费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其他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5008合同取得成本减值准备</w:t>
            </w: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销售佣金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暂不考虑核算</w:t>
            </w: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委托代销手续费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其他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5416合同履约成本减值准备</w:t>
            </w: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工程施工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减值计提标准尚待确定</w:t>
            </w: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机械作业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劳务成本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物业成本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</w:tr>
    </w:tbl>
    <w:p>
      <w:pPr>
        <w:sectPr>
          <w:footerReference w:type="even" r:id="rId9"/>
          <w:footerReference w:type="default" r:id="rId10"/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74"/>
        <w:gridCol w:w="2355"/>
        <w:gridCol w:w="2001"/>
        <w:gridCol w:w="1990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设计成本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74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2355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租赁成本</w:t>
            </w:r>
          </w:p>
        </w:tc>
        <w:tc>
          <w:tcPr>
            <w:tcW w:w="2001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199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</w:tr>
    </w:tbl>
    <w:p w:rsidR="00451949" w:rsidRPr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</w:p>
    <w:p w:rsidR="00451949" w:rsidRPr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</w:p>
    <w:p w:rsidR="00451949" w:rsidRPr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>2、原科目名称变更为新科目名称（新旧科目实质没变化）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30"/>
        <w:gridCol w:w="2130"/>
        <w:gridCol w:w="2131"/>
        <w:gridCol w:w="2131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130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原一级科目名称</w:t>
            </w:r>
          </w:p>
        </w:tc>
        <w:tc>
          <w:tcPr>
            <w:tcW w:w="2130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原二级明细科目</w:t>
            </w:r>
          </w:p>
        </w:tc>
        <w:tc>
          <w:tcPr>
            <w:tcW w:w="213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新一级科目名称</w:t>
            </w:r>
          </w:p>
        </w:tc>
        <w:tc>
          <w:tcPr>
            <w:tcW w:w="213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新二级明细科目</w:t>
            </w: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30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5402工程结算</w:t>
            </w:r>
          </w:p>
        </w:tc>
        <w:tc>
          <w:tcPr>
            <w:tcW w:w="2130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自营工程计算</w:t>
            </w:r>
          </w:p>
        </w:tc>
        <w:tc>
          <w:tcPr>
            <w:tcW w:w="213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5412合同结算</w:t>
            </w:r>
          </w:p>
        </w:tc>
        <w:tc>
          <w:tcPr>
            <w:tcW w:w="213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 xml:space="preserve"> 工程结算</w:t>
            </w: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3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2130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分包工程结算</w:t>
            </w:r>
          </w:p>
        </w:tc>
        <w:tc>
          <w:tcPr>
            <w:tcW w:w="2131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213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 xml:space="preserve"> </w:t>
            </w: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30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2203预收账款</w:t>
            </w:r>
          </w:p>
        </w:tc>
        <w:tc>
          <w:tcPr>
            <w:tcW w:w="2130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预收工程款</w:t>
            </w:r>
          </w:p>
        </w:tc>
        <w:tc>
          <w:tcPr>
            <w:tcW w:w="213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2203合同负债</w:t>
            </w:r>
          </w:p>
        </w:tc>
        <w:tc>
          <w:tcPr>
            <w:tcW w:w="213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预收工程款</w:t>
            </w: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30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5201劳务成本</w:t>
            </w:r>
          </w:p>
        </w:tc>
        <w:tc>
          <w:tcPr>
            <w:tcW w:w="213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213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5401合同履约成本</w:t>
            </w:r>
          </w:p>
        </w:tc>
        <w:tc>
          <w:tcPr>
            <w:tcW w:w="213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劳务成本</w:t>
            </w: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30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5403机械作业</w:t>
            </w:r>
          </w:p>
        </w:tc>
        <w:tc>
          <w:tcPr>
            <w:tcW w:w="2130" w:type="dxa"/>
          </w:tcPr>
          <w:p w:rsidR="00451949" w:rsidRPr="00FB0F32">
            <w:pPr>
              <w:rPr>
                <w:rFonts w:ascii="微软雅黑" w:eastAsia="微软雅黑" w:hAnsi="微软雅黑" w:hint="eastAsia"/>
                <w:sz w:val="32"/>
                <w:szCs w:val="32"/>
              </w:rPr>
            </w:pPr>
          </w:p>
        </w:tc>
        <w:tc>
          <w:tcPr>
            <w:tcW w:w="213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5401合同履约成本</w:t>
            </w:r>
          </w:p>
        </w:tc>
        <w:tc>
          <w:tcPr>
            <w:tcW w:w="213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机械作业</w:t>
            </w: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30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5401工程施工</w:t>
            </w:r>
          </w:p>
        </w:tc>
        <w:tc>
          <w:tcPr>
            <w:tcW w:w="2130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合同成本</w:t>
            </w:r>
          </w:p>
        </w:tc>
        <w:tc>
          <w:tcPr>
            <w:tcW w:w="213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5401合同履约成本</w:t>
            </w:r>
          </w:p>
        </w:tc>
        <w:tc>
          <w:tcPr>
            <w:tcW w:w="213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工程施工</w:t>
            </w:r>
          </w:p>
        </w:tc>
      </w:tr>
      <w:tr>
        <w:tblPrEx>
          <w:tblW w:w="0" w:type="auto"/>
          <w:tblInd w:w="0" w:type="dxa"/>
          <w:tblLayout w:type="fixed"/>
          <w:tblLook w:val="0000"/>
        </w:tblPrEx>
        <w:tc>
          <w:tcPr>
            <w:tcW w:w="2130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5401工程施工</w:t>
            </w:r>
          </w:p>
        </w:tc>
        <w:tc>
          <w:tcPr>
            <w:tcW w:w="2130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合同毛利</w:t>
            </w:r>
          </w:p>
        </w:tc>
        <w:tc>
          <w:tcPr>
            <w:tcW w:w="213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取消</w:t>
            </w:r>
          </w:p>
        </w:tc>
        <w:tc>
          <w:tcPr>
            <w:tcW w:w="213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取消</w:t>
            </w:r>
          </w:p>
        </w:tc>
      </w:tr>
    </w:tbl>
    <w:p>
      <w:pPr>
        <w:sectPr>
          <w:footerReference w:type="even" r:id="rId11"/>
          <w:footerReference w:type="default" r:id="rId12"/>
          <w:type w:val="nextPage"/>
          <w:pgSz w:w="11906" w:h="16838"/>
          <w:pgMar w:top="1440" w:right="1800" w:bottom="1440" w:left="1800" w:header="851" w:footer="992" w:gutter="0"/>
          <w:pgNumType w:start="4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30"/>
        <w:gridCol w:w="2130"/>
        <w:gridCol w:w="2131"/>
        <w:gridCol w:w="2131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130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5401工程施工</w:t>
            </w:r>
          </w:p>
        </w:tc>
        <w:tc>
          <w:tcPr>
            <w:tcW w:w="2130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增值税</w:t>
            </w:r>
          </w:p>
        </w:tc>
        <w:tc>
          <w:tcPr>
            <w:tcW w:w="213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取消</w:t>
            </w:r>
          </w:p>
        </w:tc>
        <w:tc>
          <w:tcPr>
            <w:tcW w:w="2131" w:type="dxa"/>
          </w:tcPr>
          <w:p w:rsidR="00451949" w:rsidRPr="00FB0F32">
            <w:pPr>
              <w:rPr>
                <w:rFonts w:ascii="微软雅黑" w:eastAsia="微软雅黑" w:hAnsi="微软雅黑"/>
                <w:sz w:val="32"/>
                <w:szCs w:val="32"/>
              </w:rPr>
            </w:pPr>
            <w:r w:rsidRPr="00FB0F32">
              <w:rPr>
                <w:rFonts w:ascii="微软雅黑" w:eastAsia="微软雅黑" w:hAnsi="微软雅黑" w:hint="eastAsia"/>
                <w:sz w:val="32"/>
                <w:szCs w:val="32"/>
              </w:rPr>
              <w:t>取消</w:t>
            </w:r>
          </w:p>
        </w:tc>
      </w:tr>
    </w:tbl>
    <w:p w:rsidR="00FB0F32" w:rsidRPr="00FB0F32" w:rsidP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>账务处理一</w:t>
      </w: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>收到预收款：</w:t>
      </w: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>借：银行存款  1090万元</w:t>
      </w: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 xml:space="preserve">  贷：合同负债-预收工程款 1090万元</w:t>
      </w: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>账务处理二</w:t>
      </w: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>对收到的预收款进行预缴增值税2%：</w:t>
      </w: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>借：应交税费-预缴增值税 20万元</w:t>
      </w: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 xml:space="preserve">  贷：银行存款            20万元</w:t>
      </w: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>账务处理三</w:t>
      </w: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  <w:sectPr>
          <w:footerReference w:type="even" r:id="rId13"/>
          <w:footerReference w:type="default" r:id="rId14"/>
          <w:type w:val="nextPage"/>
          <w:pgSz w:w="11906" w:h="16838"/>
          <w:pgMar w:top="1440" w:right="1800" w:bottom="1440" w:left="1800" w:header="851" w:footer="992" w:gutter="0"/>
          <w:pgNumType w:start="5"/>
          <w:cols w:space="720"/>
          <w:titlePg w:val="0"/>
          <w:docGrid w:type="lines" w:linePitch="312"/>
        </w:sectPr>
      </w:pPr>
    </w:p>
    <w:p w:rsidR="00FB0F32" w:rsidRPr="00FB0F32" w:rsidP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>当地预交附加税</w:t>
      </w: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>借：应交税费</w:t>
      </w:r>
      <w:r w:rsidRPr="00FB0F32">
        <w:rPr>
          <w:rFonts w:ascii="微软雅黑" w:eastAsia="微软雅黑" w:hAnsi="微软雅黑" w:hint="eastAsia"/>
          <w:sz w:val="32"/>
          <w:szCs w:val="32"/>
        </w:rPr>
        <w:t>—</w:t>
      </w:r>
      <w:r w:rsidRPr="00FB0F32">
        <w:rPr>
          <w:rFonts w:ascii="微软雅黑" w:eastAsia="微软雅黑" w:hAnsi="微软雅黑" w:hint="eastAsia"/>
          <w:sz w:val="32"/>
          <w:szCs w:val="32"/>
        </w:rPr>
        <w:t xml:space="preserve">城建税   1.4万元 </w:t>
      </w: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 xml:space="preserve">                    </w:t>
      </w:r>
      <w:r w:rsidRPr="00FB0F32">
        <w:rPr>
          <w:rFonts w:ascii="微软雅黑" w:eastAsia="微软雅黑" w:hAnsi="微软雅黑" w:hint="eastAsia"/>
          <w:sz w:val="32"/>
          <w:szCs w:val="32"/>
        </w:rPr>
        <w:t>—</w:t>
      </w:r>
      <w:r w:rsidRPr="00FB0F32">
        <w:rPr>
          <w:rFonts w:ascii="微软雅黑" w:eastAsia="微软雅黑" w:hAnsi="微软雅黑" w:hint="eastAsia"/>
          <w:sz w:val="32"/>
          <w:szCs w:val="32"/>
        </w:rPr>
        <w:t>教育费附加  0.6万元</w:t>
      </w: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 xml:space="preserve">                    </w:t>
      </w:r>
      <w:r w:rsidRPr="00FB0F32">
        <w:rPr>
          <w:rFonts w:ascii="微软雅黑" w:eastAsia="微软雅黑" w:hAnsi="微软雅黑" w:hint="eastAsia"/>
          <w:sz w:val="32"/>
          <w:szCs w:val="32"/>
        </w:rPr>
        <w:t>—</w:t>
      </w:r>
      <w:r w:rsidRPr="00FB0F32">
        <w:rPr>
          <w:rFonts w:ascii="微软雅黑" w:eastAsia="微软雅黑" w:hAnsi="微软雅黑" w:hint="eastAsia"/>
          <w:sz w:val="32"/>
          <w:szCs w:val="32"/>
        </w:rPr>
        <w:t>地方教育费附加  0.4万元</w:t>
      </w: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 xml:space="preserve">  贷：银行存款     2.4万元</w:t>
      </w: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  <w:r w:rsidRPr="00FB0F32">
        <w:rPr>
          <w:rFonts w:ascii="微软雅黑" w:eastAsia="微软雅黑" w:hAnsi="微软雅黑"/>
          <w:sz w:val="32"/>
          <w:szCs w:val="32"/>
        </w:rPr>
        <w:t xml:space="preserve"> </w:t>
      </w: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>账务处理四</w:t>
      </w: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>异地施工预缴0.2%的企业所得税：</w:t>
      </w: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>借：应交税费</w:t>
      </w:r>
      <w:r w:rsidRPr="00FB0F32">
        <w:rPr>
          <w:rFonts w:ascii="微软雅黑" w:eastAsia="微软雅黑" w:hAnsi="微软雅黑" w:hint="eastAsia"/>
          <w:sz w:val="32"/>
          <w:szCs w:val="32"/>
        </w:rPr>
        <w:t>—</w:t>
      </w:r>
      <w:r w:rsidRPr="00FB0F32">
        <w:rPr>
          <w:rFonts w:ascii="微软雅黑" w:eastAsia="微软雅黑" w:hAnsi="微软雅黑" w:hint="eastAsia"/>
          <w:sz w:val="32"/>
          <w:szCs w:val="32"/>
        </w:rPr>
        <w:t>应交企业所得税 3万元</w:t>
      </w: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 w:hint="eastAsia"/>
          <w:sz w:val="32"/>
          <w:szCs w:val="32"/>
        </w:rPr>
      </w:pPr>
      <w:r w:rsidRPr="00FB0F32">
        <w:rPr>
          <w:rFonts w:ascii="微软雅黑" w:eastAsia="微软雅黑" w:hAnsi="微软雅黑" w:hint="eastAsia"/>
          <w:sz w:val="32"/>
          <w:szCs w:val="32"/>
        </w:rPr>
        <w:t xml:space="preserve">  贷：银行存款                3万元</w:t>
      </w: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  <w:r w:rsidRPr="00FB0F32">
        <w:rPr>
          <w:rFonts w:ascii="微软雅黑" w:eastAsia="微软雅黑" w:hAnsi="微软雅黑"/>
          <w:sz w:val="32"/>
          <w:szCs w:val="32"/>
        </w:rPr>
        <w:br/>
      </w:r>
      <w:r w:rsidRPr="00FB0F32">
        <w:rPr>
          <w:rFonts w:ascii="微软雅黑" w:eastAsia="微软雅黑" w:hAnsi="微软雅黑"/>
          <w:sz w:val="32"/>
          <w:szCs w:val="32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https://d.book118.com/257151054113006030</w:t>
        </w:r>
      </w:hyperlink>
    </w:p>
    <w:p w:rsidR="00FB0F32" w:rsidRPr="00FB0F32" w:rsidP="00FB0F32">
      <w:pPr>
        <w:ind w:firstLine="420"/>
        <w:rPr>
          <w:rFonts w:ascii="微软雅黑" w:eastAsia="微软雅黑" w:hAnsi="微软雅黑"/>
          <w:sz w:val="32"/>
          <w:szCs w:val="32"/>
        </w:rPr>
      </w:pPr>
    </w:p>
    <w:sectPr>
      <w:footerReference w:type="even" r:id="rId16"/>
      <w:footerReference w:type="default" r:id="rId17"/>
      <w:type w:val="nextPage"/>
      <w:pgSz w:w="11906" w:h="16838"/>
      <w:pgMar w:top="1440" w:right="1800" w:bottom="1440" w:left="1800" w:header="851" w:footer="992" w:gutter="0"/>
      <w:pgNumType w:start="6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949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45194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949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</w:t>
    </w:r>
    <w:r>
      <w:fldChar w:fldCharType="end"/>
    </w:r>
  </w:p>
  <w:p w:rsidR="0045194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949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451949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949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3</w:t>
    </w:r>
    <w:r>
      <w:fldChar w:fldCharType="end"/>
    </w:r>
  </w:p>
  <w:p w:rsidR="00451949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949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451949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949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3</w:t>
    </w:r>
    <w:r>
      <w:fldChar w:fldCharType="end"/>
    </w:r>
  </w:p>
  <w:p w:rsidR="00451949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949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451949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949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4</w:t>
    </w:r>
    <w:r>
      <w:fldChar w:fldCharType="end"/>
    </w:r>
  </w:p>
  <w:p w:rsidR="00451949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949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451949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949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5</w:t>
    </w:r>
    <w:r>
      <w:fldChar w:fldCharType="end"/>
    </w:r>
  </w:p>
  <w:p w:rsidR="00451949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949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451949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949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6</w:t>
    </w:r>
    <w:r>
      <w:fldChar w:fldCharType="end"/>
    </w:r>
  </w:p>
  <w:p w:rsidR="00451949">
    <w:pPr>
      <w:pStyle w:val="Footer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5CE43B1"/>
    <w:multiLevelType w:val="singleLevel"/>
    <w:tmpl w:val="85CE43B1"/>
    <w:lvl w:ilvl="0">
      <w:start w:val="1"/>
      <w:numFmt w:val="decimal"/>
      <w:suff w:val="nothing"/>
      <w:lvlText w:val="（%1）"/>
      <w:lvlJc w:val="left"/>
    </w:lvl>
  </w:abstractNum>
  <w:abstractNum w:abstractNumId="1">
    <w:nsid w:val="D324FD9C"/>
    <w:multiLevelType w:val="singleLevel"/>
    <w:tmpl w:val="D324FD9C"/>
    <w:lvl w:ilvl="0">
      <w:start w:val="1"/>
      <w:numFmt w:val="decimal"/>
      <w:suff w:val="nothing"/>
      <w:lvlText w:val="%1、"/>
      <w:lvlJc w:val="left"/>
    </w:lvl>
  </w:abstractNum>
  <w:abstractNum w:abstractNumId="2">
    <w:nsid w:val="131DF39D"/>
    <w:multiLevelType w:val="singleLevel"/>
    <w:tmpl w:val="131DF39D"/>
    <w:lvl w:ilvl="0">
      <w:start w:val="5"/>
      <w:numFmt w:val="decimal"/>
      <w:suff w:val="nothing"/>
      <w:lvlText w:val="（%1）"/>
      <w:lvlJc w:val="left"/>
    </w:lvl>
  </w:abstractNum>
  <w:abstractNum w:abstractNumId="3">
    <w:nsid w:val="16B8CB2B"/>
    <w:multiLevelType w:val="singleLevel"/>
    <w:tmpl w:val="16B8CB2B"/>
    <w:lvl w:ilvl="0">
      <w:start w:val="1"/>
      <w:numFmt w:val="decimal"/>
      <w:suff w:val="nothing"/>
      <w:lvlText w:val="%1、"/>
      <w:lvlJc w:val="left"/>
    </w:lvl>
  </w:abstractNum>
  <w:abstractNum w:abstractNumId="4">
    <w:nsid w:val="5C71195B"/>
    <w:multiLevelType w:val="singleLevel"/>
    <w:tmpl w:val="5C71195B"/>
    <w:lvl w:ilvl="0">
      <w:start w:val="1"/>
      <w:numFmt w:val="decimal"/>
      <w:suff w:val="nothing"/>
      <w:lvlText w:val="（%1）"/>
      <w:lvlJc w:val="left"/>
    </w:lvl>
  </w:abstractNum>
  <w:abstractNum w:abstractNumId="5">
    <w:nsid w:val="7D28F650"/>
    <w:multiLevelType w:val="singleLevel"/>
    <w:tmpl w:val="7D28F650"/>
    <w:lvl w:ilvl="0">
      <w:start w:val="6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128B"/>
    <w:rsid w:val="00000576"/>
    <w:rsid w:val="0000535E"/>
    <w:rsid w:val="00017A23"/>
    <w:rsid w:val="00025365"/>
    <w:rsid w:val="00033A98"/>
    <w:rsid w:val="000A6177"/>
    <w:rsid w:val="000C3B5B"/>
    <w:rsid w:val="000D54CF"/>
    <w:rsid w:val="000E39D6"/>
    <w:rsid w:val="000F7811"/>
    <w:rsid w:val="000F7B2E"/>
    <w:rsid w:val="00131E1F"/>
    <w:rsid w:val="00172465"/>
    <w:rsid w:val="001915AE"/>
    <w:rsid w:val="0019361D"/>
    <w:rsid w:val="001A28AD"/>
    <w:rsid w:val="001D2B27"/>
    <w:rsid w:val="001D3C48"/>
    <w:rsid w:val="001D7FD4"/>
    <w:rsid w:val="00223317"/>
    <w:rsid w:val="00226F54"/>
    <w:rsid w:val="00226F60"/>
    <w:rsid w:val="00251CC6"/>
    <w:rsid w:val="0025243F"/>
    <w:rsid w:val="00254285"/>
    <w:rsid w:val="00277654"/>
    <w:rsid w:val="00287000"/>
    <w:rsid w:val="002A4700"/>
    <w:rsid w:val="002A4FE3"/>
    <w:rsid w:val="002A609F"/>
    <w:rsid w:val="002C4E85"/>
    <w:rsid w:val="002C71AC"/>
    <w:rsid w:val="002D6863"/>
    <w:rsid w:val="002E3B12"/>
    <w:rsid w:val="002F688A"/>
    <w:rsid w:val="00301147"/>
    <w:rsid w:val="00306CBF"/>
    <w:rsid w:val="00310CB2"/>
    <w:rsid w:val="0031351F"/>
    <w:rsid w:val="003165B5"/>
    <w:rsid w:val="003179BC"/>
    <w:rsid w:val="00354426"/>
    <w:rsid w:val="003D565C"/>
    <w:rsid w:val="003E16AC"/>
    <w:rsid w:val="003E2847"/>
    <w:rsid w:val="003E3D32"/>
    <w:rsid w:val="003E7B84"/>
    <w:rsid w:val="003F36D2"/>
    <w:rsid w:val="00437BFF"/>
    <w:rsid w:val="00447774"/>
    <w:rsid w:val="00451949"/>
    <w:rsid w:val="00453D7F"/>
    <w:rsid w:val="00467583"/>
    <w:rsid w:val="004C57B4"/>
    <w:rsid w:val="005450C3"/>
    <w:rsid w:val="00562EE9"/>
    <w:rsid w:val="005712F7"/>
    <w:rsid w:val="00575F1E"/>
    <w:rsid w:val="0058226B"/>
    <w:rsid w:val="005914F5"/>
    <w:rsid w:val="00591AB3"/>
    <w:rsid w:val="005965B7"/>
    <w:rsid w:val="005A19BB"/>
    <w:rsid w:val="005A377E"/>
    <w:rsid w:val="005B1DC9"/>
    <w:rsid w:val="00601F2A"/>
    <w:rsid w:val="006145F6"/>
    <w:rsid w:val="00624E29"/>
    <w:rsid w:val="00672D34"/>
    <w:rsid w:val="00683512"/>
    <w:rsid w:val="00683BB6"/>
    <w:rsid w:val="00686C4B"/>
    <w:rsid w:val="0069711E"/>
    <w:rsid w:val="006B6DB6"/>
    <w:rsid w:val="006D6250"/>
    <w:rsid w:val="006E38D0"/>
    <w:rsid w:val="0070656A"/>
    <w:rsid w:val="0072742B"/>
    <w:rsid w:val="007369E1"/>
    <w:rsid w:val="007473FE"/>
    <w:rsid w:val="00751BF7"/>
    <w:rsid w:val="00755507"/>
    <w:rsid w:val="007751AF"/>
    <w:rsid w:val="00775903"/>
    <w:rsid w:val="00776252"/>
    <w:rsid w:val="007829B7"/>
    <w:rsid w:val="007A5821"/>
    <w:rsid w:val="007C7F9D"/>
    <w:rsid w:val="007D7BC2"/>
    <w:rsid w:val="00817D9C"/>
    <w:rsid w:val="0082363F"/>
    <w:rsid w:val="008424BE"/>
    <w:rsid w:val="00860850"/>
    <w:rsid w:val="0086651F"/>
    <w:rsid w:val="008A3460"/>
    <w:rsid w:val="008D102D"/>
    <w:rsid w:val="008D6DB2"/>
    <w:rsid w:val="008F128B"/>
    <w:rsid w:val="00924314"/>
    <w:rsid w:val="00934A64"/>
    <w:rsid w:val="009513A0"/>
    <w:rsid w:val="00953368"/>
    <w:rsid w:val="00974C19"/>
    <w:rsid w:val="00994008"/>
    <w:rsid w:val="009B0420"/>
    <w:rsid w:val="009C013F"/>
    <w:rsid w:val="009E38CD"/>
    <w:rsid w:val="009E486C"/>
    <w:rsid w:val="00A01C55"/>
    <w:rsid w:val="00A0751F"/>
    <w:rsid w:val="00A44AC1"/>
    <w:rsid w:val="00A64971"/>
    <w:rsid w:val="00A71C49"/>
    <w:rsid w:val="00AA0046"/>
    <w:rsid w:val="00AB652F"/>
    <w:rsid w:val="00AE5928"/>
    <w:rsid w:val="00AF37D0"/>
    <w:rsid w:val="00B00D1B"/>
    <w:rsid w:val="00B02306"/>
    <w:rsid w:val="00B14174"/>
    <w:rsid w:val="00B60EA6"/>
    <w:rsid w:val="00B85309"/>
    <w:rsid w:val="00B96924"/>
    <w:rsid w:val="00B9775D"/>
    <w:rsid w:val="00BA5FA3"/>
    <w:rsid w:val="00BB34D4"/>
    <w:rsid w:val="00BC01D1"/>
    <w:rsid w:val="00C04FCE"/>
    <w:rsid w:val="00C21A79"/>
    <w:rsid w:val="00C21CB5"/>
    <w:rsid w:val="00C255E6"/>
    <w:rsid w:val="00C46028"/>
    <w:rsid w:val="00C850BC"/>
    <w:rsid w:val="00C86DFA"/>
    <w:rsid w:val="00CB0E96"/>
    <w:rsid w:val="00CB519D"/>
    <w:rsid w:val="00CC3728"/>
    <w:rsid w:val="00CE2326"/>
    <w:rsid w:val="00D0393D"/>
    <w:rsid w:val="00D1321A"/>
    <w:rsid w:val="00D32725"/>
    <w:rsid w:val="00D6329C"/>
    <w:rsid w:val="00D63D54"/>
    <w:rsid w:val="00D7533D"/>
    <w:rsid w:val="00D76A2C"/>
    <w:rsid w:val="00D95A8B"/>
    <w:rsid w:val="00D972C9"/>
    <w:rsid w:val="00DA054D"/>
    <w:rsid w:val="00DA1C94"/>
    <w:rsid w:val="00DB54FC"/>
    <w:rsid w:val="00DB7F97"/>
    <w:rsid w:val="00E1615A"/>
    <w:rsid w:val="00E54799"/>
    <w:rsid w:val="00E90A1F"/>
    <w:rsid w:val="00EB44AC"/>
    <w:rsid w:val="00EC64A1"/>
    <w:rsid w:val="00ED3089"/>
    <w:rsid w:val="00EE62E8"/>
    <w:rsid w:val="00F275F7"/>
    <w:rsid w:val="00F72DC7"/>
    <w:rsid w:val="00F915D3"/>
    <w:rsid w:val="00F945A8"/>
    <w:rsid w:val="00FA2C44"/>
    <w:rsid w:val="00FA303D"/>
    <w:rsid w:val="00FB0F32"/>
    <w:rsid w:val="00FB6766"/>
    <w:rsid w:val="00FC038D"/>
    <w:rsid w:val="07610557"/>
    <w:rsid w:val="0D463ED9"/>
    <w:rsid w:val="0D7009E2"/>
    <w:rsid w:val="0FF749DB"/>
    <w:rsid w:val="13C01DDB"/>
    <w:rsid w:val="145A31C6"/>
    <w:rsid w:val="1D6761CA"/>
    <w:rsid w:val="27E34EED"/>
    <w:rsid w:val="30E56A20"/>
    <w:rsid w:val="33355A21"/>
    <w:rsid w:val="353F3EC4"/>
    <w:rsid w:val="361F0F2E"/>
    <w:rsid w:val="399B53B5"/>
    <w:rsid w:val="435C22FA"/>
    <w:rsid w:val="437C0068"/>
    <w:rsid w:val="44137F44"/>
    <w:rsid w:val="480C0384"/>
    <w:rsid w:val="4BD73CE8"/>
    <w:rsid w:val="4DE61F47"/>
    <w:rsid w:val="51655A8B"/>
    <w:rsid w:val="589044A0"/>
    <w:rsid w:val="608264D2"/>
    <w:rsid w:val="614B7FAB"/>
    <w:rsid w:val="63727147"/>
    <w:rsid w:val="65245575"/>
    <w:rsid w:val="75367537"/>
    <w:rsid w:val="7ABA4C3D"/>
    <w:rsid w:val="7B11748F"/>
    <w:rsid w:val="7D407E46"/>
    <w:rsid w:val="7E5143F3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ar">
    <w:name w:val="页眉 Char"/>
    <w:link w:val="Header"/>
    <w:rPr>
      <w:rFonts w:ascii="Calibri" w:hAnsi="Calibri"/>
      <w:kern w:val="2"/>
      <w:sz w:val="18"/>
      <w:szCs w:val="18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Char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x-none" w:eastAsia="x-none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B0F3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footer" Target="footer9.xml" /><Relationship Id="rId14" Type="http://schemas.openxmlformats.org/officeDocument/2006/relationships/footer" Target="footer10.xml" /><Relationship Id="rId15" Type="http://schemas.openxmlformats.org/officeDocument/2006/relationships/hyperlink" Target="https://d.book118.com/257151054113006030" TargetMode="External" /><Relationship Id="rId16" Type="http://schemas.openxmlformats.org/officeDocument/2006/relationships/footer" Target="footer11.xml" /><Relationship Id="rId17" Type="http://schemas.openxmlformats.org/officeDocument/2006/relationships/footer" Target="footer12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2051</Words>
  <Characters>11697</Characters>
  <Application>Microsoft Office Word</Application>
  <DocSecurity>0</DocSecurity>
  <Lines>97</Lines>
  <Paragraphs>27</Paragraphs>
  <ScaleCrop>false</ScaleCrop>
  <Company>微软中国</Company>
  <LinksUpToDate>false</LinksUpToDate>
  <CharactersWithSpaces>13721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doc文档</dc:creator>
  <cp:lastModifiedBy>Microsoft</cp:lastModifiedBy>
  <cp:revision>2</cp:revision>
  <cp:lastPrinted>2011-09-13T10:17:00Z</cp:lastPrinted>
  <dcterms:created xsi:type="dcterms:W3CDTF">2011-09-10T12:36:00Z</dcterms:created>
  <dcterms:modified xsi:type="dcterms:W3CDTF">2024-01-12T10:04:00Z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6471449D58174D29B476B9B183005DAB</vt:lpwstr>
  </property>
  <property fmtid="{D5CDD505-2E9C-101B-9397-08002B2CF9AE}" pid="3" name="KSOProductBuildVer">
    <vt:lpwstr>2052-11.1.0.10314</vt:lpwstr>
  </property>
</Properties>
</file>