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before="152" w:line="421" w:lineRule="auto"/>
        <w:ind w:left="1117" w:right="1032" w:hanging="2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FangSong" w:eastAsia="FangSong" w:hAnsi="FangSong" w:cs="FangSong"/>
          <w:spacing w:val="7"/>
          <w:sz w:val="47"/>
          <w:szCs w:val="47"/>
          <w14:textOutline w14:w="8717" w14:cap="sq">
            <w14:solidFill>
              <w14:srgbClr w14:val="000000"/>
            </w14:solidFill>
            <w14:prstDash w14:val="solid"/>
            <w14:bevel/>
          </w14:textOutline>
        </w:rPr>
        <w:t>总承包项目接口管理工作指南</w:t>
      </w:r>
      <w:r>
        <w:rPr>
          <w:rFonts w:ascii="FangSong" w:eastAsia="FangSong" w:hAnsi="FangSong" w:cs="FangSong"/>
          <w:spacing w:val="7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14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ascii="SimHei" w:eastAsia="SimHei" w:hAnsi="SimHei" w:cs="SimHei"/>
          <w:spacing w:val="14"/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>NFGS</w:t>
      </w:r>
      <w:r>
        <w:rPr>
          <w:b/>
          <w:bCs/>
          <w:spacing w:val="14"/>
          <w:sz w:val="31"/>
          <w:szCs w:val="31"/>
        </w:rPr>
        <w:t>-</w:t>
      </w:r>
      <w:r>
        <w:rPr>
          <w:b/>
          <w:bCs/>
          <w:sz w:val="31"/>
          <w:szCs w:val="31"/>
        </w:rPr>
        <w:t>EPC</w:t>
      </w:r>
      <w:r>
        <w:rPr>
          <w:b/>
          <w:bCs/>
          <w:spacing w:val="14"/>
          <w:sz w:val="31"/>
          <w:szCs w:val="31"/>
        </w:rPr>
        <w:t>-</w:t>
      </w:r>
      <w:r>
        <w:rPr>
          <w:b/>
          <w:bCs/>
          <w:sz w:val="31"/>
          <w:szCs w:val="31"/>
        </w:rPr>
        <w:t>ZCBXMJKGLGZZN</w:t>
      </w:r>
      <w:r>
        <w:rPr>
          <w:b/>
          <w:bCs/>
          <w:spacing w:val="14"/>
          <w:sz w:val="31"/>
          <w:szCs w:val="31"/>
        </w:rPr>
        <w:t>-V1.0</w:t>
      </w:r>
      <w:r>
        <w:rPr>
          <w:rFonts w:ascii="SimHei" w:eastAsia="SimHei" w:hAnsi="SimHei" w:cs="SimHei"/>
          <w:spacing w:val="14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）</w:t>
      </w: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  <w:sectPr>
          <w:pgSz w:w="11907" w:h="16840"/>
          <w:pgMar w:top="1431" w:right="1786" w:bottom="0" w:left="1786" w:header="0" w:footer="0" w:gutter="0"/>
          <w:cols w:space="708"/>
        </w:sectPr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101" w:line="759" w:lineRule="exact"/>
        <w:ind w:left="2142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position w:val="33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中建三局集团有限公司（粤）</w:t>
      </w:r>
    </w:p>
    <w:p>
      <w:pPr>
        <w:spacing w:before="1" w:line="227" w:lineRule="auto"/>
        <w:ind w:left="3042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SimSun" w:eastAsia="SimSun" w:hAnsi="SimSun" w:cs="SimSun"/>
          <w:spacing w:val="-22"/>
          <w:sz w:val="31"/>
          <w:szCs w:val="31"/>
          <w14:textOutline w14:w="3175">
            <w14:solidFill>
              <w14:srgbClr w14:val="000000"/>
            </w14:solidFill>
            <w14:prstDash w14:val="solid"/>
            <w14:miter w14:lim="0"/>
          </w14:textOutline>
        </w:rPr>
        <w:t>。</w:t>
      </w:r>
      <w:r>
        <w:rPr>
          <w:rFonts w:ascii="FangSong" w:eastAsia="FangSong" w:hAnsi="FangSong" w:cs="FangSong"/>
          <w:spacing w:val="-2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SimSun" w:eastAsia="SimSun" w:hAnsi="SimSun" w:cs="SimSun"/>
          <w:spacing w:val="-22"/>
          <w:sz w:val="31"/>
          <w:szCs w:val="31"/>
          <w14:textOutline w14:w="3175">
            <w14:solidFill>
              <w14:srgbClr w14:val="000000"/>
            </w14:solidFill>
            <w14:prstDash w14:val="solid"/>
            <w14:miter w14:lim="0"/>
          </w14:textOutline>
        </w:rPr>
        <w:t>。</w:t>
      </w:r>
      <w:r>
        <w:rPr>
          <w:rFonts w:ascii="FangSong" w:eastAsia="FangSong" w:hAnsi="FangSong" w:cs="FangSong"/>
          <w:spacing w:val="-2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年十一月</w:t>
      </w:r>
    </w:p>
    <w:p>
      <w:pPr>
        <w:spacing w:line="227" w:lineRule="auto"/>
        <w:rPr>
          <w:rFonts w:ascii="FangSong" w:eastAsia="FangSong" w:hAnsi="FangSong" w:cs="FangSong"/>
          <w:sz w:val="31"/>
          <w:szCs w:val="31"/>
        </w:rPr>
        <w:sectPr>
          <w:type w:val="nextPage"/>
          <w:pgSz w:w="11907" w:h="16840"/>
          <w:pgMar w:top="1431" w:right="1786" w:bottom="0" w:left="1786" w:header="0" w:footer="0" w:gutter="0"/>
          <w:pgNumType w:start="2"/>
          <w:cols w:space="708"/>
          <w:titlePg w:val="0"/>
        </w:sectPr>
      </w:pPr>
    </w:p>
    <w:p>
      <w:pPr>
        <w:pStyle w:val="BodyText"/>
      </w:pPr>
    </w:p>
    <w:p>
      <w:pPr>
        <w:sectPr>
          <w:headerReference w:type="default" r:id="rId4"/>
          <w:footerReference w:type="default" r:id="rId5"/>
          <w:pgSz w:w="11907" w:h="16840"/>
          <w:pgMar w:top="0" w:right="0" w:bottom="0" w:left="0" w:header="0" w:footer="0" w:gutter="0"/>
          <w:pgNumType w:start="3"/>
          <w:cols w:space="708"/>
        </w:sectPr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spacing w:before="101" w:line="227" w:lineRule="auto"/>
        <w:ind w:left="3631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前</w:t>
      </w:r>
      <w:r>
        <w:rPr>
          <w:rFonts w:ascii="FangSong" w:eastAsia="FangSong" w:hAnsi="FangSong" w:cs="FangSong"/>
          <w:spacing w:val="13"/>
          <w:sz w:val="31"/>
          <w:szCs w:val="31"/>
        </w:rPr>
        <w:t xml:space="preserve">   </w:t>
      </w:r>
      <w:r>
        <w:rPr>
          <w:rFonts w:ascii="FangSong" w:eastAsia="FangSong" w:hAnsi="FangSong" w:cs="FangSong"/>
          <w:spacing w:val="-8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言</w:t>
      </w:r>
    </w:p>
    <w:p>
      <w:pPr>
        <w:pStyle w:val="BodyText"/>
        <w:spacing w:line="299" w:lineRule="auto"/>
      </w:pPr>
    </w:p>
    <w:p>
      <w:pPr>
        <w:spacing w:before="91" w:line="330" w:lineRule="auto"/>
        <w:ind w:left="34" w:firstLine="562"/>
        <w:jc w:val="both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接口是项目总承包管理最关键的管理工作之一，</w:t>
      </w:r>
      <w:r>
        <w:rPr>
          <w:rFonts w:ascii="FangSong" w:eastAsia="FangSong" w:hAnsi="FangSong" w:cs="FangSong"/>
          <w:spacing w:val="-5"/>
          <w:sz w:val="28"/>
          <w:szCs w:val="28"/>
        </w:rPr>
        <w:t>接口划分的质量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好坏直接影响着总承包商的核心利益。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EPC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工程</w:t>
      </w:r>
      <w:r>
        <w:rPr>
          <w:rFonts w:ascii="FangSong" w:eastAsia="FangSong" w:hAnsi="FangSong" w:cs="FangSong"/>
          <w:spacing w:val="-6"/>
          <w:sz w:val="28"/>
          <w:szCs w:val="28"/>
        </w:rPr>
        <w:t>管理中心在总结项目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实践经验的基础上，参照《项目管理知识体系指南》（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PMBOK </w:t>
      </w:r>
      <w:r>
        <w:rPr>
          <w:rFonts w:ascii="FangSong" w:eastAsia="FangSong" w:hAnsi="FangSong" w:cs="FangSong"/>
          <w:spacing w:val="-8"/>
          <w:sz w:val="28"/>
          <w:szCs w:val="28"/>
        </w:rPr>
        <w:t>指南，</w:t>
      </w:r>
      <w:r>
        <w:rPr>
          <w:rFonts w:ascii="FangSong" w:eastAsia="FangSong" w:hAnsi="FangSong" w:cs="FangSong"/>
          <w:spacing w:val="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第</w:t>
      </w:r>
      <w:r>
        <w:rPr>
          <w:rFonts w:ascii="FangSong" w:eastAsia="FangSong" w:hAnsi="FangSong" w:cs="FangSong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6 </w:t>
      </w:r>
      <w:r>
        <w:rPr>
          <w:rFonts w:ascii="FangSong" w:eastAsia="FangSong" w:hAnsi="FangSong" w:cs="FangSong"/>
          <w:spacing w:val="-3"/>
          <w:sz w:val="28"/>
          <w:szCs w:val="28"/>
        </w:rPr>
        <w:t>版）编制《总承包项目接口管理指南》（以下简称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指南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-3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），</w:t>
      </w:r>
      <w:r>
        <w:rPr>
          <w:rFonts w:ascii="FangSong" w:eastAsia="FangSong" w:hAnsi="FangSong" w:cs="FangSong"/>
          <w:spacing w:val="-8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旨</w:t>
      </w:r>
    </w:p>
    <w:p>
      <w:pPr>
        <w:spacing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在为总承包项目的接口管理工作提供指引和参考。</w:t>
      </w:r>
    </w:p>
    <w:p>
      <w:pPr>
        <w:spacing w:before="166" w:line="330" w:lineRule="auto"/>
        <w:ind w:left="34" w:right="32" w:firstLine="562"/>
        <w:jc w:val="both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指南重点阐述提资与接口管理的流程、内容及要点。</w:t>
      </w:r>
      <w:r>
        <w:rPr>
          <w:rFonts w:ascii="FangSong" w:eastAsia="FangSong" w:hAnsi="FangSong" w:cs="FangSong"/>
          <w:spacing w:val="-5"/>
          <w:sz w:val="28"/>
          <w:szCs w:val="28"/>
        </w:rPr>
        <w:t>并依据工程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项目实施阶段，从合约、设计、建造三个阶段阐述了合约界面划</w:t>
      </w:r>
      <w:r>
        <w:rPr>
          <w:rFonts w:ascii="FangSong" w:eastAsia="FangSong" w:hAnsi="FangSong" w:cs="FangSong"/>
          <w:spacing w:val="-3"/>
          <w:sz w:val="28"/>
          <w:szCs w:val="28"/>
        </w:rPr>
        <w:t>分、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设计接口管理和建造接口落地的工作内容与实施路径。并针对不同阶</w:t>
      </w:r>
    </w:p>
    <w:p>
      <w:pPr>
        <w:spacing w:before="1" w:line="222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段，提供了常见接口梳理案例。</w:t>
      </w:r>
    </w:p>
    <w:p>
      <w:pPr>
        <w:spacing w:before="250" w:line="303" w:lineRule="auto"/>
        <w:ind w:left="45" w:right="32" w:firstLine="550"/>
        <w:jc w:val="both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指南为项目接口管理工作的基础性文件，针</w:t>
      </w:r>
      <w:r>
        <w:rPr>
          <w:rFonts w:ascii="FangSong" w:eastAsia="FangSong" w:hAnsi="FangSong" w:cs="FangSong"/>
          <w:spacing w:val="-3"/>
          <w:sz w:val="28"/>
          <w:szCs w:val="28"/>
        </w:rPr>
        <w:t>对相对特殊的专业、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系统和特殊业态本指南暂不包含，我们将逐步补</w:t>
      </w:r>
      <w:r>
        <w:rPr>
          <w:rFonts w:ascii="FangSong" w:eastAsia="FangSong" w:hAnsi="FangSong" w:cs="FangSong"/>
          <w:spacing w:val="-5"/>
          <w:sz w:val="28"/>
          <w:szCs w:val="28"/>
        </w:rPr>
        <w:t>充和完善。司属各单</w:t>
      </w:r>
    </w:p>
    <w:p>
      <w:pPr>
        <w:spacing w:line="222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位可参照指南，结合本项目、业态实际，制定相应的管理实施细则。</w:t>
      </w:r>
    </w:p>
    <w:p>
      <w:pPr>
        <w:spacing w:before="244" w:line="303" w:lineRule="auto"/>
        <w:ind w:left="38" w:right="87" w:firstLine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由于编者水平有限，经验不足，疏误在所难免，各位同仁在使用</w:t>
      </w:r>
      <w:r>
        <w:rPr>
          <w:rFonts w:ascii="FangSong" w:eastAsia="FangSong" w:hAnsi="FangSong" w:cs="FangSong"/>
          <w:spacing w:val="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过程中发现任何问题及不足之处请及时与</w:t>
      </w:r>
      <w:r>
        <w:rPr>
          <w:rFonts w:ascii="FangSong" w:eastAsia="FangSong" w:hAnsi="FangSong" w:cs="FangSong"/>
          <w:spacing w:val="-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EPC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工程管理中心联系。</w:t>
      </w:r>
    </w:p>
    <w:p>
      <w:pPr>
        <w:spacing w:before="1" w:line="221" w:lineRule="auto"/>
        <w:ind w:left="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我们将持续对指南进行更新迭代。</w:t>
      </w:r>
    </w:p>
    <w:p>
      <w:pPr>
        <w:pStyle w:val="BodyText"/>
        <w:spacing w:line="339" w:lineRule="auto"/>
      </w:pPr>
    </w:p>
    <w:p>
      <w:pPr>
        <w:pStyle w:val="BodyText"/>
        <w:spacing w:line="340" w:lineRule="auto"/>
      </w:pPr>
    </w:p>
    <w:p>
      <w:pPr>
        <w:spacing w:before="92" w:line="501" w:lineRule="exact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16"/>
          <w:sz w:val="28"/>
          <w:szCs w:val="28"/>
        </w:rPr>
        <w:t>中建三局集团有限公司（粤）</w:t>
      </w:r>
    </w:p>
    <w:p>
      <w:pPr>
        <w:spacing w:before="2" w:line="222" w:lineRule="auto"/>
        <w:ind w:left="5623"/>
        <w:rPr>
          <w:rFonts w:ascii="FangSong" w:eastAsia="FangSong" w:hAnsi="FangSong" w:cs="FangSong"/>
          <w:sz w:val="28"/>
          <w:szCs w:val="28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2020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年</w:t>
      </w:r>
      <w:r>
        <w:rPr>
          <w:rFonts w:ascii="FangSong" w:eastAsia="FangSong" w:hAnsi="FangSong" w:cs="FangSong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月</w:t>
      </w:r>
    </w:p>
    <w:p>
      <w:pPr>
        <w:spacing w:line="222" w:lineRule="auto"/>
        <w:rPr>
          <w:rFonts w:ascii="FangSong" w:eastAsia="FangSong" w:hAnsi="FangSong" w:cs="FangSong"/>
          <w:sz w:val="28"/>
          <w:szCs w:val="28"/>
        </w:rPr>
        <w:sectPr>
          <w:headerReference w:type="default" r:id="rId6"/>
          <w:footerReference w:type="default" r:id="rId7"/>
          <w:pgSz w:w="11907" w:h="16840"/>
          <w:pgMar w:top="400" w:right="1715" w:bottom="400" w:left="1786" w:header="0" w:footer="0" w:gutter="0"/>
          <w:pgNumType w:start="4"/>
          <w:cols w:space="708"/>
        </w:sectPr>
      </w:pPr>
    </w:p>
    <w:p>
      <w:pPr>
        <w:pStyle w:val="BodyText"/>
      </w:pPr>
    </w:p>
    <w:p>
      <w:pPr>
        <w:sectPr>
          <w:headerReference w:type="default" r:id="rId8"/>
          <w:footerReference w:type="default" r:id="rId9"/>
          <w:pgSz w:w="11907" w:h="16840"/>
          <w:pgMar w:top="0" w:right="0" w:bottom="0" w:left="0" w:header="0" w:footer="0" w:gutter="0"/>
          <w:pgNumType w:start="5"/>
          <w:cols w:space="708"/>
        </w:sectPr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sdt>
      <w:sdtPr>
        <w:rPr>
          <w:rFonts w:ascii="FangSong" w:eastAsia="FangSong" w:hAnsi="FangSong" w:cs="FangSong"/>
          <w:sz w:val="31"/>
          <w:szCs w:val="31"/>
        </w:rPr>
        <w:id w:val="63148426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>
          <w:pPr>
            <w:spacing w:before="101" w:line="229" w:lineRule="auto"/>
            <w:ind w:left="3683"/>
            <w:rPr>
              <w:rFonts w:ascii="FangSong" w:eastAsia="FangSong" w:hAnsi="FangSong" w:cs="FangSong"/>
              <w:sz w:val="31"/>
              <w:szCs w:val="31"/>
            </w:rPr>
          </w:pPr>
          <w:bookmarkStart w:id="0" w:name="bookmark1"/>
          <w:bookmarkEnd w:id="0"/>
          <w:r>
            <w:rPr>
              <w:rFonts w:ascii="FangSong" w:eastAsia="FangSong" w:hAnsi="FangSong" w:cs="FangSong"/>
              <w:spacing w:val="-35"/>
              <w:sz w:val="31"/>
              <w:szCs w:val="31"/>
              <w14:textOutline w14:w="5793" w14:cap="sq">
                <w14:solidFill>
                  <w14:srgbClr w14:val="000000"/>
                </w14:solidFill>
                <w14:prstDash w14:val="solid"/>
                <w14:bevel/>
              </w14:textOutline>
            </w:rPr>
            <w:t>目</w:t>
          </w:r>
          <w:r>
            <w:rPr>
              <w:rFonts w:ascii="FangSong" w:eastAsia="FangSong" w:hAnsi="FangSong" w:cs="FangSong"/>
              <w:spacing w:val="16"/>
              <w:sz w:val="31"/>
              <w:szCs w:val="31"/>
            </w:rPr>
            <w:t xml:space="preserve">   </w:t>
          </w:r>
          <w:r>
            <w:rPr>
              <w:rFonts w:ascii="FangSong" w:eastAsia="FangSong" w:hAnsi="FangSong" w:cs="FangSong"/>
              <w:spacing w:val="-35"/>
              <w:sz w:val="31"/>
              <w:szCs w:val="31"/>
              <w14:textOutline w14:w="5793" w14:cap="sq">
                <w14:solidFill>
                  <w14:srgbClr w14:val="000000"/>
                </w14:solidFill>
                <w14:prstDash w14:val="solid"/>
                <w14:bevel/>
              </w14:textOutline>
            </w:rPr>
            <w:t>录</w:t>
          </w:r>
        </w:p>
        <w:p>
          <w:pPr>
            <w:tabs>
              <w:tab w:val="right" w:leader="dot" w:pos="8317"/>
            </w:tabs>
            <w:spacing w:before="269" w:line="224" w:lineRule="auto"/>
            <w:ind w:left="3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" w:history="1"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4"/>
                <w:szCs w:val="24"/>
              </w:rPr>
              <w:t xml:space="preserve">  </w:t>
            </w:r>
            <w:r>
              <w:rPr>
                <w:rFonts w:ascii="FangSong" w:eastAsia="FangSong" w:hAnsi="FangSong" w:cs="FangSong"/>
                <w:spacing w:val="-14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总则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9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94" w:line="190" w:lineRule="auto"/>
            <w:ind w:left="255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3" w:history="1"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1.1</w:t>
            </w:r>
            <w:r>
              <w:rPr>
                <w:rFonts w:ascii="Times New Roman" w:eastAsia="Times New Roman" w:hAnsi="Times New Roman" w:cs="Times New Roman"/>
                <w:spacing w:val="55"/>
                <w:w w:val="10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推进背景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18" w:line="190" w:lineRule="auto"/>
            <w:ind w:left="255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4" w:history="1"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1.2  </w:t>
            </w:r>
            <w:r>
              <w:rPr>
                <w:rFonts w:ascii="FangSong" w:eastAsia="FangSong" w:hAnsi="FangSong" w:cs="FangSong"/>
                <w:spacing w:val="-6"/>
                <w:sz w:val="24"/>
                <w:szCs w:val="24"/>
              </w:rPr>
              <w:t>管理目标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21" w:line="190" w:lineRule="auto"/>
            <w:ind w:left="255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5" w:history="1"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1.3</w:t>
            </w:r>
            <w:r>
              <w:rPr>
                <w:rFonts w:ascii="Times New Roman" w:eastAsia="Times New Roman" w:hAnsi="Times New Roman" w:cs="Times New Roman"/>
                <w:spacing w:val="55"/>
                <w:w w:val="10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适用范围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21" w:line="223" w:lineRule="auto"/>
            <w:ind w:left="255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6" w:history="1"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1.4</w:t>
            </w:r>
            <w:r>
              <w:rPr>
                <w:rFonts w:ascii="Times New Roman" w:eastAsia="Times New Roman" w:hAnsi="Times New Roman" w:cs="Times New Roman"/>
                <w:spacing w:val="55"/>
                <w:w w:val="10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接口分类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95" w:line="223" w:lineRule="auto"/>
            <w:ind w:left="2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7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</w:rPr>
              <w:t xml:space="preserve"> 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接口管理架构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98" w:line="223" w:lineRule="auto"/>
            <w:ind w:left="23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8" w:history="1"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spacing w:val="52"/>
                <w:w w:val="10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接口管理组织架构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96" w:line="223" w:lineRule="auto"/>
            <w:ind w:left="20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9" w:history="1"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4"/>
                <w:szCs w:val="24"/>
              </w:rPr>
              <w:t xml:space="preserve">  </w:t>
            </w:r>
            <w:r>
              <w:rPr>
                <w:rFonts w:ascii="FangSong" w:eastAsia="FangSong" w:hAnsi="FangSong" w:cs="FangSong"/>
                <w:spacing w:val="-4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合约接口管理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</w:rPr>
              <w:t>2</w:t>
            </w:r>
          </w:hyperlink>
        </w:p>
        <w:p>
          <w:pPr>
            <w:tabs>
              <w:tab w:val="right" w:leader="dot" w:pos="8317"/>
            </w:tabs>
            <w:spacing w:before="298" w:line="189" w:lineRule="auto"/>
            <w:ind w:left="23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0" w:history="1"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3.1 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合约接口管理原则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2</w:t>
            </w:r>
          </w:hyperlink>
        </w:p>
        <w:p>
          <w:pPr>
            <w:tabs>
              <w:tab w:val="right" w:leader="dot" w:pos="8317"/>
            </w:tabs>
            <w:spacing w:before="219" w:line="190" w:lineRule="auto"/>
            <w:ind w:left="23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1" w:history="1"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3.2  </w:t>
            </w: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合约接口分类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2</w:t>
            </w:r>
          </w:hyperlink>
        </w:p>
        <w:p>
          <w:pPr>
            <w:tabs>
              <w:tab w:val="right" w:leader="dot" w:pos="8317"/>
            </w:tabs>
            <w:spacing w:before="221" w:line="190" w:lineRule="auto"/>
            <w:ind w:left="23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2" w:history="1"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3.3 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合约接口管理实施路径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3</w:t>
            </w:r>
          </w:hyperlink>
        </w:p>
        <w:p>
          <w:pPr>
            <w:tabs>
              <w:tab w:val="right" w:leader="dot" w:pos="8317"/>
            </w:tabs>
            <w:spacing w:before="220" w:line="222" w:lineRule="auto"/>
            <w:ind w:left="23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3" w:history="1"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3.4 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常见合约接口示例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3</w:t>
            </w:r>
          </w:hyperlink>
        </w:p>
        <w:p>
          <w:pPr>
            <w:tabs>
              <w:tab w:val="right" w:leader="dot" w:pos="8317"/>
            </w:tabs>
            <w:spacing w:before="299" w:line="222" w:lineRule="auto"/>
            <w:ind w:left="2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4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sz w:val="24"/>
                <w:szCs w:val="24"/>
              </w:rPr>
              <w:t xml:space="preserve"> 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设计接口管理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</w:rPr>
              <w:t>3</w:t>
            </w:r>
          </w:hyperlink>
        </w:p>
        <w:p>
          <w:pPr>
            <w:tabs>
              <w:tab w:val="right" w:leader="dot" w:pos="8317"/>
            </w:tabs>
            <w:spacing w:before="297" w:line="222" w:lineRule="auto"/>
            <w:ind w:left="231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pacing w:val="-5"/>
              <w:sz w:val="24"/>
              <w:szCs w:val="24"/>
            </w:rPr>
            <w:t>4.</w:t>
          </w:r>
          <w:r>
            <w:rPr>
              <w:rFonts w:ascii="Times New Roman" w:eastAsia="Times New Roman" w:hAnsi="Times New Roman" w:cs="Times New Roman"/>
              <w:spacing w:val="-25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spacing w:val="51"/>
              <w:sz w:val="24"/>
              <w:szCs w:val="24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4"/>
              <w:szCs w:val="24"/>
            </w:rPr>
            <w:t>设计接口管理原则</w:t>
          </w:r>
          <w:r>
            <w:rPr>
              <w:rFonts w:ascii="FangSong" w:eastAsia="FangSong" w:hAnsi="FangSong" w:cs="FangSong"/>
              <w:spacing w:val="-103"/>
              <w:sz w:val="24"/>
              <w:szCs w:val="24"/>
            </w:rPr>
            <w:t xml:space="preserve"> </w:t>
          </w:r>
          <w:r>
            <w:rPr>
              <w:rFonts w:ascii="FangSong" w:eastAsia="FangSong" w:hAnsi="FangSong" w:cs="FangSong"/>
              <w:sz w:val="24"/>
              <w:szCs w:val="24"/>
            </w:rPr>
            <w:tab/>
          </w:r>
          <w:r>
            <w:rPr>
              <w:rFonts w:ascii="FangSong" w:eastAsia="FangSong" w:hAnsi="FangSong" w:cs="FangSong"/>
              <w:spacing w:val="-96"/>
              <w:sz w:val="24"/>
              <w:szCs w:val="24"/>
            </w:rPr>
            <w:t xml:space="preserve"> </w:t>
          </w:r>
          <w:hyperlink w:anchor="bookmark15" w:history="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hyperlink>
        </w:p>
        <w:p>
          <w:pPr>
            <w:tabs>
              <w:tab w:val="right" w:leader="dot" w:pos="8317"/>
            </w:tabs>
            <w:spacing w:before="179" w:line="218" w:lineRule="auto"/>
            <w:ind w:left="23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6" w:history="1"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4.2</w:t>
            </w:r>
            <w:r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设计接口分类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4</w:t>
            </w:r>
          </w:hyperlink>
        </w:p>
        <w:p>
          <w:pPr>
            <w:tabs>
              <w:tab w:val="right" w:leader="dot" w:pos="8317"/>
            </w:tabs>
            <w:spacing w:before="185" w:line="222" w:lineRule="auto"/>
            <w:ind w:left="231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pacing w:val="-2"/>
              <w:sz w:val="24"/>
              <w:szCs w:val="24"/>
            </w:rPr>
            <w:t>4.3</w:t>
          </w:r>
          <w:r>
            <w:rPr>
              <w:rFonts w:ascii="Times New Roman" w:eastAsia="Times New Roman" w:hAnsi="Times New Roman" w:cs="Times New Roman"/>
              <w:spacing w:val="57"/>
              <w:sz w:val="24"/>
              <w:szCs w:val="24"/>
            </w:rPr>
            <w:t xml:space="preserve"> </w:t>
          </w:r>
          <w:r>
            <w:rPr>
              <w:rFonts w:ascii="FangSong" w:eastAsia="FangSong" w:hAnsi="FangSong" w:cs="FangSong"/>
              <w:spacing w:val="-2"/>
              <w:sz w:val="24"/>
              <w:szCs w:val="24"/>
            </w:rPr>
            <w:t>设计接口管理实施路径</w:t>
          </w:r>
          <w:r>
            <w:rPr>
              <w:rFonts w:ascii="FangSong" w:eastAsia="FangSong" w:hAnsi="FangSong" w:cs="FangSong"/>
              <w:spacing w:val="-103"/>
              <w:sz w:val="24"/>
              <w:szCs w:val="24"/>
            </w:rPr>
            <w:t xml:space="preserve"> </w:t>
          </w:r>
          <w:r>
            <w:rPr>
              <w:rFonts w:ascii="FangSong" w:eastAsia="FangSong" w:hAnsi="FangSong" w:cs="FangSong"/>
              <w:sz w:val="24"/>
              <w:szCs w:val="24"/>
            </w:rPr>
            <w:tab/>
          </w:r>
          <w:hyperlink w:anchor="bookmark17" w:history="1"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4</w:t>
            </w:r>
          </w:hyperlink>
        </w:p>
        <w:p>
          <w:pPr>
            <w:tabs>
              <w:tab w:val="right" w:leader="dot" w:pos="8317"/>
            </w:tabs>
            <w:spacing w:before="177" w:line="222" w:lineRule="auto"/>
            <w:ind w:left="231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pacing w:val="-2"/>
              <w:sz w:val="24"/>
              <w:szCs w:val="24"/>
            </w:rPr>
            <w:t>4.4</w:t>
          </w:r>
          <w:r>
            <w:rPr>
              <w:rFonts w:ascii="Times New Roman" w:eastAsia="Times New Roman" w:hAnsi="Times New Roman" w:cs="Times New Roman"/>
              <w:spacing w:val="53"/>
              <w:sz w:val="24"/>
              <w:szCs w:val="24"/>
            </w:rPr>
            <w:t xml:space="preserve"> </w:t>
          </w:r>
          <w:r>
            <w:rPr>
              <w:rFonts w:ascii="FangSong" w:eastAsia="FangSong" w:hAnsi="FangSong" w:cs="FangSong"/>
              <w:spacing w:val="-2"/>
              <w:sz w:val="24"/>
              <w:szCs w:val="24"/>
            </w:rPr>
            <w:t>设计提资实施路径</w:t>
          </w:r>
          <w:r>
            <w:rPr>
              <w:rFonts w:ascii="FangSong" w:eastAsia="FangSong" w:hAnsi="FangSong" w:cs="FangSong"/>
              <w:spacing w:val="-103"/>
              <w:sz w:val="24"/>
              <w:szCs w:val="24"/>
            </w:rPr>
            <w:t xml:space="preserve"> </w:t>
          </w:r>
          <w:r>
            <w:rPr>
              <w:rFonts w:ascii="FangSong" w:eastAsia="FangSong" w:hAnsi="FangSong" w:cs="FangSong"/>
              <w:sz w:val="24"/>
              <w:szCs w:val="24"/>
            </w:rPr>
            <w:tab/>
          </w:r>
          <w:r>
            <w:rPr>
              <w:rFonts w:ascii="FangSong" w:eastAsia="FangSong" w:hAnsi="FangSong" w:cs="FangSong"/>
              <w:spacing w:val="-94"/>
              <w:sz w:val="24"/>
              <w:szCs w:val="24"/>
            </w:rPr>
            <w:t xml:space="preserve"> </w:t>
          </w:r>
          <w:hyperlink w:anchor="bookmark1" w:history="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hyperlink>
        </w:p>
        <w:p>
          <w:pPr>
            <w:tabs>
              <w:tab w:val="right" w:leader="dot" w:pos="8317"/>
            </w:tabs>
            <w:spacing w:before="177" w:line="222" w:lineRule="auto"/>
            <w:ind w:left="23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8" w:history="1"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4.5 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常见设计接口示例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7</w:t>
            </w:r>
          </w:hyperlink>
        </w:p>
        <w:p>
          <w:pPr>
            <w:tabs>
              <w:tab w:val="right" w:leader="dot" w:pos="8317"/>
            </w:tabs>
            <w:spacing w:before="299" w:line="223" w:lineRule="auto"/>
            <w:ind w:left="24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9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</w:rPr>
              <w:t xml:space="preserve"> 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建造接口管理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</w:rPr>
              <w:t>7</w:t>
            </w:r>
          </w:hyperlink>
        </w:p>
        <w:p>
          <w:pPr>
            <w:tabs>
              <w:tab w:val="right" w:leader="dot" w:pos="8317"/>
            </w:tabs>
            <w:spacing w:before="298" w:line="190" w:lineRule="auto"/>
            <w:ind w:left="239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0" w:history="1"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5.1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建造接口管理原则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7</w:t>
            </w:r>
          </w:hyperlink>
        </w:p>
        <w:p>
          <w:pPr>
            <w:tabs>
              <w:tab w:val="right" w:leader="dot" w:pos="8317"/>
            </w:tabs>
            <w:spacing w:before="218" w:line="190" w:lineRule="auto"/>
            <w:ind w:left="239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1" w:history="1"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5.2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建造接口分类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7</w:t>
            </w:r>
          </w:hyperlink>
        </w:p>
        <w:p>
          <w:pPr>
            <w:tabs>
              <w:tab w:val="right" w:leader="dot" w:pos="8317"/>
            </w:tabs>
            <w:spacing w:before="221" w:line="190" w:lineRule="auto"/>
            <w:ind w:left="239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2" w:history="1"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5.3</w:t>
            </w:r>
            <w:r>
              <w:rPr>
                <w:rFonts w:ascii="Times New Roman" w:eastAsia="Times New Roman" w:hAnsi="Times New Roman" w:cs="Times New Roman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建造接口管理实施路径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8</w:t>
            </w:r>
          </w:hyperlink>
        </w:p>
        <w:p>
          <w:pPr>
            <w:tabs>
              <w:tab w:val="right" w:leader="dot" w:pos="8317"/>
            </w:tabs>
            <w:spacing w:before="220" w:line="222" w:lineRule="auto"/>
            <w:ind w:left="239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3" w:history="1"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5.4 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常见建造接口示例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>8</w:t>
            </w:r>
          </w:hyperlink>
        </w:p>
      </w:sdtContent>
    </w:sdt>
    <w:p>
      <w:pPr>
        <w:spacing w:line="222" w:lineRule="auto"/>
        <w:rPr>
          <w:rFonts w:ascii="Times New Roman" w:eastAsia="Times New Roman" w:hAnsi="Times New Roman" w:cs="Times New Roman"/>
          <w:sz w:val="24"/>
          <w:szCs w:val="24"/>
        </w:rPr>
        <w:sectPr>
          <w:headerReference w:type="default" r:id="rId10"/>
          <w:footerReference w:type="default" r:id="rId11"/>
          <w:pgSz w:w="11907" w:h="16840"/>
          <w:pgMar w:top="1232" w:right="1786" w:bottom="400" w:left="1786" w:header="1048" w:footer="0" w:gutter="0"/>
          <w:pgNumType w:start="6"/>
          <w:cols w:space="708"/>
        </w:sectPr>
      </w:pPr>
    </w:p>
    <w:p>
      <w:pPr>
        <w:pStyle w:val="BodyText"/>
      </w:pPr>
    </w:p>
    <w:p>
      <w:pPr>
        <w:sectPr>
          <w:headerReference w:type="default" r:id="rId12"/>
          <w:footerReference w:type="default" r:id="rId13"/>
          <w:pgSz w:w="11907" w:h="16840"/>
          <w:pgMar w:top="0" w:right="0" w:bottom="0" w:left="0" w:header="0" w:footer="0" w:gutter="0"/>
          <w:pgNumType w:start="7"/>
          <w:cols w:space="708"/>
        </w:sectPr>
      </w:pPr>
    </w:p>
    <w:p>
      <w:pPr>
        <w:pStyle w:val="BodyText"/>
        <w:spacing w:line="304" w:lineRule="auto"/>
      </w:pPr>
    </w:p>
    <w:p>
      <w:pPr>
        <w:pStyle w:val="BodyText"/>
        <w:spacing w:line="304" w:lineRule="auto"/>
      </w:pPr>
    </w:p>
    <w:p>
      <w:pPr>
        <w:spacing w:before="101" w:line="226" w:lineRule="auto"/>
        <w:ind w:left="2466"/>
        <w:rPr>
          <w:rFonts w:ascii="FangSong" w:eastAsia="FangSong" w:hAnsi="FangSong" w:cs="FangSong"/>
          <w:sz w:val="31"/>
          <w:szCs w:val="31"/>
        </w:rPr>
      </w:pPr>
      <w:bookmarkStart w:id="1" w:name="bookmark2"/>
      <w:bookmarkEnd w:id="1"/>
      <w:bookmarkStart w:id="2" w:name="bookmark3"/>
      <w:bookmarkEnd w:id="2"/>
      <w:r>
        <w:rPr>
          <w:rFonts w:ascii="FangSong" w:eastAsia="FangSong" w:hAnsi="FangSong" w:cs="FangSong"/>
          <w:spacing w:val="8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总承包项目接口管理工作指南</w:t>
      </w:r>
    </w:p>
    <w:p>
      <w:pPr>
        <w:pStyle w:val="BodyText"/>
        <w:spacing w:line="358" w:lineRule="auto"/>
      </w:pPr>
    </w:p>
    <w:p>
      <w:pPr>
        <w:pStyle w:val="BodyText"/>
        <w:spacing w:line="359" w:lineRule="auto"/>
      </w:pPr>
    </w:p>
    <w:p>
      <w:pPr>
        <w:spacing w:before="78" w:line="224" w:lineRule="auto"/>
        <w:ind w:left="20"/>
        <w:outlineLvl w:val="0"/>
        <w:rPr>
          <w:rFonts w:ascii="FangSong" w:eastAsia="FangSong" w:hAnsi="FangSong" w:cs="FangSong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  <w:r>
        <w:rPr>
          <w:rFonts w:ascii="FangSong" w:eastAsia="FangSong" w:hAnsi="FangSong" w:cs="FangSong"/>
          <w:spacing w:val="-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总则</w:t>
      </w:r>
    </w:p>
    <w:p>
      <w:pPr>
        <w:spacing w:before="189" w:line="222" w:lineRule="auto"/>
        <w:ind w:left="20"/>
        <w:outlineLvl w:val="1"/>
        <w:rPr>
          <w:rFonts w:ascii="FangSong" w:eastAsia="FangSong" w:hAnsi="FangSong" w:cs="FangSong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1.1            </w:t>
      </w:r>
      <w:r>
        <w:rPr>
          <w:rFonts w:ascii="FangSong" w:eastAsia="FangSong" w:hAnsi="FangSong" w:cs="FangSong"/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推进背景</w:t>
      </w:r>
    </w:p>
    <w:p>
      <w:pPr>
        <w:spacing w:before="190" w:line="268" w:lineRule="auto"/>
        <w:ind w:left="978" w:firstLine="4"/>
        <w:jc w:val="both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3"/>
          <w:sz w:val="24"/>
          <w:szCs w:val="24"/>
        </w:rPr>
        <w:t>房建项目是一个长期系统性的工程，涉及到多专业、多系</w:t>
      </w:r>
      <w:r>
        <w:rPr>
          <w:rFonts w:ascii="FangSong" w:eastAsia="FangSong" w:hAnsi="FangSong" w:cs="FangSong"/>
          <w:spacing w:val="-4"/>
          <w:sz w:val="24"/>
          <w:szCs w:val="24"/>
        </w:rPr>
        <w:t>统、多工种的相互交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3"/>
          <w:sz w:val="24"/>
          <w:szCs w:val="24"/>
        </w:rPr>
        <w:t>叉，彼此间存在诸多相互作用和联系，这种作用或联系即项目接口。</w:t>
      </w:r>
      <w:r>
        <w:rPr>
          <w:rFonts w:ascii="FangSong" w:eastAsia="FangSong" w:hAnsi="FangSong" w:cs="FangSong"/>
          <w:spacing w:val="-4"/>
          <w:sz w:val="24"/>
          <w:szCs w:val="24"/>
        </w:rPr>
        <w:t>在施工总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3"/>
          <w:sz w:val="24"/>
          <w:szCs w:val="24"/>
        </w:rPr>
        <w:t>承包模式下，设计、招采、建造被建设单位割裂，设计院及各</w:t>
      </w:r>
      <w:r>
        <w:rPr>
          <w:rFonts w:ascii="FangSong" w:eastAsia="FangSong" w:hAnsi="FangSong" w:cs="FangSong"/>
          <w:spacing w:val="-4"/>
          <w:sz w:val="24"/>
          <w:szCs w:val="24"/>
        </w:rPr>
        <w:t>参建单位各自为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1"/>
          <w:sz w:val="24"/>
          <w:szCs w:val="24"/>
        </w:rPr>
        <w:t>营，建设单位缺乏接口统筹管理能力，造成扯皮索赔现象严重。</w:t>
      </w:r>
      <w:r>
        <w:rPr>
          <w:rFonts w:ascii="FangSong" w:eastAsia="FangSong" w:hAnsi="FangSong" w:cs="FangSong"/>
          <w:sz w:val="24"/>
          <w:szCs w:val="24"/>
        </w:rPr>
        <w:t>而在</w:t>
      </w:r>
      <w:r>
        <w:rPr>
          <w:rFonts w:ascii="FangSong" w:eastAsia="FangSong" w:hAnsi="FangSong" w:cs="FangSong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EPC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FangSong" w:eastAsia="FangSong" w:hAnsi="FangSong" w:cs="FangSong"/>
          <w:sz w:val="24"/>
          <w:szCs w:val="24"/>
        </w:rPr>
        <w:t>模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3"/>
          <w:sz w:val="24"/>
          <w:szCs w:val="24"/>
        </w:rPr>
        <w:t>式下，总承包商负责设计、招采、建造全部内容，管理思维急</w:t>
      </w:r>
      <w:r>
        <w:rPr>
          <w:rFonts w:ascii="FangSong" w:eastAsia="FangSong" w:hAnsi="FangSong" w:cs="FangSong"/>
          <w:spacing w:val="-4"/>
          <w:sz w:val="24"/>
          <w:szCs w:val="24"/>
        </w:rPr>
        <w:t>需由单一建造转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"/>
          <w:sz w:val="24"/>
          <w:szCs w:val="24"/>
        </w:rPr>
        <w:t>变到工程总承包管理。</w:t>
      </w:r>
    </w:p>
    <w:p>
      <w:pPr>
        <w:spacing w:before="189" w:line="263" w:lineRule="auto"/>
        <w:ind w:left="980" w:firstLine="23"/>
        <w:jc w:val="both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4"/>
          <w:sz w:val="24"/>
          <w:szCs w:val="24"/>
        </w:rPr>
        <w:t>当前市场竞争激烈，客户对各方期望越来越高。急需总承包商牵头制定接口管</w:t>
      </w:r>
      <w:r>
        <w:rPr>
          <w:rFonts w:ascii="FangSong" w:eastAsia="FangSong" w:hAnsi="FangSong" w:cs="FangSong"/>
          <w:spacing w:val="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3"/>
          <w:sz w:val="24"/>
          <w:szCs w:val="24"/>
        </w:rPr>
        <w:t>理办法，明确接口管理流程、接口识别与分类，明确参建方在接</w:t>
      </w:r>
      <w:r>
        <w:rPr>
          <w:rFonts w:ascii="FangSong" w:eastAsia="FangSong" w:hAnsi="FangSong" w:cs="FangSong"/>
          <w:spacing w:val="-4"/>
          <w:sz w:val="24"/>
          <w:szCs w:val="24"/>
        </w:rPr>
        <w:t>口管理中的权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3"/>
          <w:sz w:val="24"/>
          <w:szCs w:val="24"/>
        </w:rPr>
        <w:t>责界面，解决参建方在协同工作上矛盾，对过程进行监督与控制</w:t>
      </w:r>
      <w:r>
        <w:rPr>
          <w:rFonts w:ascii="FangSong" w:eastAsia="FangSong" w:hAnsi="FangSong" w:cs="FangSong"/>
          <w:spacing w:val="-4"/>
          <w:sz w:val="24"/>
          <w:szCs w:val="24"/>
        </w:rPr>
        <w:t>，保证工程项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"/>
          <w:sz w:val="24"/>
          <w:szCs w:val="24"/>
        </w:rPr>
        <w:t>目高效、有序、顺利地进行。</w:t>
      </w:r>
    </w:p>
    <w:p>
      <w:pPr>
        <w:spacing w:before="194" w:line="222" w:lineRule="auto"/>
        <w:ind w:left="20"/>
        <w:outlineLvl w:val="1"/>
        <w:rPr>
          <w:rFonts w:ascii="FangSong" w:eastAsia="FangSong" w:hAnsi="FangSong" w:cs="FangSong"/>
          <w:sz w:val="24"/>
          <w:szCs w:val="24"/>
        </w:rPr>
      </w:pPr>
      <w:bookmarkStart w:id="3" w:name="bookmark4"/>
      <w:bookmarkEnd w:id="3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>1.2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           </w:t>
      </w:r>
      <w:r>
        <w:rPr>
          <w:rFonts w:ascii="FangSong" w:eastAsia="FangSong" w:hAnsi="FangSong" w:cs="FangSong"/>
          <w:spacing w:val="-7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管理目标</w:t>
      </w:r>
    </w:p>
    <w:p>
      <w:pPr>
        <w:spacing w:before="191" w:line="249" w:lineRule="auto"/>
        <w:ind w:left="1069" w:right="2" w:firstLine="43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z w:val="24"/>
          <w:szCs w:val="24"/>
        </w:rPr>
        <w:t>旨在通过合约、设计、建造各阶段接口管理，实现各阶段接口紧密联</w:t>
      </w:r>
      <w:r>
        <w:rPr>
          <w:rFonts w:ascii="FangSong" w:eastAsia="FangSong" w:hAnsi="FangSong" w:cs="FangSong"/>
          <w:spacing w:val="-1"/>
          <w:sz w:val="24"/>
          <w:szCs w:val="24"/>
        </w:rPr>
        <w:t>系，环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"/>
          <w:sz w:val="24"/>
          <w:szCs w:val="24"/>
        </w:rPr>
        <w:t>环相扣，打造全过程接口链，实现</w:t>
      </w:r>
      <w:r>
        <w:rPr>
          <w:rFonts w:ascii="FangSong" w:eastAsia="FangSong" w:hAnsi="FangSong" w:cs="FangSong"/>
          <w:spacing w:val="-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E-P-C</w:t>
      </w:r>
      <w:r>
        <w:rPr>
          <w:rFonts w:ascii="Calibri" w:eastAsia="Calibri" w:hAnsi="Calibri" w:cs="Calibri"/>
          <w:spacing w:val="22"/>
          <w:w w:val="10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3"/>
          <w:sz w:val="24"/>
          <w:szCs w:val="24"/>
        </w:rPr>
        <w:t>深度融合。</w:t>
      </w:r>
    </w:p>
    <w:p>
      <w:pPr>
        <w:spacing w:before="192" w:line="223" w:lineRule="auto"/>
        <w:ind w:left="20"/>
        <w:outlineLvl w:val="1"/>
        <w:rPr>
          <w:rFonts w:ascii="FangSong" w:eastAsia="FangSong" w:hAnsi="FangSong" w:cs="FangSong"/>
          <w:sz w:val="24"/>
          <w:szCs w:val="24"/>
        </w:rPr>
      </w:pPr>
      <w:bookmarkStart w:id="4" w:name="bookmark5"/>
      <w:bookmarkEnd w:id="4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1.3            </w:t>
      </w:r>
      <w:r>
        <w:rPr>
          <w:rFonts w:ascii="FangSong" w:eastAsia="FangSong" w:hAnsi="FangSong" w:cs="FangSong"/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适用范围</w:t>
      </w:r>
    </w:p>
    <w:p>
      <w:pPr>
        <w:spacing w:before="189" w:line="250" w:lineRule="auto"/>
        <w:ind w:left="1070" w:right="2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1"/>
          <w:sz w:val="24"/>
          <w:szCs w:val="24"/>
        </w:rPr>
        <w:t>本指南适用于中建三局集团有限公司（粤）开发或承建的总承包项目，其他</w:t>
      </w:r>
      <w:r>
        <w:rPr>
          <w:rFonts w:ascii="FangSong" w:eastAsia="FangSong" w:hAnsi="FangSong" w:cs="FangSong"/>
          <w:spacing w:val="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3"/>
          <w:sz w:val="24"/>
          <w:szCs w:val="24"/>
        </w:rPr>
        <w:t>项目参考实施。</w:t>
      </w:r>
    </w:p>
    <w:p>
      <w:pPr>
        <w:spacing w:before="191" w:line="223" w:lineRule="auto"/>
        <w:ind w:left="20"/>
        <w:outlineLvl w:val="1"/>
        <w:rPr>
          <w:rFonts w:ascii="FangSong" w:eastAsia="FangSong" w:hAnsi="FangSong" w:cs="FangSong"/>
          <w:sz w:val="24"/>
          <w:szCs w:val="24"/>
        </w:rPr>
      </w:pPr>
      <w:bookmarkStart w:id="5" w:name="bookmark6"/>
      <w:bookmarkEnd w:id="5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1.4            </w:t>
      </w:r>
      <w:r>
        <w:rPr>
          <w:rFonts w:ascii="FangSong" w:eastAsia="FangSong" w:hAnsi="FangSong" w:cs="FangSong"/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接口分类</w:t>
      </w:r>
    </w:p>
    <w:p>
      <w:pPr>
        <w:spacing w:before="191" w:line="250" w:lineRule="auto"/>
        <w:ind w:left="981" w:hanging="2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3"/>
          <w:sz w:val="24"/>
          <w:szCs w:val="24"/>
        </w:rPr>
        <w:t>依据工程项目实施阶段内容，接口由合约接口、设计接口、建造接</w:t>
      </w:r>
      <w:r>
        <w:rPr>
          <w:rFonts w:ascii="FangSong" w:eastAsia="FangSong" w:hAnsi="FangSong" w:cs="FangSong"/>
          <w:spacing w:val="-4"/>
          <w:sz w:val="24"/>
          <w:szCs w:val="24"/>
        </w:rPr>
        <w:t>口三部分组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</w:rPr>
        <w:t>成。</w:t>
      </w:r>
    </w:p>
    <w:p>
      <w:pPr>
        <w:spacing w:before="189" w:line="223" w:lineRule="auto"/>
        <w:ind w:left="10"/>
        <w:outlineLvl w:val="0"/>
        <w:rPr>
          <w:rFonts w:ascii="FangSong" w:eastAsia="FangSong" w:hAnsi="FangSong" w:cs="FangSong"/>
          <w:sz w:val="24"/>
          <w:szCs w:val="24"/>
        </w:rPr>
      </w:pPr>
      <w:bookmarkStart w:id="6" w:name="bookmark7"/>
      <w:bookmarkEnd w:id="6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2               </w:t>
      </w:r>
      <w:r>
        <w:rPr>
          <w:rFonts w:ascii="FangSong" w:eastAsia="FangSong" w:hAnsi="FangSong" w:cs="FangSong"/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接口管理</w:t>
      </w:r>
      <w:r>
        <w:rPr>
          <w:rFonts w:ascii="FangSong" w:eastAsia="FangSong" w:hAnsi="FangSong" w:cs="FangSong"/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架构</w:t>
      </w:r>
    </w:p>
    <w:p>
      <w:pPr>
        <w:spacing w:before="190" w:line="223" w:lineRule="auto"/>
        <w:ind w:left="10"/>
        <w:outlineLvl w:val="1"/>
        <w:rPr>
          <w:rFonts w:ascii="FangSong" w:eastAsia="FangSong" w:hAnsi="FangSong" w:cs="FangSong"/>
          <w:sz w:val="24"/>
          <w:szCs w:val="24"/>
        </w:rPr>
      </w:pPr>
      <w:bookmarkStart w:id="7" w:name="bookmark8"/>
      <w:bookmarkEnd w:id="7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2.1            </w:t>
      </w:r>
      <w:r>
        <w:rPr>
          <w:rFonts w:ascii="FangSong" w:eastAsia="FangSong" w:hAnsi="FangSong" w:cs="FangSong"/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接口管理组织架构</w:t>
      </w:r>
    </w:p>
    <w:p>
      <w:pPr>
        <w:spacing w:before="191" w:line="223" w:lineRule="auto"/>
        <w:ind w:left="10"/>
        <w:outlineLvl w:val="2"/>
        <w:rPr>
          <w:rFonts w:ascii="FangSong" w:eastAsia="FangSong" w:hAnsi="FangSong" w:cs="FangSong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2.1.1         </w:t>
      </w:r>
      <w:r>
        <w:rPr>
          <w:rFonts w:ascii="FangSong" w:eastAsia="FangSong" w:hAnsi="FangSong" w:cs="FangSong"/>
          <w:spacing w:val="-2"/>
          <w:sz w:val="24"/>
          <w:szCs w:val="24"/>
        </w:rPr>
        <w:t>项目组织架构</w:t>
      </w:r>
    </w:p>
    <w:p>
      <w:pPr>
        <w:spacing w:before="189" w:line="259" w:lineRule="auto"/>
        <w:ind w:left="980" w:right="2"/>
        <w:jc w:val="both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2"/>
          <w:sz w:val="24"/>
          <w:szCs w:val="24"/>
        </w:rPr>
        <w:t>根据项目实际情况，设置项目设计总监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/</w:t>
      </w:r>
      <w:r>
        <w:rPr>
          <w:rFonts w:ascii="FangSong" w:eastAsia="FangSong" w:hAnsi="FangSong" w:cs="FangSong"/>
          <w:spacing w:val="2"/>
          <w:sz w:val="24"/>
          <w:szCs w:val="24"/>
        </w:rPr>
        <w:t>技术总监，并由商务</w:t>
      </w:r>
      <w:r>
        <w:rPr>
          <w:rFonts w:ascii="FangSong" w:eastAsia="FangSong" w:hAnsi="FangSong" w:cs="FangSong"/>
          <w:spacing w:val="1"/>
          <w:sz w:val="24"/>
          <w:szCs w:val="24"/>
        </w:rPr>
        <w:t>总监、设计总监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3"/>
          <w:sz w:val="24"/>
          <w:szCs w:val="24"/>
        </w:rPr>
        <w:t>和建造总监，统筹协调建造部、技术部、设计管理部和商</w:t>
      </w:r>
      <w:r>
        <w:rPr>
          <w:rFonts w:ascii="FangSong" w:eastAsia="FangSong" w:hAnsi="FangSong" w:cs="FangSong"/>
          <w:spacing w:val="-4"/>
          <w:sz w:val="24"/>
          <w:szCs w:val="24"/>
        </w:rPr>
        <w:t>务合约部进行全过程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"/>
          <w:sz w:val="24"/>
          <w:szCs w:val="24"/>
        </w:rPr>
        <w:t>接口管理。组织架构如下图所示：</w:t>
      </w:r>
    </w:p>
    <w:p>
      <w:pPr>
        <w:spacing w:line="259" w:lineRule="auto"/>
        <w:rPr>
          <w:rFonts w:ascii="FangSong" w:eastAsia="FangSong" w:hAnsi="FangSong" w:cs="FangSong"/>
          <w:sz w:val="24"/>
          <w:szCs w:val="24"/>
        </w:rPr>
        <w:sectPr>
          <w:headerReference w:type="default" r:id="rId14"/>
          <w:footerReference w:type="default" r:id="rId15"/>
          <w:pgSz w:w="11907" w:h="16840"/>
          <w:pgMar w:top="1232" w:right="1438" w:bottom="1439" w:left="1435" w:header="1048" w:footer="1009" w:gutter="0"/>
          <w:pgNumType w:start="8"/>
          <w:cols w:space="708"/>
        </w:sectPr>
      </w:pPr>
    </w:p>
    <w:p>
      <w:pPr>
        <w:pStyle w:val="BodyText"/>
        <w:spacing w:line="282" w:lineRule="auto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911225</wp:posOffset>
            </wp:positionH>
            <wp:positionV relativeFrom="page">
              <wp:posOffset>9779317</wp:posOffset>
            </wp:positionV>
            <wp:extent cx="5286375" cy="952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83" w:lineRule="auto"/>
      </w:pPr>
    </w:p>
    <w:p>
      <w:pPr>
        <w:spacing w:line="3320" w:lineRule="exact"/>
        <w:ind w:firstLine="2316"/>
      </w:pPr>
      <w:r>
        <w:rPr>
          <w:position w:val="-66"/>
        </w:rPr>
        <w:drawing>
          <wp:inline distT="0" distB="0" distL="0" distR="0">
            <wp:extent cx="2880360" cy="2107691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0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1" w:line="232" w:lineRule="auto"/>
        <w:ind w:left="3286"/>
        <w:rPr>
          <w:rFonts w:ascii="FangSong" w:eastAsia="FangSong" w:hAnsi="FangSong" w:cs="FangSong"/>
          <w:sz w:val="20"/>
          <w:szCs w:val="20"/>
        </w:rPr>
      </w:pPr>
      <w:r>
        <w:rPr>
          <w:rFonts w:ascii="FangSong" w:eastAsia="FangSong" w:hAnsi="FangSong" w:cs="FangSong"/>
          <w:spacing w:val="3"/>
          <w:sz w:val="20"/>
          <w:szCs w:val="20"/>
        </w:rPr>
        <w:t>图</w:t>
      </w:r>
      <w:r>
        <w:rPr>
          <w:rFonts w:ascii="FangSong" w:eastAsia="FangSong" w:hAnsi="FangSong" w:cs="FangSong"/>
          <w:spacing w:val="-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2-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ascii="FangSong" w:eastAsia="FangSong" w:hAnsi="FangSong" w:cs="FangSong"/>
          <w:spacing w:val="3"/>
          <w:sz w:val="20"/>
          <w:szCs w:val="20"/>
        </w:rPr>
        <w:t>项目接口管理组织架构</w:t>
      </w:r>
    </w:p>
    <w:p>
      <w:pPr>
        <w:spacing w:before="193" w:line="220" w:lineRule="auto"/>
        <w:ind w:left="89"/>
        <w:outlineLvl w:val="2"/>
        <w:rPr>
          <w:rFonts w:ascii="FangSong" w:eastAsia="FangSong" w:hAnsi="FangSong" w:cs="FangSong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2.1.2         </w:t>
      </w:r>
      <w:r>
        <w:rPr>
          <w:rFonts w:ascii="FangSong" w:eastAsia="FangSong" w:hAnsi="FangSong" w:cs="FangSong"/>
          <w:spacing w:val="-2"/>
          <w:sz w:val="24"/>
          <w:szCs w:val="24"/>
        </w:rPr>
        <w:t>接口管理工作机制</w:t>
      </w:r>
    </w:p>
    <w:p>
      <w:pPr>
        <w:spacing w:before="194" w:line="220" w:lineRule="auto"/>
        <w:ind w:left="1190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1"/>
          <w:sz w:val="24"/>
          <w:szCs w:val="24"/>
        </w:rPr>
        <w:t>总承包方与相关分包商接口管理工作机制，主要参见下</w:t>
      </w:r>
      <w:r>
        <w:rPr>
          <w:rFonts w:ascii="FangSong" w:eastAsia="FangSong" w:hAnsi="FangSong" w:cs="FangSong"/>
          <w:spacing w:val="-2"/>
          <w:sz w:val="24"/>
          <w:szCs w:val="24"/>
        </w:rPr>
        <w:t>图。</w:t>
      </w:r>
    </w:p>
    <w:p>
      <w:pPr>
        <w:spacing w:before="110" w:line="4052" w:lineRule="exact"/>
        <w:ind w:firstLine="1073"/>
      </w:pPr>
      <w:r>
        <w:rPr>
          <w:position w:val="-81"/>
        </w:rPr>
        <w:drawing>
          <wp:inline distT="0" distB="0" distL="0" distR="0">
            <wp:extent cx="4462271" cy="2572511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62271" cy="257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1" w:line="229" w:lineRule="auto"/>
        <w:ind w:left="3495"/>
        <w:rPr>
          <w:rFonts w:ascii="FangSong" w:eastAsia="FangSong" w:hAnsi="FangSong" w:cs="FangSong"/>
          <w:sz w:val="20"/>
          <w:szCs w:val="20"/>
        </w:rPr>
      </w:pPr>
      <w:r>
        <w:rPr>
          <w:rFonts w:ascii="FangSong" w:eastAsia="FangSong" w:hAnsi="FangSong" w:cs="FangSong"/>
          <w:spacing w:val="3"/>
          <w:sz w:val="20"/>
          <w:szCs w:val="20"/>
        </w:rPr>
        <w:t>图</w:t>
      </w:r>
      <w:r>
        <w:rPr>
          <w:rFonts w:ascii="FangSong" w:eastAsia="FangSong" w:hAnsi="FangSong" w:cs="FangSong"/>
          <w:spacing w:val="-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2-2</w:t>
      </w:r>
      <w:r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>
        <w:rPr>
          <w:rFonts w:ascii="FangSong" w:eastAsia="FangSong" w:hAnsi="FangSong" w:cs="FangSong"/>
          <w:spacing w:val="3"/>
          <w:sz w:val="20"/>
          <w:szCs w:val="20"/>
        </w:rPr>
        <w:t>接口管理工作机制</w:t>
      </w:r>
    </w:p>
    <w:p>
      <w:pPr>
        <w:spacing w:before="193" w:line="223" w:lineRule="auto"/>
        <w:ind w:left="88"/>
        <w:outlineLvl w:val="0"/>
        <w:rPr>
          <w:rFonts w:ascii="FangSong" w:eastAsia="FangSong" w:hAnsi="FangSong" w:cs="FangSong"/>
          <w:sz w:val="24"/>
          <w:szCs w:val="24"/>
        </w:rPr>
      </w:pPr>
      <w:bookmarkStart w:id="8" w:name="bookmark9"/>
      <w:bookmarkEnd w:id="8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3               </w:t>
      </w:r>
      <w:r>
        <w:rPr>
          <w:rFonts w:ascii="FangSong" w:eastAsia="FangSong" w:hAnsi="FangSong" w:cs="FangSong"/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合约接口管理</w:t>
      </w:r>
    </w:p>
    <w:p>
      <w:pPr>
        <w:spacing w:before="190" w:line="218" w:lineRule="auto"/>
        <w:ind w:left="88"/>
        <w:outlineLvl w:val="1"/>
        <w:rPr>
          <w:rFonts w:ascii="FangSong" w:eastAsia="FangSong" w:hAnsi="FangSong" w:cs="FangSong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3.1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          </w:t>
      </w:r>
      <w:r>
        <w:rPr>
          <w:rFonts w:ascii="FangSong" w:eastAsia="FangSong" w:hAnsi="FangSong" w:cs="FangSong"/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合约接口管理原则</w:t>
      </w:r>
    </w:p>
    <w:p>
      <w:pPr>
        <w:spacing w:before="197" w:line="222" w:lineRule="auto"/>
        <w:jc w:val="right"/>
        <w:outlineLvl w:val="2"/>
        <w:rPr>
          <w:rFonts w:ascii="FangSong" w:eastAsia="FangSong" w:hAnsi="FangSong" w:cs="FangSong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3.1.1        </w:t>
      </w:r>
      <w:r>
        <w:rPr>
          <w:rFonts w:ascii="FangSong" w:eastAsia="FangSong" w:hAnsi="FangSong" w:cs="FangSong"/>
          <w:spacing w:val="3"/>
          <w:sz w:val="24"/>
          <w:szCs w:val="24"/>
        </w:rPr>
        <w:t>公平公开原则：总包方按照公平公开的原则组织分包商共同参与。分包商依</w:t>
      </w:r>
    </w:p>
    <w:p>
      <w:pPr>
        <w:spacing w:before="70" w:line="249" w:lineRule="auto"/>
        <w:ind w:left="1101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3"/>
          <w:sz w:val="24"/>
          <w:szCs w:val="24"/>
        </w:rPr>
        <w:t>据自身条件提出界面划分建议，经总包评审，对于有</w:t>
      </w:r>
      <w:r>
        <w:rPr>
          <w:rFonts w:ascii="FangSong" w:eastAsia="FangSong" w:hAnsi="FangSong" w:cs="FangSong"/>
          <w:spacing w:val="2"/>
          <w:sz w:val="24"/>
          <w:szCs w:val="24"/>
        </w:rPr>
        <w:t>争议的部分由总包进行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"/>
          <w:sz w:val="24"/>
          <w:szCs w:val="24"/>
        </w:rPr>
        <w:t>评判后下发给分包单位。</w:t>
      </w:r>
    </w:p>
    <w:p>
      <w:pPr>
        <w:spacing w:before="194" w:line="219" w:lineRule="auto"/>
        <w:jc w:val="right"/>
        <w:outlineLvl w:val="2"/>
        <w:rPr>
          <w:rFonts w:ascii="FangSong" w:eastAsia="FangSong" w:hAnsi="FangSong" w:cs="FangSong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3.1.2        </w:t>
      </w:r>
      <w:r>
        <w:rPr>
          <w:rFonts w:ascii="FangSong" w:eastAsia="FangSong" w:hAnsi="FangSong" w:cs="FangSong"/>
          <w:spacing w:val="3"/>
          <w:sz w:val="24"/>
          <w:szCs w:val="24"/>
        </w:rPr>
        <w:t>专业整合原则：在各方不能形成一致意见的情况下，项目按照专业整合原则</w:t>
      </w:r>
    </w:p>
    <w:p>
      <w:pPr>
        <w:spacing w:before="75" w:line="222" w:lineRule="auto"/>
        <w:ind w:left="1101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2"/>
          <w:sz w:val="24"/>
          <w:szCs w:val="24"/>
        </w:rPr>
        <w:t>评判界面及接口的归属问题。</w:t>
      </w:r>
    </w:p>
    <w:p>
      <w:pPr>
        <w:spacing w:before="191" w:line="223" w:lineRule="auto"/>
        <w:ind w:left="88"/>
        <w:outlineLvl w:val="1"/>
        <w:rPr>
          <w:rFonts w:ascii="FangSong" w:eastAsia="FangSong" w:hAnsi="FangSong" w:cs="FangSong"/>
          <w:sz w:val="24"/>
          <w:szCs w:val="24"/>
        </w:rPr>
      </w:pPr>
      <w:bookmarkStart w:id="9" w:name="bookmark10"/>
      <w:bookmarkEnd w:id="9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3.2            </w:t>
      </w:r>
      <w:r>
        <w:rPr>
          <w:rFonts w:ascii="FangSong" w:eastAsia="FangSong" w:hAnsi="FangSong" w:cs="FangSong"/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合约接口分类</w:t>
      </w:r>
    </w:p>
    <w:p>
      <w:pPr>
        <w:spacing w:before="11"/>
      </w:pPr>
    </w:p>
    <w:p>
      <w:pPr>
        <w:spacing w:before="11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https://d.book118.com/258003143112006037</w:t>
        </w:r>
      </w:hyperlink>
    </w:p>
    <w:p>
      <w:pPr>
        <w:spacing w:before="11"/>
      </w:pPr>
    </w:p>
    <w:sectPr>
      <w:headerReference w:type="default" r:id="rId20"/>
      <w:footerReference w:type="default" r:id="rId21"/>
      <w:pgSz w:w="11907" w:h="16840"/>
      <w:pgMar w:top="1232" w:right="1438" w:bottom="400" w:left="1355" w:header="1048" w:footer="0" w:gutter="0"/>
      <w:pgNumType w:start="9"/>
      <w:cols w:num="1" w:space="708" w:equalWidth="0">
        <w:col w:w="911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13" w:line="212" w:lineRule="auto"/>
      <w:ind w:left="40"/>
      <w:rPr>
        <w:rFonts w:ascii="FangSong" w:eastAsia="FangSong" w:hAnsi="FangSong" w:cs="FangSong"/>
        <w:sz w:val="18"/>
        <w:szCs w:val="18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911225</wp:posOffset>
          </wp:positionH>
          <wp:positionV relativeFrom="page">
            <wp:posOffset>9779317</wp:posOffset>
          </wp:positionV>
          <wp:extent cx="5286375" cy="9525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8637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3.25pt;height:12.7pt;margin-top:9.93pt;margin-left:419.12pt;position:absolute;z-index:251659264" filled="f" stroked="f">
          <o:lock v:ext="edit" aspectratio="f"/>
          <v:textbox inset="0,0,0,0">
            <w:txbxContent>
              <w:p>
                <w:pPr>
                  <w:spacing w:before="20" w:line="219" w:lineRule="auto"/>
                  <w:ind w:left="20"/>
                  <w:rPr>
                    <w:rFonts w:ascii="SimSun" w:eastAsia="SimSun" w:hAnsi="SimSun" w:cs="SimSun"/>
                    <w:sz w:val="18"/>
                    <w:szCs w:val="18"/>
                  </w:rPr>
                </w:pPr>
                <w:r>
                  <w:rPr>
                    <w:rFonts w:ascii="SimSun" w:eastAsia="SimSun" w:hAnsi="SimSun" w:cs="SimSun"/>
                    <w:spacing w:val="-8"/>
                    <w:sz w:val="18"/>
                    <w:szCs w:val="18"/>
                  </w:rPr>
                  <w:t>第</w:t>
                </w:r>
                <w:r>
                  <w:rPr>
                    <w:rFonts w:ascii="SimSun" w:eastAsia="SimSun" w:hAnsi="SimSun" w:cs="SimSun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-8"/>
                    <w:sz w:val="18"/>
                    <w:szCs w:val="18"/>
                  </w:rPr>
                  <w:t>1</w:t>
                </w:r>
                <w:r>
                  <w:rPr>
                    <w:rFonts w:ascii="Calibri" w:eastAsia="Calibri" w:hAnsi="Calibri" w:cs="Calibri"/>
                    <w:spacing w:val="9"/>
                    <w:sz w:val="18"/>
                    <w:szCs w:val="18"/>
                  </w:rPr>
                  <w:t xml:space="preserve">  </w:t>
                </w:r>
                <w:r>
                  <w:rPr>
                    <w:rFonts w:ascii="SimSun" w:eastAsia="SimSun" w:hAnsi="SimSun" w:cs="SimSun"/>
                    <w:spacing w:val="-8"/>
                    <w:sz w:val="18"/>
                    <w:szCs w:val="18"/>
                  </w:rPr>
                  <w:t>页</w:t>
                </w:r>
              </w:p>
            </w:txbxContent>
          </v:textbox>
        </v:shape>
      </w:pict>
    </w:r>
    <w:r>
      <w:rPr>
        <w:rFonts w:ascii="FangSong" w:eastAsia="FangSong" w:hAnsi="FangSong" w:cs="FangSong"/>
        <w:spacing w:val="-3"/>
        <w:sz w:val="18"/>
        <w:szCs w:val="18"/>
      </w:rPr>
      <w:t>中建三局集团有限公司（粤）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left" w:pos="6357"/>
      </w:tabs>
      <w:spacing w:line="178" w:lineRule="auto"/>
      <w:ind w:left="16"/>
      <w:rPr>
        <w:rFonts w:ascii="FangSong" w:eastAsia="FangSong" w:hAnsi="FangSong" w:cs="FangSong"/>
        <w:sz w:val="18"/>
        <w:szCs w:val="18"/>
      </w:rPr>
    </w:pPr>
    <w:r>
      <w:rPr>
        <w:rFonts w:ascii="FangSong" w:eastAsia="FangSong" w:hAnsi="FangSong" w:cs="FangSong"/>
        <w:sz w:val="18"/>
        <w:szCs w:val="18"/>
        <w:u w:val="single" w:color="auto"/>
      </w:rPr>
      <w:tab/>
    </w:r>
    <w:r>
      <w:rPr>
        <w:rFonts w:ascii="FangSong" w:eastAsia="FangSong" w:hAnsi="FangSong" w:cs="FangSong"/>
        <w:spacing w:val="-2"/>
        <w:sz w:val="18"/>
        <w:szCs w:val="18"/>
        <w:u w:val="single" w:color="auto"/>
      </w:rPr>
      <w:t>总承包项目接口管理指南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left" w:pos="7070"/>
      </w:tabs>
      <w:spacing w:line="178" w:lineRule="auto"/>
      <w:ind w:left="5"/>
      <w:rPr>
        <w:rFonts w:ascii="FangSong" w:eastAsia="FangSong" w:hAnsi="FangSong" w:cs="FangSong"/>
        <w:sz w:val="18"/>
        <w:szCs w:val="18"/>
      </w:rPr>
    </w:pPr>
    <w:r>
      <w:rPr>
        <w:rFonts w:ascii="FangSong" w:eastAsia="FangSong" w:hAnsi="FangSong" w:cs="FangSong"/>
        <w:sz w:val="18"/>
        <w:szCs w:val="18"/>
        <w:u w:val="single" w:color="auto"/>
      </w:rPr>
      <w:tab/>
    </w:r>
    <w:r>
      <w:rPr>
        <w:rFonts w:ascii="FangSong" w:eastAsia="FangSong" w:hAnsi="FangSong" w:cs="FangSong"/>
        <w:spacing w:val="-2"/>
        <w:sz w:val="18"/>
        <w:szCs w:val="18"/>
        <w:u w:val="single" w:color="auto"/>
      </w:rPr>
      <w:t>总承包项目接口管理指南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103"/>
      <w:rPr>
        <w:rFonts w:ascii="FangSong" w:eastAsia="FangSong" w:hAnsi="FangSong" w:cs="FangSong"/>
        <w:sz w:val="18"/>
        <w:szCs w:val="18"/>
      </w:rPr>
    </w:pPr>
    <w:r>
      <w:rPr>
        <w:rFonts w:ascii="FangSong" w:eastAsia="FangSong" w:hAnsi="FangSong" w:cs="FangSong"/>
        <w:spacing w:val="-2"/>
        <w:sz w:val="18"/>
        <w:szCs w:val="18"/>
        <w:u w:val="single" w:color="auto"/>
      </w:rPr>
      <w:t>总承包项目接口管理指南</w:t>
    </w:r>
    <w:r>
      <w:rPr>
        <w:rFonts w:ascii="FangSong" w:eastAsia="FangSong" w:hAnsi="FangSong" w:cs="FangSong"/>
        <w:sz w:val="18"/>
        <w:szCs w:val="18"/>
        <w:u w:val="single" w:color="auto"/>
      </w:rPr>
      <w:t xml:space="preserve">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image" Target="media/image1.jpeg" /><Relationship Id="rId17" Type="http://schemas.openxmlformats.org/officeDocument/2006/relationships/image" Target="media/image2.jpeg" /><Relationship Id="rId18" Type="http://schemas.openxmlformats.org/officeDocument/2006/relationships/image" Target="media/image3.jpeg" /><Relationship Id="rId19" Type="http://schemas.openxmlformats.org/officeDocument/2006/relationships/hyperlink" Target="https://d.book118.com/258003143112006037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7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中建三局设计事业部2015年度深化设计调研报告</dc:title>
  <dc:creator>微软中国</dc:creator>
  <cp:revision>0</cp:revision>
  <dcterms:created xsi:type="dcterms:W3CDTF">2020-11-30T10:57:56Z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2024-02-23T11:39:28Z</vt:filetime>
  </property>
  <property fmtid="{D5CDD505-2E9C-101B-9397-08002B2CF9AE}" pid="3" name="CRO">
    <vt:lpwstr>wqlLaW5nc29mdCBQREYgdG8gV1BTIDkw</vt:lpwstr>
  </property>
</Properties>
</file>