
<file path=[Content_Types].xml><?xml version="1.0" encoding="utf-8"?>
<Types xmlns="http://schemas.openxmlformats.org/package/2006/content-types">
  <Default Extension="emf" ContentType="image/x-emf"/>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ageBreakBefore/>
        <w:ind w:left="0" w:firstLine="0" w:leftChars="0" w:firstLineChars="0"/>
        <w:jc w:val="center"/>
        <w:rPr>
          <w:szCs w:val="28"/>
        </w:rPr>
      </w:pPr>
      <w:r>
        <w:rPr>
          <w:sz w:val="28"/>
          <w:szCs w:val="28"/>
        </w:rPr>
        <w:drawing>
          <wp:inline distT="0" distB="0" distL="114300" distR="114300">
            <wp:extent cx="577215" cy="721995"/>
            <wp:effectExtent l="0" t="0" r="13335" b="1905"/>
            <wp:docPr id="125" name="图片 1" descr="建工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 descr="建工标志"/>
                    <pic:cNvPicPr>
                      <a:picLocks noChangeAspect="1"/>
                    </pic:cNvPicPr>
                  </pic:nvPicPr>
                  <pic:blipFill>
                    <a:blip xmlns:r="http://schemas.openxmlformats.org/officeDocument/2006/relationships" r:embed="rId5"/>
                    <a:stretch>
                      <a:fillRect/>
                    </a:stretch>
                  </pic:blipFill>
                  <pic:spPr>
                    <a:xfrm>
                      <a:off x="0" y="0"/>
                      <a:ext cx="577215" cy="721995"/>
                    </a:xfrm>
                    <a:prstGeom prst="rect">
                      <a:avLst/>
                    </a:prstGeom>
                    <a:noFill/>
                    <a:ln w="9525">
                      <a:noFill/>
                    </a:ln>
                  </pic:spPr>
                </pic:pic>
              </a:graphicData>
            </a:graphic>
          </wp:inline>
        </w:drawing>
      </w:r>
    </w:p>
    <w:p>
      <w:pPr>
        <w:spacing w:after="156" w:afterLines="50" w:line="500" w:lineRule="auto"/>
        <w:ind w:left="0" w:firstLine="0" w:leftChars="0" w:firstLineChars="0"/>
        <w:jc w:val="center"/>
        <w:rPr>
          <w:rFonts w:ascii="黑体" w:eastAsia="黑体"/>
          <w:sz w:val="44"/>
          <w:szCs w:val="44"/>
        </w:rPr>
      </w:pPr>
      <w:r>
        <w:rPr>
          <w:rFonts w:ascii="黑体" w:eastAsia="黑体" w:hint="eastAsia"/>
          <w:sz w:val="44"/>
          <w:szCs w:val="44"/>
        </w:rPr>
        <w:t>重庆城建控股（集团）有限责任公司</w:t>
      </w:r>
    </w:p>
    <w:p>
      <w:pPr>
        <w:spacing w:after="156" w:afterLines="50" w:line="500" w:lineRule="auto"/>
        <w:ind w:left="0" w:firstLine="0" w:leftChars="0" w:firstLineChars="0"/>
        <w:jc w:val="center"/>
        <w:rPr>
          <w:rFonts w:ascii="黑体" w:eastAsia="黑体"/>
          <w:sz w:val="72"/>
          <w:szCs w:val="72"/>
        </w:rPr>
      </w:pPr>
      <w:r>
        <mc:AlternateContent>
          <mc:Choice Requires="wps">
            <w:drawing>
              <wp:anchor distT="0" distB="0" distL="114300" distR="114300" simplePos="0" relativeHeight="251661312" behindDoc="0" locked="0" layoutInCell="1" allowOverlap="1">
                <wp:simplePos x="0" y="0"/>
                <wp:positionH relativeFrom="column">
                  <wp:posOffset>-81280</wp:posOffset>
                </wp:positionH>
                <wp:positionV relativeFrom="paragraph">
                  <wp:posOffset>688975</wp:posOffset>
                </wp:positionV>
                <wp:extent cx="5600700" cy="0"/>
                <wp:effectExtent l="0" t="0" r="0" b="0"/>
                <wp:wrapTight wrapText="bothSides">
                  <wp:wrapPolygon>
                    <wp:start x="0" y="0"/>
                    <wp:lineTo x="0" y="1"/>
                    <wp:lineTo x="590" y="1"/>
                    <wp:lineTo x="590" y="0"/>
                    <wp:lineTo x="0" y="0"/>
                  </wp:wrapPolygon>
                </wp:wrapTight>
                <wp:docPr id="57" name="直线 24"/>
                <wp:cNvGraphicFramePr/>
                <a:graphic xmlns:a="http://schemas.openxmlformats.org/drawingml/2006/main">
                  <a:graphicData uri="http://schemas.microsoft.com/office/word/2010/wordprocessingShape">
                    <wps:wsp xmlns:wps="http://schemas.microsoft.com/office/word/2010/wordprocessingShape">
                      <wps:cNvCnPr/>
                      <wps:spPr>
                        <a:xfrm>
                          <a:off x="0" y="0"/>
                          <a:ext cx="5600700" cy="0"/>
                        </a:xfrm>
                        <a:prstGeom prst="line">
                          <a:avLst/>
                        </a:prstGeom>
                        <a:ln w="19050">
                          <a:solidFill>
                            <a:srgbClr val="000000"/>
                          </a:solidFill>
                          <a:headEnd/>
                          <a:tailEnd/>
                        </a:ln>
                      </wps:spPr>
                      <wps:bodyPr upright="1"/>
                    </wps:wsp>
                  </a:graphicData>
                </a:graphic>
              </wp:anchor>
            </w:drawing>
          </mc:Choice>
          <mc:Fallback>
            <w:pict>
              <v:line id="直线 24" o:spid="_x0000_s1025" style="mso-wrap-distance-bottom:0;mso-wrap-distance-left:9pt;mso-wrap-distance-right:9pt;mso-wrap-distance-top:0;position:absolute;v-text-anchor:top;z-index:251660288" from="-6.4pt,54.25pt" to="434.6pt,54.25pt" wrapcoords="0 0 0 1 590 1 590 0" fillcolor="this" stroked="t" strokecolor="black" strokeweight="1.5pt">
                <w10:wrap type="tight"/>
              </v:line>
            </w:pict>
          </mc:Fallback>
        </mc:AlternateContent>
      </w:r>
      <w:r>
        <w:rPr>
          <w:rFonts w:ascii="黑体" w:eastAsia="黑体" w:hint="eastAsia"/>
          <w:sz w:val="72"/>
          <w:szCs w:val="72"/>
        </w:rPr>
        <w:t>施工组织设计文献</w:t>
      </w:r>
    </w:p>
    <w:p>
      <w:pPr>
        <w:spacing w:after="156" w:afterLines="50" w:line="480" w:lineRule="auto"/>
        <w:jc w:val="center"/>
        <w:rPr>
          <w:rFonts w:ascii="黑体" w:eastAsia="黑体"/>
          <w:sz w:val="44"/>
          <w:szCs w:val="44"/>
        </w:rPr>
      </w:pPr>
    </w:p>
    <w:p>
      <w:pPr>
        <w:spacing w:before="936" w:beforeLines="300" w:line="500" w:lineRule="auto"/>
        <w:ind w:left="0" w:firstLine="0" w:leftChars="0" w:firstLineChars="0"/>
        <w:jc w:val="center"/>
        <w:rPr>
          <w:rFonts w:eastAsia="黑体"/>
          <w:sz w:val="64"/>
          <w:szCs w:val="64"/>
        </w:rPr>
      </w:pPr>
      <w:r>
        <w:rPr>
          <w:rFonts w:eastAsia="黑体" w:hint="eastAsia"/>
          <w:sz w:val="64"/>
          <w:szCs w:val="64"/>
        </w:rPr>
        <w:t>重庆水土嘉陵江大桥</w:t>
      </w:r>
    </w:p>
    <w:p>
      <w:pPr>
        <w:spacing w:before="156" w:beforeLines="50" w:after="156" w:afterLines="50"/>
        <w:jc w:val="center"/>
        <w:rPr>
          <w:rFonts w:eastAsia="仿宋_GB2312"/>
          <w:b/>
          <w:bCs/>
          <w:sz w:val="20"/>
          <w:szCs w:val="20"/>
        </w:rPr>
      </w:pPr>
    </w:p>
    <w:p>
      <w:pPr>
        <w:spacing w:line="500" w:lineRule="auto"/>
        <w:ind w:left="0" w:firstLine="0" w:leftChars="0" w:firstLineChars="0"/>
        <w:jc w:val="center"/>
        <w:rPr>
          <w:szCs w:val="28"/>
        </w:rPr>
      </w:pPr>
      <w:r>
        <w:rPr>
          <w:rFonts w:eastAsia="黑体" w:hint="eastAsia"/>
          <w:b/>
          <w:bCs/>
          <w:sz w:val="64"/>
          <w:szCs w:val="64"/>
          <w:lang w:eastAsia="zh-CN"/>
        </w:rPr>
        <w:t>高边坡、高切坡</w:t>
      </w:r>
      <w:r>
        <w:rPr>
          <w:rFonts w:eastAsia="黑体" w:hint="eastAsia"/>
          <w:b/>
          <w:bCs/>
          <w:sz w:val="64"/>
          <w:szCs w:val="64"/>
        </w:rPr>
        <w:t>安全专项</w:t>
      </w:r>
      <w:r>
        <w:rPr>
          <w:rFonts w:eastAsia="黑体" w:hint="eastAsia"/>
          <w:b/>
          <w:bCs/>
          <w:sz w:val="64"/>
          <w:szCs w:val="64"/>
          <w:lang w:eastAsia="zh-CN"/>
        </w:rPr>
        <w:t>施工</w:t>
      </w:r>
      <w:r>
        <w:rPr>
          <w:rFonts w:eastAsia="黑体" w:hint="eastAsia"/>
          <w:b/>
          <w:bCs/>
          <w:sz w:val="64"/>
          <w:szCs w:val="64"/>
        </w:rPr>
        <w:t>方案</w:t>
      </w:r>
      <w:r>
        <w:rPr>
          <w:sz w:val="28"/>
          <w:szCs w:val="28"/>
        </w:rPr>
        <w:drawing>
          <wp:inline distT="0" distB="0" distL="114300" distR="114300">
            <wp:extent cx="5871210" cy="3103880"/>
            <wp:effectExtent l="0" t="0" r="15240" b="1270"/>
            <wp:docPr id="126" name="图片 2" descr="总体施工流程图（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 descr="总体施工流程图（九）"/>
                    <pic:cNvPicPr>
                      <a:picLocks noChangeAspect="1"/>
                    </pic:cNvPicPr>
                  </pic:nvPicPr>
                  <pic:blipFill>
                    <a:blip xmlns:r="http://schemas.openxmlformats.org/officeDocument/2006/relationships" r:embed="rId6"/>
                    <a:srcRect l="4327" t="2286" r="4697" b="7520"/>
                    <a:stretch>
                      <a:fillRect/>
                    </a:stretch>
                  </pic:blipFill>
                  <pic:spPr>
                    <a:xfrm>
                      <a:off x="0" y="0"/>
                      <a:ext cx="5871210" cy="3103880"/>
                    </a:xfrm>
                    <a:prstGeom prst="rect">
                      <a:avLst/>
                    </a:prstGeom>
                    <a:noFill/>
                    <a:ln w="9525">
                      <a:noFill/>
                    </a:ln>
                  </pic:spPr>
                </pic:pic>
              </a:graphicData>
            </a:graphic>
          </wp:inline>
        </w:drawing>
      </w:r>
    </w:p>
    <w:p>
      <w:pPr>
        <w:spacing w:line="500" w:lineRule="auto"/>
        <w:ind w:left="0" w:firstLine="0" w:leftChars="0" w:firstLineChars="0"/>
        <w:jc w:val="center"/>
        <w:rPr>
          <w:rFonts w:ascii="Times New Roman" w:hAnsi="Times New Roman"/>
          <w:b/>
          <w:bCs/>
          <w:sz w:val="30"/>
          <w:szCs w:val="30"/>
        </w:rPr>
      </w:pPr>
      <w:r>
        <w:rPr>
          <w:rFonts w:ascii="Times New Roman" w:hAnsi="Times New Roman" w:hint="eastAsia"/>
          <w:b/>
          <w:bCs/>
          <w:sz w:val="30"/>
          <w:szCs w:val="30"/>
        </w:rPr>
        <w:t>编制单位：重庆城建控股（集团）有限责任公司</w:t>
      </w:r>
    </w:p>
    <w:p>
      <w:pPr>
        <w:spacing w:line="500" w:lineRule="auto"/>
        <w:ind w:left="0" w:firstLine="0" w:leftChars="0" w:firstLineChars="0"/>
        <w:jc w:val="center"/>
        <w:rPr>
          <w:b/>
          <w:bCs/>
          <w:sz w:val="30"/>
          <w:szCs w:val="30"/>
        </w:rPr>
      </w:pPr>
      <w: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68580</wp:posOffset>
                </wp:positionV>
                <wp:extent cx="5715000" cy="0"/>
                <wp:effectExtent l="0" t="0" r="0" b="0"/>
                <wp:wrapTight wrapText="bothSides">
                  <wp:wrapPolygon>
                    <wp:start x="0" y="0"/>
                    <wp:lineTo x="0" y="1"/>
                    <wp:lineTo x="602" y="1"/>
                    <wp:lineTo x="602" y="0"/>
                    <wp:lineTo x="0" y="0"/>
                  </wp:wrapPolygon>
                </wp:wrapTight>
                <wp:docPr id="56" name="直线 23"/>
                <wp:cNvGraphicFramePr/>
                <a:graphic xmlns:a="http://schemas.openxmlformats.org/drawingml/2006/main">
                  <a:graphicData uri="http://schemas.microsoft.com/office/word/2010/wordprocessingShape">
                    <wps:wsp xmlns:wps="http://schemas.microsoft.com/office/word/2010/wordprocessingShape">
                      <wps:cNvCnPr/>
                      <wps:spPr>
                        <a:xfrm>
                          <a:off x="0" y="0"/>
                          <a:ext cx="5715000" cy="0"/>
                        </a:xfrm>
                        <a:prstGeom prst="line">
                          <a:avLst/>
                        </a:prstGeom>
                        <a:ln w="19050">
                          <a:solidFill>
                            <a:srgbClr val="000000"/>
                          </a:solidFill>
                          <a:headEnd/>
                          <a:tailEnd/>
                        </a:ln>
                      </wps:spPr>
                      <wps:bodyPr upright="1"/>
                    </wps:wsp>
                  </a:graphicData>
                </a:graphic>
              </wp:anchor>
            </w:drawing>
          </mc:Choice>
          <mc:Fallback>
            <w:pict>
              <v:line id="直线 23" o:spid="_x0000_s1026" style="mso-wrap-distance-bottom:0;mso-wrap-distance-left:9pt;mso-wrap-distance-right:9pt;mso-wrap-distance-top:0;position:absolute;v-text-anchor:top;z-index:251658240" from="9pt,5.4pt" to="459pt,5.4pt" wrapcoords="0 0 0 1 602 1 602 0" fillcolor="this" stroked="t" strokecolor="black" strokeweight="1.5pt">
                <w10:wrap type="tight"/>
              </v:line>
            </w:pict>
          </mc:Fallback>
        </mc:AlternateContent>
      </w:r>
      <w:r>
        <w:rPr>
          <w:rFonts w:hint="eastAsia"/>
          <w:b/>
          <w:bCs/>
          <w:sz w:val="30"/>
          <w:szCs w:val="30"/>
        </w:rPr>
        <w:t>日期：</w:t>
      </w:r>
      <w:r>
        <w:rPr>
          <w:rFonts w:hint="eastAsia"/>
          <w:b/>
          <w:bCs/>
          <w:sz w:val="30"/>
          <w:szCs w:val="30"/>
          <w:lang w:eastAsia="zh-CN"/>
        </w:rPr>
        <w:t>十二</w:t>
      </w:r>
      <w:r>
        <w:rPr>
          <w:rFonts w:hint="eastAsia"/>
          <w:b/>
          <w:bCs/>
          <w:sz w:val="30"/>
          <w:szCs w:val="30"/>
        </w:rPr>
        <w:t>月</w:t>
      </w:r>
      <w:r>
        <w:rPr>
          <w:rFonts w:hint="eastAsia"/>
          <w:b/>
          <w:bCs/>
          <w:sz w:val="30"/>
          <w:szCs w:val="30"/>
          <w:lang w:eastAsia="zh-CN"/>
        </w:rPr>
        <w:t>二十</w:t>
      </w:r>
      <w:r>
        <w:rPr>
          <w:rFonts w:hint="eastAsia"/>
          <w:b/>
          <w:bCs/>
          <w:sz w:val="30"/>
          <w:szCs w:val="30"/>
        </w:rPr>
        <w:t>日</w:t>
      </w:r>
    </w:p>
    <w:p>
      <w:pPr>
        <w:spacing w:line="360" w:lineRule="auto"/>
        <w:jc w:val="center"/>
        <w:rPr>
          <w:rFonts w:ascii="仿宋_GB2312" w:eastAsia="仿宋_GB2312"/>
          <w:szCs w:val="28"/>
        </w:rPr>
        <w:sectPr>
          <w:pgSz w:w="11906" w:h="16838"/>
          <w:pgMar w:top="1134" w:right="1134" w:bottom="1134" w:left="1418" w:header="851" w:footer="992" w:gutter="0"/>
          <w:pgNumType w:fmt="decimal" w:start="1"/>
          <w:cols w:num="1" w:space="425"/>
          <w:docGrid w:type="lines" w:linePitch="312" w:charSpace="0"/>
        </w:sectPr>
      </w:pPr>
    </w:p>
    <w:p>
      <w:pPr>
        <w:spacing w:line="500" w:lineRule="auto"/>
        <w:ind w:left="0" w:firstLine="0" w:leftChars="0" w:firstLineChars="0"/>
        <w:jc w:val="center"/>
      </w:pPr>
      <w:r>
        <w:rPr>
          <w:rFonts w:hint="eastAsia"/>
        </w:rPr>
        <w:t>目录</w:t>
      </w:r>
    </w:p>
    <w:p>
      <w:pPr>
        <w:pStyle w:val="TOC1"/>
        <w:tabs>
          <w:tab w:val="right" w:leader="dot" w:pos="9354"/>
        </w:tabs>
        <w:spacing w:line="500" w:lineRule="auto"/>
      </w:pPr>
      <w:r>
        <w:rPr>
          <w:rFonts w:ascii="仿宋_GB2312" w:eastAsia="仿宋_GB2312"/>
          <w:sz w:val="28"/>
          <w:szCs w:val="28"/>
        </w:rPr>
        <w:fldChar w:fldCharType="begin"/>
      </w:r>
      <w:r>
        <w:rPr>
          <w:rFonts w:ascii="仿宋_GB2312" w:eastAsia="仿宋_GB2312"/>
          <w:sz w:val="28"/>
          <w:szCs w:val="28"/>
        </w:rPr>
        <w:instrText xml:space="preserve"> TOC \o "1-3" \h \z \u </w:instrText>
      </w:r>
      <w:r>
        <w:rPr>
          <w:rFonts w:ascii="仿宋_GB2312" w:eastAsia="仿宋_GB2312"/>
          <w:sz w:val="28"/>
          <w:szCs w:val="28"/>
        </w:rPr>
        <w:fldChar w:fldCharType="separate"/>
      </w:r>
      <w:hyperlink w:anchor="_Toc3235" w:history="1">
        <w:r>
          <w:rPr>
            <w:rFonts w:ascii="仿宋_GB2312" w:eastAsia="仿宋_GB2312" w:hint="eastAsia"/>
            <w:b w:val="0"/>
            <w:bCs w:val="0"/>
            <w:szCs w:val="28"/>
          </w:rPr>
          <w:t>一、工程概况</w:t>
        </w:r>
        <w:r>
          <w:rPr>
            <w:b w:val="0"/>
            <w:bCs w:val="0"/>
          </w:rPr>
          <w:tab/>
        </w:r>
        <w:r>
          <w:rPr>
            <w:b w:val="0"/>
            <w:bCs w:val="0"/>
          </w:rPr>
          <w:fldChar w:fldCharType="begin"/>
        </w:r>
        <w:r>
          <w:rPr>
            <w:b w:val="0"/>
            <w:bCs w:val="0"/>
          </w:rPr>
          <w:instrText xml:space="preserve"> PAGEREF _Toc3235 </w:instrText>
        </w:r>
        <w:r>
          <w:rPr>
            <w:b w:val="0"/>
            <w:bCs w:val="0"/>
          </w:rPr>
          <w:fldChar w:fldCharType="separate"/>
        </w:r>
        <w:r>
          <w:rPr>
            <w:b w:val="0"/>
            <w:bCs w:val="0"/>
          </w:rPr>
          <w:t>1</w:t>
        </w:r>
        <w:r>
          <w:rPr>
            <w:b w:val="0"/>
            <w:bCs w:val="0"/>
          </w:rPr>
          <w:fldChar w:fldCharType="end"/>
        </w:r>
      </w:hyperlink>
    </w:p>
    <w:p>
      <w:pPr>
        <w:pStyle w:val="TOC2"/>
        <w:tabs>
          <w:tab w:val="right" w:leader="dot" w:pos="9354"/>
        </w:tabs>
        <w:spacing w:line="500" w:lineRule="auto"/>
      </w:pPr>
      <w:hyperlink w:anchor="_Toc24090" w:history="1">
        <w:r>
          <w:rPr>
            <w:rFonts w:hint="eastAsia"/>
            <w:lang w:val="en-US" w:eastAsia="zh-CN"/>
          </w:rPr>
          <w:t>（一） 工程简介</w:t>
        </w:r>
        <w:r>
          <w:tab/>
        </w:r>
        <w:r>
          <w:fldChar w:fldCharType="begin"/>
        </w:r>
        <w:r>
          <w:instrText xml:space="preserve"> PAGEREF _Toc24090 </w:instrText>
        </w:r>
        <w:r>
          <w:fldChar w:fldCharType="separate"/>
        </w:r>
        <w:r>
          <w:t>1</w:t>
        </w:r>
        <w:r>
          <w:fldChar w:fldCharType="end"/>
        </w:r>
      </w:hyperlink>
    </w:p>
    <w:p>
      <w:pPr>
        <w:pStyle w:val="TOC2"/>
        <w:tabs>
          <w:tab w:val="right" w:leader="dot" w:pos="9354"/>
        </w:tabs>
        <w:spacing w:line="500" w:lineRule="auto"/>
      </w:pPr>
      <w:hyperlink w:anchor="_Toc4127" w:history="1">
        <w:r>
          <w:rPr>
            <w:rFonts w:hint="eastAsia"/>
            <w:lang w:val="en-US" w:eastAsia="zh-CN"/>
          </w:rPr>
          <w:t>（二） 地形地貌</w:t>
        </w:r>
        <w:r>
          <w:tab/>
        </w:r>
        <w:r>
          <w:fldChar w:fldCharType="begin"/>
        </w:r>
        <w:r>
          <w:instrText xml:space="preserve"> PAGEREF _Toc4127 </w:instrText>
        </w:r>
        <w:r>
          <w:fldChar w:fldCharType="separate"/>
        </w:r>
        <w:r>
          <w:t>2</w:t>
        </w:r>
        <w:r>
          <w:fldChar w:fldCharType="end"/>
        </w:r>
      </w:hyperlink>
    </w:p>
    <w:p>
      <w:pPr>
        <w:pStyle w:val="TOC2"/>
        <w:tabs>
          <w:tab w:val="right" w:leader="dot" w:pos="9354"/>
        </w:tabs>
        <w:spacing w:line="500" w:lineRule="auto"/>
      </w:pPr>
      <w:hyperlink w:anchor="_Toc21318" w:history="1">
        <w:r>
          <w:rPr>
            <w:rFonts w:hint="eastAsia"/>
            <w:lang w:val="en-US" w:eastAsia="zh-CN"/>
          </w:rPr>
          <w:t>（三） 地质构造</w:t>
        </w:r>
        <w:r>
          <w:tab/>
        </w:r>
        <w:r>
          <w:fldChar w:fldCharType="begin"/>
        </w:r>
        <w:r>
          <w:instrText xml:space="preserve"> PAGEREF _Toc21318 </w:instrText>
        </w:r>
        <w:r>
          <w:fldChar w:fldCharType="separate"/>
        </w:r>
        <w:r>
          <w:t>2</w:t>
        </w:r>
        <w:r>
          <w:fldChar w:fldCharType="end"/>
        </w:r>
      </w:hyperlink>
    </w:p>
    <w:p>
      <w:pPr>
        <w:pStyle w:val="TOC2"/>
        <w:tabs>
          <w:tab w:val="right" w:leader="dot" w:pos="9354"/>
        </w:tabs>
        <w:spacing w:line="500" w:lineRule="auto"/>
      </w:pPr>
      <w:hyperlink w:anchor="_Toc22747" w:history="1">
        <w:r>
          <w:rPr>
            <w:rFonts w:hint="eastAsia"/>
            <w:lang w:val="en-US" w:eastAsia="zh-CN"/>
          </w:rPr>
          <w:t>（四） 气象水文</w:t>
        </w:r>
        <w:r>
          <w:tab/>
        </w:r>
        <w:r>
          <w:fldChar w:fldCharType="begin"/>
        </w:r>
        <w:r>
          <w:instrText xml:space="preserve"> PAGEREF _Toc22747 </w:instrText>
        </w:r>
        <w:r>
          <w:fldChar w:fldCharType="separate"/>
        </w:r>
        <w:r>
          <w:t>2</w:t>
        </w:r>
        <w:r>
          <w:fldChar w:fldCharType="end"/>
        </w:r>
      </w:hyperlink>
    </w:p>
    <w:p>
      <w:pPr>
        <w:pStyle w:val="TOC2"/>
        <w:tabs>
          <w:tab w:val="right" w:leader="dot" w:pos="9354"/>
        </w:tabs>
        <w:spacing w:line="500" w:lineRule="auto"/>
      </w:pPr>
      <w:hyperlink w:anchor="_Toc2795" w:history="1">
        <w:r>
          <w:rPr>
            <w:rFonts w:ascii="仿宋" w:eastAsia="仿宋" w:hAnsi="仿宋" w:cs="仿宋" w:hint="eastAsia"/>
            <w:szCs w:val="28"/>
            <w:lang w:val="en-US" w:eastAsia="zh-CN"/>
          </w:rPr>
          <w:t xml:space="preserve">（五） </w:t>
        </w:r>
        <w:r>
          <w:rPr>
            <w:rFonts w:hint="eastAsia"/>
            <w:bCs w:val="0"/>
            <w:szCs w:val="20"/>
          </w:rPr>
          <w:t>周边影响</w:t>
        </w:r>
        <w:r>
          <w:tab/>
        </w:r>
        <w:r>
          <w:fldChar w:fldCharType="begin"/>
        </w:r>
        <w:r>
          <w:instrText xml:space="preserve"> PAGEREF _Toc2795 </w:instrText>
        </w:r>
        <w:r>
          <w:fldChar w:fldCharType="separate"/>
        </w:r>
        <w:r>
          <w:t>4</w:t>
        </w:r>
        <w:r>
          <w:fldChar w:fldCharType="end"/>
        </w:r>
      </w:hyperlink>
    </w:p>
    <w:p>
      <w:pPr>
        <w:pStyle w:val="TOC2"/>
        <w:tabs>
          <w:tab w:val="right" w:leader="dot" w:pos="9354"/>
        </w:tabs>
        <w:spacing w:line="500" w:lineRule="auto"/>
      </w:pPr>
      <w:hyperlink w:anchor="_Toc23681" w:history="1">
        <w:r>
          <w:rPr>
            <w:rFonts w:hint="eastAsia"/>
          </w:rPr>
          <w:t>（六） 危险性较大的分部分项工程概况</w:t>
        </w:r>
        <w:r>
          <w:tab/>
        </w:r>
        <w:r>
          <w:fldChar w:fldCharType="begin"/>
        </w:r>
        <w:r>
          <w:instrText xml:space="preserve"> PAGEREF _Toc23681 </w:instrText>
        </w:r>
        <w:r>
          <w:fldChar w:fldCharType="separate"/>
        </w:r>
        <w:r>
          <w:t>4</w:t>
        </w:r>
        <w:r>
          <w:fldChar w:fldCharType="end"/>
        </w:r>
      </w:hyperlink>
    </w:p>
    <w:p>
      <w:pPr>
        <w:pStyle w:val="TOC2"/>
        <w:tabs>
          <w:tab w:val="right" w:leader="dot" w:pos="9354"/>
        </w:tabs>
        <w:spacing w:line="500" w:lineRule="auto"/>
      </w:pPr>
      <w:hyperlink w:anchor="_Toc24543" w:history="1">
        <w:r>
          <w:rPr>
            <w:rFonts w:hint="eastAsia"/>
          </w:rPr>
          <w:t>（七） 施工规定</w:t>
        </w:r>
        <w:r>
          <w:tab/>
        </w:r>
        <w:r>
          <w:fldChar w:fldCharType="begin"/>
        </w:r>
        <w:r>
          <w:instrText xml:space="preserve"> PAGEREF _Toc24543 </w:instrText>
        </w:r>
        <w:r>
          <w:fldChar w:fldCharType="separate"/>
        </w:r>
        <w:r>
          <w:t>5</w:t>
        </w:r>
        <w:r>
          <w:fldChar w:fldCharType="end"/>
        </w:r>
      </w:hyperlink>
    </w:p>
    <w:p>
      <w:pPr>
        <w:pStyle w:val="TOC2"/>
        <w:tabs>
          <w:tab w:val="right" w:leader="dot" w:pos="9354"/>
        </w:tabs>
        <w:spacing w:line="500" w:lineRule="auto"/>
      </w:pPr>
      <w:hyperlink w:anchor="_Toc7956" w:history="1">
        <w:r>
          <w:rPr>
            <w:rFonts w:hint="eastAsia"/>
          </w:rPr>
          <w:t>（八） 技术保证条件</w:t>
        </w:r>
        <w:r>
          <w:tab/>
        </w:r>
        <w:r>
          <w:fldChar w:fldCharType="begin"/>
        </w:r>
        <w:r>
          <w:instrText xml:space="preserve"> PAGEREF _Toc7956 </w:instrText>
        </w:r>
        <w:r>
          <w:fldChar w:fldCharType="separate"/>
        </w:r>
        <w:r>
          <w:t>6</w:t>
        </w:r>
        <w:r>
          <w:fldChar w:fldCharType="end"/>
        </w:r>
      </w:hyperlink>
    </w:p>
    <w:p>
      <w:pPr>
        <w:pStyle w:val="TOC1"/>
        <w:tabs>
          <w:tab w:val="right" w:leader="dot" w:pos="9354"/>
        </w:tabs>
        <w:spacing w:line="500" w:lineRule="auto"/>
      </w:pPr>
      <w:hyperlink w:anchor="_Toc12411" w:history="1">
        <w:r>
          <w:rPr>
            <w:rFonts w:hint="eastAsia"/>
          </w:rPr>
          <w:t>二、编制依据</w:t>
        </w:r>
        <w:r>
          <w:tab/>
        </w:r>
        <w:r>
          <w:fldChar w:fldCharType="begin"/>
        </w:r>
        <w:r>
          <w:instrText xml:space="preserve"> PAGEREF _Toc12411 </w:instrText>
        </w:r>
        <w:r>
          <w:fldChar w:fldCharType="separate"/>
        </w:r>
        <w:r>
          <w:t>6</w:t>
        </w:r>
        <w:r>
          <w:fldChar w:fldCharType="end"/>
        </w:r>
      </w:hyperlink>
    </w:p>
    <w:p>
      <w:pPr>
        <w:pStyle w:val="TOC1"/>
        <w:tabs>
          <w:tab w:val="right" w:leader="dot" w:pos="9354"/>
        </w:tabs>
        <w:spacing w:line="500" w:lineRule="auto"/>
      </w:pPr>
      <w:hyperlink w:anchor="_Toc20238" w:history="1">
        <w:r>
          <w:rPr>
            <w:rFonts w:hint="eastAsia"/>
          </w:rPr>
          <w:t>三、施工计划</w:t>
        </w:r>
        <w:r>
          <w:tab/>
        </w:r>
        <w:r>
          <w:fldChar w:fldCharType="begin"/>
        </w:r>
        <w:r>
          <w:instrText xml:space="preserve"> PAGEREF _Toc20238 </w:instrText>
        </w:r>
        <w:r>
          <w:fldChar w:fldCharType="separate"/>
        </w:r>
        <w:r>
          <w:t>8</w:t>
        </w:r>
        <w:r>
          <w:fldChar w:fldCharType="end"/>
        </w:r>
      </w:hyperlink>
    </w:p>
    <w:p>
      <w:pPr>
        <w:pStyle w:val="TOC2"/>
        <w:tabs>
          <w:tab w:val="right" w:leader="dot" w:pos="9354"/>
        </w:tabs>
        <w:spacing w:line="500" w:lineRule="auto"/>
      </w:pPr>
      <w:hyperlink w:anchor="_Toc190" w:history="1">
        <w:r>
          <w:rPr>
            <w:rFonts w:hint="eastAsia"/>
          </w:rPr>
          <w:t>（一） 施工进度计划</w:t>
        </w:r>
        <w:r>
          <w:tab/>
        </w:r>
        <w:r>
          <w:fldChar w:fldCharType="begin"/>
        </w:r>
        <w:r>
          <w:instrText xml:space="preserve"> PAGEREF _Toc190 </w:instrText>
        </w:r>
        <w:r>
          <w:fldChar w:fldCharType="separate"/>
        </w:r>
        <w:r>
          <w:t>8</w:t>
        </w:r>
        <w:r>
          <w:fldChar w:fldCharType="end"/>
        </w:r>
      </w:hyperlink>
    </w:p>
    <w:p>
      <w:pPr>
        <w:pStyle w:val="TOC2"/>
        <w:tabs>
          <w:tab w:val="right" w:leader="dot" w:pos="9354"/>
        </w:tabs>
        <w:spacing w:line="500" w:lineRule="auto"/>
      </w:pPr>
      <w:hyperlink w:anchor="_Toc32284" w:history="1">
        <w:r>
          <w:rPr>
            <w:rFonts w:hint="eastAsia"/>
          </w:rPr>
          <w:t>（二） 材料与设备计划</w:t>
        </w:r>
        <w:r>
          <w:tab/>
        </w:r>
        <w:r>
          <w:fldChar w:fldCharType="begin"/>
        </w:r>
        <w:r>
          <w:instrText xml:space="preserve"> PAGEREF _Toc32284 </w:instrText>
        </w:r>
        <w:r>
          <w:fldChar w:fldCharType="separate"/>
        </w:r>
        <w:r>
          <w:t>8</w:t>
        </w:r>
        <w:r>
          <w:fldChar w:fldCharType="end"/>
        </w:r>
      </w:hyperlink>
    </w:p>
    <w:p>
      <w:pPr>
        <w:pStyle w:val="TOC1"/>
        <w:tabs>
          <w:tab w:val="right" w:leader="dot" w:pos="9354"/>
        </w:tabs>
        <w:spacing w:line="500" w:lineRule="auto"/>
      </w:pPr>
      <w:hyperlink w:anchor="_Toc24237" w:history="1">
        <w:r>
          <w:rPr>
            <w:rFonts w:hint="eastAsia"/>
          </w:rPr>
          <w:t>四、施工工艺技术</w:t>
        </w:r>
        <w:r>
          <w:tab/>
        </w:r>
        <w:r>
          <w:fldChar w:fldCharType="begin"/>
        </w:r>
        <w:r>
          <w:instrText xml:space="preserve"> PAGEREF _Toc24237 </w:instrText>
        </w:r>
        <w:r>
          <w:fldChar w:fldCharType="separate"/>
        </w:r>
        <w:r>
          <w:t>10</w:t>
        </w:r>
        <w:r>
          <w:fldChar w:fldCharType="end"/>
        </w:r>
      </w:hyperlink>
    </w:p>
    <w:p>
      <w:pPr>
        <w:pStyle w:val="TOC2"/>
        <w:tabs>
          <w:tab w:val="right" w:leader="dot" w:pos="9354"/>
        </w:tabs>
        <w:spacing w:line="500" w:lineRule="auto"/>
      </w:pPr>
      <w:hyperlink w:anchor="_Toc12589" w:history="1">
        <w:r>
          <w:rPr>
            <w:rFonts w:hint="eastAsia"/>
          </w:rPr>
          <w:t>（一） 技术参数</w:t>
        </w:r>
        <w:r>
          <w:tab/>
        </w:r>
        <w:r>
          <w:fldChar w:fldCharType="begin"/>
        </w:r>
        <w:r>
          <w:instrText xml:space="preserve"> PAGEREF _Toc12589 </w:instrText>
        </w:r>
        <w:r>
          <w:fldChar w:fldCharType="separate"/>
        </w:r>
        <w:r>
          <w:t>10</w:t>
        </w:r>
        <w:r>
          <w:fldChar w:fldCharType="end"/>
        </w:r>
      </w:hyperlink>
    </w:p>
    <w:p>
      <w:pPr>
        <w:pStyle w:val="TOC2"/>
        <w:tabs>
          <w:tab w:val="right" w:leader="dot" w:pos="9354"/>
        </w:tabs>
        <w:spacing w:line="500" w:lineRule="auto"/>
        <w:sectPr>
          <w:pgSz w:w="11906" w:h="16838"/>
          <w:pgMar w:top="1134" w:right="1134" w:bottom="1134" w:left="1418" w:header="851" w:footer="992" w:gutter="0"/>
          <w:pgNumType w:fmt="decimal" w:start="2"/>
          <w:cols w:num="1" w:space="425"/>
          <w:docGrid w:type="lines" w:linePitch="312" w:charSpace="0"/>
        </w:sectPr>
      </w:pPr>
      <w:hyperlink w:anchor="_Toc8837" w:history="1">
        <w:r>
          <w:rPr>
            <w:rFonts w:hint="eastAsia"/>
          </w:rPr>
          <w:t>（二） 工艺流程</w:t>
        </w:r>
        <w:r>
          <w:tab/>
        </w:r>
        <w:r>
          <w:fldChar w:fldCharType="begin"/>
        </w:r>
        <w:r>
          <w:instrText xml:space="preserve"> PAGEREF _Toc8837 </w:instrText>
        </w:r>
        <w:r>
          <w:fldChar w:fldCharType="separate"/>
        </w:r>
        <w:r>
          <w:t>13</w:t>
        </w:r>
        <w:r>
          <w:fldChar w:fldCharType="end"/>
        </w:r>
      </w:hyperlink>
    </w:p>
    <w:p>
      <w:pPr>
        <w:pStyle w:val="TOC2"/>
        <w:tabs>
          <w:tab w:val="right" w:leader="dot" w:pos="9354"/>
        </w:tabs>
        <w:spacing w:line="500" w:lineRule="auto"/>
      </w:pPr>
      <w:hyperlink w:anchor="_Toc933" w:history="1">
        <w:r>
          <w:rPr>
            <w:rFonts w:hint="eastAsia"/>
          </w:rPr>
          <w:t>（三） 施工方法</w:t>
        </w:r>
        <w:r>
          <w:tab/>
        </w:r>
        <w:r>
          <w:fldChar w:fldCharType="begin"/>
        </w:r>
        <w:r>
          <w:instrText xml:space="preserve"> PAGEREF _Toc933 </w:instrText>
        </w:r>
        <w:r>
          <w:fldChar w:fldCharType="separate"/>
        </w:r>
        <w:r>
          <w:t>13</w:t>
        </w:r>
        <w:r>
          <w:fldChar w:fldCharType="end"/>
        </w:r>
      </w:hyperlink>
    </w:p>
    <w:p>
      <w:pPr>
        <w:pStyle w:val="TOC2"/>
        <w:tabs>
          <w:tab w:val="right" w:leader="dot" w:pos="9354"/>
        </w:tabs>
        <w:spacing w:line="500" w:lineRule="auto"/>
      </w:pPr>
      <w:hyperlink w:anchor="_Toc7136" w:history="1">
        <w:r>
          <w:rPr>
            <w:rFonts w:hint="eastAsia"/>
          </w:rPr>
          <w:t>（四） 检查验收</w:t>
        </w:r>
        <w:r>
          <w:tab/>
        </w:r>
        <w:r>
          <w:fldChar w:fldCharType="begin"/>
        </w:r>
        <w:r>
          <w:instrText xml:space="preserve"> PAGEREF _Toc7136 </w:instrText>
        </w:r>
        <w:r>
          <w:fldChar w:fldCharType="separate"/>
        </w:r>
        <w:r>
          <w:t>39</w:t>
        </w:r>
        <w:r>
          <w:fldChar w:fldCharType="end"/>
        </w:r>
      </w:hyperlink>
    </w:p>
    <w:p>
      <w:pPr>
        <w:pStyle w:val="TOC1"/>
        <w:tabs>
          <w:tab w:val="right" w:leader="dot" w:pos="9354"/>
        </w:tabs>
        <w:spacing w:line="500" w:lineRule="auto"/>
      </w:pPr>
      <w:hyperlink w:anchor="_Toc11207" w:history="1">
        <w:r>
          <w:rPr>
            <w:rFonts w:hint="eastAsia"/>
          </w:rPr>
          <w:t>五、施工安全保障措施</w:t>
        </w:r>
        <w:r>
          <w:tab/>
        </w:r>
        <w:r>
          <w:fldChar w:fldCharType="begin"/>
        </w:r>
        <w:r>
          <w:instrText xml:space="preserve"> PAGEREF _Toc11207 </w:instrText>
        </w:r>
        <w:r>
          <w:fldChar w:fldCharType="separate"/>
        </w:r>
        <w:r>
          <w:t>42</w:t>
        </w:r>
        <w:r>
          <w:fldChar w:fldCharType="end"/>
        </w:r>
      </w:hyperlink>
    </w:p>
    <w:p>
      <w:pPr>
        <w:pStyle w:val="TOC2"/>
        <w:tabs>
          <w:tab w:val="right" w:leader="dot" w:pos="9354"/>
        </w:tabs>
        <w:spacing w:line="500" w:lineRule="auto"/>
      </w:pPr>
      <w:hyperlink w:anchor="_Toc23659" w:history="1">
        <w:r>
          <w:rPr>
            <w:rFonts w:hint="eastAsia"/>
          </w:rPr>
          <w:t>（一） 组织保障</w:t>
        </w:r>
        <w:r>
          <w:tab/>
        </w:r>
        <w:r>
          <w:fldChar w:fldCharType="begin"/>
        </w:r>
        <w:r>
          <w:instrText xml:space="preserve"> PAGEREF _Toc23659 </w:instrText>
        </w:r>
        <w:r>
          <w:fldChar w:fldCharType="separate"/>
        </w:r>
        <w:r>
          <w:t>42</w:t>
        </w:r>
        <w:r>
          <w:fldChar w:fldCharType="end"/>
        </w:r>
      </w:hyperlink>
    </w:p>
    <w:p>
      <w:pPr>
        <w:pStyle w:val="TOC2"/>
        <w:tabs>
          <w:tab w:val="right" w:leader="dot" w:pos="9354"/>
        </w:tabs>
        <w:rPr>
          <w:rFonts w:ascii="仿宋_GB2312" w:eastAsia="仿宋_GB2312"/>
          <w:szCs w:val="28"/>
        </w:rPr>
        <w:sectPr>
          <w:type w:val="nextPage"/>
          <w:pgSz w:w="11906" w:h="16838"/>
          <w:pgMar w:top="1134" w:right="1134" w:bottom="1134" w:left="1418" w:header="851" w:footer="992" w:gutter="0"/>
          <w:pgNumType w:fmt="decimal" w:start="3"/>
          <w:cols w:num="1" w:space="425"/>
          <w:titlePg w:val="0"/>
          <w:docGrid w:type="lines" w:linePitch="312" w:charSpace="0"/>
        </w:sectPr>
      </w:pPr>
    </w:p>
    <w:p>
      <w:pPr>
        <w:pStyle w:val="TOC2"/>
        <w:tabs>
          <w:tab w:val="right" w:leader="dot" w:pos="9354"/>
        </w:tabs>
        <w:spacing w:line="500" w:lineRule="auto"/>
      </w:pPr>
      <w:hyperlink w:anchor="_Toc22502" w:history="1">
        <w:r>
          <w:rPr>
            <w:rFonts w:hint="eastAsia"/>
          </w:rPr>
          <w:t>（二） 技术措施</w:t>
        </w:r>
        <w:r>
          <w:tab/>
        </w:r>
        <w:r>
          <w:fldChar w:fldCharType="begin"/>
        </w:r>
        <w:r>
          <w:instrText xml:space="preserve"> PAGEREF _Toc22502 </w:instrText>
        </w:r>
        <w:r>
          <w:fldChar w:fldCharType="separate"/>
        </w:r>
        <w:r>
          <w:t>44</w:t>
        </w:r>
        <w:r>
          <w:fldChar w:fldCharType="end"/>
        </w:r>
      </w:hyperlink>
    </w:p>
    <w:p>
      <w:pPr>
        <w:pStyle w:val="TOC2"/>
        <w:tabs>
          <w:tab w:val="right" w:leader="dot" w:pos="9354"/>
        </w:tabs>
        <w:spacing w:line="500" w:lineRule="auto"/>
      </w:pPr>
      <w:hyperlink w:anchor="_Toc29172" w:history="1">
        <w:r>
          <w:rPr>
            <w:rFonts w:hint="eastAsia"/>
          </w:rPr>
          <w:t>（三） 应急预案</w:t>
        </w:r>
        <w:r>
          <w:tab/>
        </w:r>
        <w:r>
          <w:fldChar w:fldCharType="begin"/>
        </w:r>
        <w:r>
          <w:instrText xml:space="preserve"> PAGEREF _Toc29172 </w:instrText>
        </w:r>
        <w:r>
          <w:fldChar w:fldCharType="separate"/>
        </w:r>
        <w:r>
          <w:t>56</w:t>
        </w:r>
        <w:r>
          <w:fldChar w:fldCharType="end"/>
        </w:r>
      </w:hyperlink>
    </w:p>
    <w:p>
      <w:pPr>
        <w:pStyle w:val="TOC2"/>
        <w:tabs>
          <w:tab w:val="right" w:leader="dot" w:pos="9354"/>
        </w:tabs>
        <w:spacing w:line="500" w:lineRule="auto"/>
      </w:pPr>
      <w:hyperlink w:anchor="_Toc8251" w:history="1">
        <w:r>
          <w:rPr>
            <w:rFonts w:hint="eastAsia"/>
          </w:rPr>
          <w:t>（四） 监测监控</w:t>
        </w:r>
        <w:r>
          <w:tab/>
        </w:r>
        <w:r>
          <w:fldChar w:fldCharType="begin"/>
        </w:r>
        <w:r>
          <w:instrText xml:space="preserve"> PAGEREF _Toc8251 </w:instrText>
        </w:r>
        <w:r>
          <w:fldChar w:fldCharType="separate"/>
        </w:r>
        <w:r>
          <w:t>63</w:t>
        </w:r>
        <w:r>
          <w:fldChar w:fldCharType="end"/>
        </w:r>
      </w:hyperlink>
    </w:p>
    <w:p>
      <w:pPr>
        <w:pStyle w:val="TOC1"/>
        <w:tabs>
          <w:tab w:val="right" w:leader="dot" w:pos="9354"/>
        </w:tabs>
        <w:spacing w:line="500" w:lineRule="auto"/>
      </w:pPr>
      <w:hyperlink w:anchor="_Toc31299" w:history="1">
        <w:r>
          <w:rPr>
            <w:rFonts w:hint="eastAsia"/>
          </w:rPr>
          <w:t>六、劳动力计划</w:t>
        </w:r>
        <w:r>
          <w:tab/>
        </w:r>
        <w:r>
          <w:fldChar w:fldCharType="begin"/>
        </w:r>
        <w:r>
          <w:instrText xml:space="preserve"> PAGEREF _Toc31299 </w:instrText>
        </w:r>
        <w:r>
          <w:fldChar w:fldCharType="separate"/>
        </w:r>
        <w:r>
          <w:t>71</w:t>
        </w:r>
        <w:r>
          <w:fldChar w:fldCharType="end"/>
        </w:r>
      </w:hyperlink>
    </w:p>
    <w:p>
      <w:pPr>
        <w:pStyle w:val="TOC2"/>
        <w:tabs>
          <w:tab w:val="right" w:leader="dot" w:pos="9354"/>
        </w:tabs>
        <w:spacing w:line="500" w:lineRule="auto"/>
      </w:pPr>
      <w:hyperlink w:anchor="_Toc28417" w:history="1">
        <w:r>
          <w:rPr>
            <w:rFonts w:hint="eastAsia"/>
          </w:rPr>
          <w:t>（一） 劳动力配置</w:t>
        </w:r>
        <w:r>
          <w:tab/>
        </w:r>
        <w:r>
          <w:fldChar w:fldCharType="begin"/>
        </w:r>
        <w:r>
          <w:instrText xml:space="preserve"> PAGEREF _Toc28417 </w:instrText>
        </w:r>
        <w:r>
          <w:fldChar w:fldCharType="separate"/>
        </w:r>
        <w:r>
          <w:t>71</w:t>
        </w:r>
        <w:r>
          <w:fldChar w:fldCharType="end"/>
        </w:r>
      </w:hyperlink>
    </w:p>
    <w:p>
      <w:pPr>
        <w:pStyle w:val="TOC2"/>
        <w:tabs>
          <w:tab w:val="right" w:leader="dot" w:pos="9354"/>
        </w:tabs>
        <w:spacing w:line="500" w:lineRule="auto"/>
      </w:pPr>
      <w:hyperlink w:anchor="_Toc13299" w:history="1">
        <w:r>
          <w:rPr>
            <w:rFonts w:hint="eastAsia"/>
          </w:rPr>
          <w:t>（二） 专职安全生产管理人员配置</w:t>
        </w:r>
        <w:r>
          <w:tab/>
        </w:r>
        <w:r>
          <w:fldChar w:fldCharType="begin"/>
        </w:r>
        <w:r>
          <w:instrText xml:space="preserve"> PAGEREF _Toc13299 </w:instrText>
        </w:r>
        <w:r>
          <w:fldChar w:fldCharType="separate"/>
        </w:r>
        <w:r>
          <w:t>71</w:t>
        </w:r>
        <w:r>
          <w:fldChar w:fldCharType="end"/>
        </w:r>
      </w:hyperlink>
    </w:p>
    <w:p>
      <w:pPr>
        <w:pStyle w:val="TOC2"/>
        <w:tabs>
          <w:tab w:val="right" w:leader="dot" w:pos="9354"/>
        </w:tabs>
        <w:spacing w:line="500" w:lineRule="auto"/>
      </w:pPr>
      <w:hyperlink w:anchor="_Toc14477" w:history="1">
        <w:r>
          <w:rPr>
            <w:rFonts w:hint="eastAsia"/>
          </w:rPr>
          <w:t>（三） 特种作业人员配置</w:t>
        </w:r>
        <w:r>
          <w:tab/>
        </w:r>
        <w:r>
          <w:fldChar w:fldCharType="begin"/>
        </w:r>
        <w:r>
          <w:instrText xml:space="preserve"> PAGEREF _Toc14477 </w:instrText>
        </w:r>
        <w:r>
          <w:fldChar w:fldCharType="separate"/>
        </w:r>
        <w:r>
          <w:t>71</w:t>
        </w:r>
        <w:r>
          <w:fldChar w:fldCharType="end"/>
        </w:r>
      </w:hyperlink>
    </w:p>
    <w:p>
      <w:pPr>
        <w:pStyle w:val="TOC1"/>
        <w:tabs>
          <w:tab w:val="right" w:leader="dot" w:pos="9354"/>
        </w:tabs>
        <w:spacing w:line="500" w:lineRule="auto"/>
      </w:pPr>
      <w:hyperlink w:anchor="_Toc14749" w:history="1">
        <w:r>
          <w:rPr>
            <w:rFonts w:hint="eastAsia"/>
          </w:rPr>
          <w:t>七、图纸</w:t>
        </w:r>
        <w:r>
          <w:tab/>
        </w:r>
        <w:r>
          <w:fldChar w:fldCharType="begin"/>
        </w:r>
        <w:r>
          <w:instrText xml:space="preserve"> PAGEREF _Toc14749 </w:instrText>
        </w:r>
        <w:r>
          <w:fldChar w:fldCharType="separate"/>
        </w:r>
        <w:r>
          <w:t>71</w:t>
        </w:r>
        <w:r>
          <w:fldChar w:fldCharType="end"/>
        </w:r>
      </w:hyperlink>
    </w:p>
    <w:p>
      <w:pPr>
        <w:pStyle w:val="Heading1"/>
        <w:rPr>
          <w:rFonts w:ascii="仿宋_GB2312" w:eastAsia="仿宋_GB2312"/>
          <w:szCs w:val="28"/>
        </w:rPr>
        <w:sectPr>
          <w:pgSz w:w="11906" w:h="16838"/>
          <w:pgMar w:top="1134" w:right="1134" w:bottom="1134" w:left="1418" w:header="851" w:footer="992" w:gutter="0"/>
          <w:pgNumType w:fmt="decimal" w:start="4"/>
          <w:cols w:num="1" w:space="425"/>
          <w:docGrid w:type="lines" w:linePitch="312" w:charSpace="0"/>
        </w:sectPr>
      </w:pPr>
      <w:r>
        <w:rPr>
          <w:rFonts w:ascii="仿宋_GB2312" w:eastAsia="仿宋_GB2312"/>
          <w:szCs w:val="28"/>
        </w:rPr>
        <w:fldChar w:fldCharType="end"/>
      </w:r>
      <w:bookmarkStart w:id="0" w:name="_Toc3235"/>
    </w:p>
    <w:p>
      <w:pPr>
        <w:pStyle w:val="Heading1"/>
        <w:spacing w:line="500" w:lineRule="auto"/>
        <w:rPr>
          <w:rFonts w:ascii="仿宋_GB2312" w:eastAsia="仿宋_GB2312"/>
          <w:sz w:val="28"/>
          <w:szCs w:val="28"/>
        </w:rPr>
      </w:pPr>
      <w:r>
        <w:rPr>
          <w:rFonts w:ascii="仿宋_GB2312" w:eastAsia="仿宋_GB2312" w:hint="eastAsia"/>
          <w:b/>
          <w:sz w:val="28"/>
          <w:szCs w:val="28"/>
        </w:rPr>
        <w:t>一、工程概况</w:t>
      </w:r>
      <w:bookmarkEnd w:id="0"/>
    </w:p>
    <w:p>
      <w:pPr>
        <w:pStyle w:val="Heading2"/>
        <w:numPr>
          <w:ilvl w:val="0"/>
          <w:numId w:val="30"/>
        </w:numPr>
        <w:spacing w:line="500" w:lineRule="auto"/>
        <w:ind w:left="0" w:firstLine="420" w:leftChars="0" w:firstLineChars="0"/>
        <w:rPr>
          <w:rFonts w:hint="eastAsia"/>
          <w:lang w:val="en-US" w:eastAsia="zh-CN"/>
        </w:rPr>
      </w:pPr>
      <w:bookmarkStart w:id="1" w:name="_Toc24090"/>
      <w:bookmarkStart w:id="2" w:name="_Toc9069"/>
      <w:bookmarkStart w:id="3" w:name="_Toc26448"/>
      <w:bookmarkStart w:id="4" w:name="_Toc22387"/>
      <w:r>
        <w:rPr>
          <w:rFonts w:hint="eastAsia"/>
          <w:lang w:val="en-US" w:eastAsia="zh-CN"/>
        </w:rPr>
        <w:t>工程简介</w:t>
      </w:r>
      <w:bookmarkEnd w:id="1"/>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重庆水土嘉陵江大桥工程位于距嘉陵江与长江汇合点40 km处的嘉陵江上，大桥连接两江新区水土组团和北碚蔡家组团。重庆水土嘉陵江大桥工程属于水土嘉陵江大桥及引道工程跨越嘉陵江的部分。</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重庆水土嘉陵江大桥长972m，主跨388m。由60+60+60m等梁高变宽截面连续刚构引桥和260+388+128m高低塔双索面混凝土斜拉桥主桥构成；</w:t>
      </w:r>
      <w:r>
        <w:rPr>
          <w:rFonts w:ascii="仿宋" w:hAnsi="仿宋" w:cs="仿宋" w:hint="eastAsia"/>
          <w:sz w:val="28"/>
          <w:szCs w:val="28"/>
          <w:lang w:val="en-US" w:eastAsia="zh-CN"/>
        </w:rPr>
        <w:t>大桥基础由A0桥台、P1、P2、P3、P4、P5（高墩）、P6（矮墩）、A7桥台共7个墩台组成，其中P4墩、P5墩、P6墩为土围堰施工，其余墩台均为深基坑土石方开挖，深基坑方案已于2023年9月22日通过评审具体详见本工程《水土嘉陵江大桥深基坑开挖安全专项施工方案》。</w:t>
      </w:r>
    </w:p>
    <w:p>
      <w:pPr>
        <w:spacing w:line="500" w:lineRule="auto"/>
        <w:ind w:firstLine="420" w:firstLineChars="150"/>
        <w:rPr>
          <w:rFonts w:ascii="宋体" w:hAnsi="宋体" w:hint="eastAsia"/>
          <w:b/>
          <w:color w:val="auto"/>
          <w:szCs w:val="28"/>
        </w:rPr>
      </w:pPr>
      <w:r>
        <w:rPr>
          <w:rFonts w:ascii="仿宋" w:eastAsia="仿宋" w:hAnsi="仿宋" w:cs="仿宋" w:hint="eastAsia"/>
          <w:color w:val="auto"/>
          <w:sz w:val="28"/>
          <w:szCs w:val="28"/>
          <w:lang w:val="en-US" w:eastAsia="zh-CN"/>
        </w:rPr>
        <w:t>在</w:t>
      </w:r>
      <w:r>
        <w:rPr>
          <w:rFonts w:ascii="仿宋" w:hAnsi="仿宋" w:cs="仿宋" w:hint="eastAsia"/>
          <w:color w:val="auto"/>
          <w:sz w:val="28"/>
          <w:szCs w:val="28"/>
          <w:lang w:val="en-US" w:eastAsia="zh-CN"/>
        </w:rPr>
        <w:t>P6#墩</w:t>
      </w:r>
      <w:r>
        <w:rPr>
          <w:rFonts w:ascii="仿宋" w:eastAsia="仿宋" w:hAnsi="仿宋" w:cs="仿宋" w:hint="eastAsia"/>
          <w:color w:val="auto"/>
          <w:sz w:val="28"/>
          <w:szCs w:val="28"/>
          <w:lang w:val="en-US" w:eastAsia="zh-CN"/>
        </w:rPr>
        <w:t>边坡防护施工过程中，发现P6桥墩顺桥向斜坡表层覆土与勘察报告调绘推测岩土界面有差异。为保证桥墩斜坡稳定及桥梁结构安全，保障现状</w:t>
      </w:r>
      <w:r>
        <w:rPr>
          <w:rFonts w:ascii="仿宋" w:hAnsi="仿宋" w:cs="仿宋" w:hint="eastAsia"/>
          <w:color w:val="auto"/>
          <w:sz w:val="28"/>
          <w:szCs w:val="28"/>
          <w:lang w:val="en-US" w:eastAsia="zh-CN"/>
        </w:rPr>
        <w:t>土两路</w:t>
      </w:r>
      <w:r>
        <w:rPr>
          <w:rFonts w:ascii="仿宋" w:eastAsia="仿宋" w:hAnsi="仿宋" w:cs="仿宋" w:hint="eastAsia"/>
          <w:color w:val="auto"/>
          <w:sz w:val="28"/>
          <w:szCs w:val="28"/>
          <w:lang w:val="en-US" w:eastAsia="zh-CN"/>
        </w:rPr>
        <w:t>的正常通行，经参建各单位</w:t>
      </w:r>
      <w:r>
        <w:rPr>
          <w:rFonts w:ascii="仿宋" w:hAnsi="仿宋" w:cs="仿宋" w:hint="eastAsia"/>
          <w:color w:val="auto"/>
          <w:sz w:val="28"/>
          <w:szCs w:val="28"/>
          <w:lang w:val="en-US" w:eastAsia="zh-CN"/>
        </w:rPr>
        <w:t>多次</w:t>
      </w:r>
      <w:r>
        <w:rPr>
          <w:rFonts w:ascii="仿宋" w:eastAsia="仿宋" w:hAnsi="仿宋" w:cs="仿宋" w:hint="eastAsia"/>
          <w:color w:val="auto"/>
          <w:sz w:val="28"/>
          <w:szCs w:val="28"/>
          <w:lang w:val="en-US" w:eastAsia="zh-CN"/>
        </w:rPr>
        <w:t>查看现场</w:t>
      </w:r>
      <w:r>
        <w:rPr>
          <w:rFonts w:ascii="仿宋" w:hAnsi="仿宋" w:cs="仿宋" w:hint="eastAsia"/>
          <w:color w:val="auto"/>
          <w:sz w:val="28"/>
          <w:szCs w:val="28"/>
          <w:lang w:val="en-US" w:eastAsia="zh-CN"/>
        </w:rPr>
        <w:t>并经会议讨论拟定</w:t>
      </w:r>
      <w:r>
        <w:rPr>
          <w:rFonts w:ascii="仿宋" w:eastAsia="仿宋" w:hAnsi="仿宋" w:cs="仿宋" w:hint="eastAsia"/>
          <w:color w:val="auto"/>
          <w:sz w:val="28"/>
          <w:szCs w:val="28"/>
          <w:lang w:val="en-US" w:eastAsia="zh-CN"/>
        </w:rPr>
        <w:t>，</w:t>
      </w:r>
      <w:r>
        <w:rPr>
          <w:rFonts w:ascii="仿宋" w:hAnsi="仿宋" w:cs="仿宋" w:hint="eastAsia"/>
          <w:color w:val="auto"/>
          <w:sz w:val="28"/>
          <w:szCs w:val="28"/>
          <w:lang w:val="en-US" w:eastAsia="zh-CN"/>
        </w:rPr>
        <w:t>决定将</w:t>
      </w:r>
      <w:r>
        <w:rPr>
          <w:rFonts w:hint="eastAsia"/>
          <w:color w:val="auto"/>
          <w:szCs w:val="28"/>
          <w:lang w:val="en-US" w:eastAsia="zh-CN"/>
        </w:rPr>
        <w:t>原边坡锚杆喷射砼支护设计变更为抗滑桩加格架式锚杆支护的设计方案。</w:t>
      </w:r>
    </w:p>
    <w:p>
      <w:pPr>
        <w:spacing w:before="156" w:beforeLines="50" w:line="500" w:lineRule="auto"/>
        <w:ind w:firstLine="573"/>
        <w:rPr>
          <w:rFonts w:ascii="宋体" w:hAnsi="宋体" w:hint="eastAsia"/>
          <w:szCs w:val="20"/>
        </w:rPr>
        <w:sectPr>
          <w:pgSz w:w="11906" w:h="16838"/>
          <w:pgMar w:top="1134" w:right="1134" w:bottom="1134" w:left="1418" w:header="851" w:footer="992" w:gutter="0"/>
          <w:pgNumType w:fmt="decimal" w:start="1"/>
          <w:cols w:num="1" w:space="425"/>
          <w:docGrid w:type="lines" w:linePitch="312" w:charSpace="0"/>
        </w:sectPr>
      </w:pPr>
      <w:r>
        <w:rPr>
          <w:rFonts w:ascii="宋体" w:hAnsi="宋体" w:hint="eastAsia"/>
          <w:szCs w:val="20"/>
          <w:lang w:val="en-US" w:eastAsia="zh-CN"/>
        </w:rPr>
        <w:t>P6上游侧桥墩边坡采用</w:t>
      </w:r>
      <w:r>
        <w:rPr>
          <w:rFonts w:ascii="宋体" w:hAnsi="宋体" w:hint="eastAsia"/>
          <w:szCs w:val="20"/>
          <w:lang w:eastAsia="zh-CN"/>
        </w:rPr>
        <w:t>边坡中下部</w:t>
      </w:r>
      <w:r>
        <w:rPr>
          <w:rFonts w:ascii="宋体" w:hAnsi="宋体" w:hint="eastAsia"/>
          <w:szCs w:val="20"/>
        </w:rPr>
        <w:t>抗滑桩+坡面格架护坡支护。抗滑桩设立</w:t>
      </w:r>
      <w:r>
        <w:rPr>
          <w:rFonts w:ascii="宋体" w:hAnsi="宋体" w:hint="eastAsia"/>
          <w:szCs w:val="20"/>
          <w:lang w:eastAsia="zh-CN"/>
        </w:rPr>
        <w:t>在现有施工便道岸侧坡脚处</w:t>
      </w:r>
      <w:r>
        <w:rPr>
          <w:rFonts w:ascii="宋体" w:hAnsi="宋体" w:hint="eastAsia"/>
          <w:szCs w:val="20"/>
        </w:rPr>
        <w:t>，</w:t>
      </w:r>
      <w:r>
        <w:rPr>
          <w:rFonts w:ascii="宋体" w:hAnsi="宋体" w:hint="eastAsia"/>
          <w:szCs w:val="20"/>
          <w:lang w:eastAsia="zh-CN"/>
        </w:rPr>
        <w:t>桩间用挡土板连接，</w:t>
      </w:r>
      <w:r>
        <w:rPr>
          <w:rFonts w:ascii="宋体" w:hAnsi="宋体" w:hint="eastAsia"/>
          <w:szCs w:val="20"/>
        </w:rPr>
        <w:t>在桩顶设立钢筋混凝土顶梁，顶梁与桩同宽，高0.8m。桩基、</w:t>
      </w:r>
      <w:r>
        <w:rPr>
          <w:rFonts w:ascii="宋体" w:hAnsi="宋体" w:hint="eastAsia"/>
          <w:szCs w:val="20"/>
          <w:lang w:eastAsia="zh-CN"/>
        </w:rPr>
        <w:t>挡土板、</w:t>
      </w:r>
      <w:r>
        <w:rPr>
          <w:rFonts w:ascii="宋体" w:hAnsi="宋体" w:hint="eastAsia"/>
          <w:szCs w:val="20"/>
        </w:rPr>
        <w:t>顶梁均采用C30钢筋混凝土浇筑，桩基尺寸为Φ</w:t>
      </w:r>
      <w:r>
        <w:rPr>
          <w:rFonts w:ascii="宋体" w:hAnsi="宋体" w:hint="eastAsia"/>
          <w:szCs w:val="20"/>
          <w:lang w:val="en-US" w:eastAsia="zh-CN"/>
        </w:rPr>
        <w:t>1.5</w:t>
      </w:r>
      <w:r>
        <w:rPr>
          <w:rFonts w:ascii="宋体" w:hAnsi="宋体" w:hint="eastAsia"/>
          <w:szCs w:val="20"/>
        </w:rPr>
        <w:t>m，中心距为</w:t>
      </w:r>
      <w:r>
        <w:rPr>
          <w:rFonts w:ascii="宋体" w:hAnsi="宋体" w:hint="eastAsia"/>
          <w:szCs w:val="20"/>
          <w:lang w:val="en-US" w:eastAsia="zh-CN"/>
        </w:rPr>
        <w:t>4</w:t>
      </w:r>
      <w:r>
        <w:rPr>
          <w:rFonts w:ascii="宋体" w:hAnsi="宋体" w:hint="eastAsia"/>
          <w:szCs w:val="20"/>
        </w:rPr>
        <w:t>.0m。边坡坡面采用格架</w:t>
      </w:r>
      <w:r>
        <w:rPr>
          <w:rFonts w:ascii="宋体" w:hAnsi="宋体" w:hint="eastAsia"/>
          <w:szCs w:val="20"/>
          <w:lang w:eastAsia="zh-CN"/>
        </w:rPr>
        <w:t>锚杆</w:t>
      </w:r>
      <w:r>
        <w:rPr>
          <w:rFonts w:ascii="宋体" w:hAnsi="宋体" w:hint="eastAsia"/>
          <w:szCs w:val="20"/>
        </w:rPr>
        <w:t>支护，</w:t>
      </w:r>
      <w:r>
        <w:rPr>
          <w:rFonts w:ascii="宋体" w:hAnsi="宋体" w:hint="eastAsia"/>
          <w:szCs w:val="20"/>
          <w:lang w:eastAsia="zh-CN"/>
        </w:rPr>
        <w:t>格架锚杆在现有坡面实行，</w:t>
      </w:r>
      <w:r>
        <w:rPr>
          <w:rFonts w:ascii="宋体" w:hAnsi="宋体" w:hint="eastAsia"/>
          <w:szCs w:val="20"/>
        </w:rPr>
        <w:t>锚杆采用</w:t>
      </w:r>
      <w:r>
        <w:rPr>
          <w:rFonts w:ascii="宋体" w:hAnsi="宋体" w:hint="eastAsia"/>
          <w:szCs w:val="20"/>
          <w:lang w:val="en-US" w:eastAsia="zh-CN"/>
        </w:rPr>
        <w:t>1</w:t>
      </w:r>
      <w:r>
        <w:rPr>
          <w:rFonts w:ascii="宋体" w:hAnsi="宋体" w:hint="eastAsia"/>
          <w:szCs w:val="20"/>
          <w:lang w:eastAsia="zh-CN"/>
        </w:rPr>
        <w:t>根</w:t>
      </w:r>
      <w:r>
        <w:rPr>
          <w:rFonts w:ascii="宋体" w:hAnsi="宋体" w:hint="eastAsia"/>
          <w:szCs w:val="20"/>
          <w:lang w:val="en-US" w:eastAsia="zh-CN"/>
        </w:rPr>
        <w:t>25的HRB400</w:t>
      </w:r>
      <w:r>
        <w:rPr>
          <w:rFonts w:ascii="宋体" w:hAnsi="宋体" w:hint="eastAsia"/>
          <w:szCs w:val="20"/>
        </w:rPr>
        <w:t>钢筋</w:t>
      </w:r>
      <w:r>
        <w:rPr>
          <w:rFonts w:ascii="宋体" w:hAnsi="宋体"/>
          <w:szCs w:val="20"/>
        </w:rPr>
        <w:t>,</w:t>
      </w:r>
      <w:r>
        <w:rPr>
          <w:rFonts w:ascii="宋体" w:hAnsi="宋体" w:hint="eastAsia"/>
          <w:szCs w:val="20"/>
        </w:rPr>
        <w:t>设立于格架节点处，</w:t>
      </w:r>
    </w:p>
    <w:p>
      <w:pPr>
        <w:spacing w:before="156" w:beforeLines="50" w:line="500" w:lineRule="auto"/>
        <w:ind w:firstLine="573"/>
        <w:rPr>
          <w:rFonts w:ascii="宋体" w:hAnsi="宋体" w:hint="eastAsia"/>
          <w:szCs w:val="20"/>
        </w:rPr>
      </w:pPr>
      <w:r>
        <w:rPr>
          <w:rFonts w:ascii="宋体" w:hAnsi="宋体" w:hint="eastAsia"/>
          <w:szCs w:val="20"/>
          <w:lang w:val="en-US" w:eastAsia="zh-CN"/>
        </w:rPr>
        <w:t>锚杆</w:t>
      </w:r>
      <w:r>
        <w:rPr>
          <w:rFonts w:ascii="宋体" w:hAnsi="宋体" w:hint="eastAsia"/>
          <w:szCs w:val="20"/>
        </w:rPr>
        <w:t>长度为锚入</w:t>
      </w:r>
      <w:r>
        <w:rPr>
          <w:rFonts w:ascii="宋体" w:hAnsi="宋体" w:hint="eastAsia"/>
          <w:szCs w:val="20"/>
          <w:lang w:eastAsia="zh-CN"/>
        </w:rPr>
        <w:t>稳定基岩内</w:t>
      </w:r>
      <w:r>
        <w:rPr>
          <w:rFonts w:ascii="宋体" w:hAnsi="宋体" w:hint="eastAsia"/>
          <w:szCs w:val="20"/>
          <w:lang w:val="en-US" w:eastAsia="zh-CN"/>
        </w:rPr>
        <w:t>3</w:t>
      </w:r>
      <w:r>
        <w:rPr>
          <w:rFonts w:ascii="宋体" w:hAnsi="宋体"/>
          <w:szCs w:val="20"/>
        </w:rPr>
        <w:t>m</w:t>
      </w:r>
      <w:r>
        <w:rPr>
          <w:rFonts w:ascii="宋体" w:hAnsi="宋体" w:hint="eastAsia"/>
          <w:szCs w:val="20"/>
        </w:rPr>
        <w:t>。格构间距为</w:t>
      </w:r>
      <w:r>
        <w:rPr>
          <w:rFonts w:ascii="宋体" w:hAnsi="宋体" w:hint="eastAsia"/>
          <w:szCs w:val="20"/>
          <w:lang w:val="en-US" w:eastAsia="zh-CN"/>
        </w:rPr>
        <w:t>3</w:t>
      </w:r>
      <w:r>
        <w:rPr>
          <w:rFonts w:ascii="宋体" w:hAnsi="宋体"/>
          <w:szCs w:val="20"/>
        </w:rPr>
        <w:t>(</w:t>
      </w:r>
      <w:r>
        <w:rPr>
          <w:rFonts w:ascii="宋体" w:hAnsi="宋体" w:hint="eastAsia"/>
          <w:szCs w:val="20"/>
        </w:rPr>
        <w:t>水平）</w:t>
      </w:r>
      <w:r>
        <w:rPr>
          <w:rFonts w:ascii="宋体" w:hAnsi="宋体"/>
          <w:szCs w:val="20"/>
        </w:rPr>
        <w:t>×2(</w:t>
      </w:r>
      <w:r>
        <w:rPr>
          <w:rFonts w:ascii="宋体" w:hAnsi="宋体" w:hint="eastAsia"/>
          <w:szCs w:val="20"/>
        </w:rPr>
        <w:t>竖直）</w:t>
      </w:r>
      <w:r>
        <w:rPr>
          <w:rFonts w:ascii="宋体" w:hAnsi="宋体"/>
          <w:szCs w:val="20"/>
        </w:rPr>
        <w:t>m</w:t>
      </w:r>
      <w:r>
        <w:rPr>
          <w:rFonts w:ascii="宋体" w:hAnsi="宋体" w:hint="eastAsia"/>
          <w:szCs w:val="20"/>
        </w:rPr>
        <w:t>，格构埋入地面下深度不得小于</w:t>
      </w:r>
      <w:r>
        <w:rPr>
          <w:rFonts w:ascii="宋体" w:hAnsi="宋体"/>
          <w:szCs w:val="20"/>
        </w:rPr>
        <w:t>30cm</w:t>
      </w:r>
      <w:r>
        <w:rPr>
          <w:rFonts w:ascii="宋体" w:hAnsi="宋体" w:hint="eastAsia"/>
          <w:szCs w:val="20"/>
        </w:rPr>
        <w:t>。钻孔孔径Φ</w:t>
      </w:r>
      <w:r>
        <w:rPr>
          <w:rFonts w:ascii="宋体" w:hAnsi="宋体" w:hint="eastAsia"/>
          <w:szCs w:val="20"/>
          <w:lang w:val="en-US" w:eastAsia="zh-CN"/>
        </w:rPr>
        <w:t>9</w:t>
      </w:r>
      <w:r>
        <w:rPr>
          <w:rFonts w:ascii="宋体" w:hAnsi="宋体"/>
          <w:szCs w:val="20"/>
        </w:rPr>
        <w:t>0mm</w:t>
      </w:r>
      <w:r>
        <w:rPr>
          <w:rFonts w:ascii="宋体" w:hAnsi="宋体" w:hint="eastAsia"/>
          <w:szCs w:val="20"/>
        </w:rPr>
        <w:t>。</w:t>
      </w:r>
    </w:p>
    <w:p>
      <w:pPr>
        <w:spacing w:before="156" w:beforeLines="50" w:line="500" w:lineRule="auto"/>
        <w:ind w:firstLine="573"/>
        <w:rPr>
          <w:rFonts w:ascii="仿宋" w:hAnsi="仿宋" w:cs="仿宋" w:hint="eastAsia"/>
          <w:szCs w:val="28"/>
        </w:rPr>
      </w:pPr>
      <w:r>
        <w:rPr>
          <w:rFonts w:ascii="宋体" w:hAnsi="宋体" w:hint="eastAsia"/>
          <w:szCs w:val="20"/>
          <w:lang w:val="en-US" w:eastAsia="zh-CN"/>
        </w:rPr>
        <w:t>P6下游侧桥墩边坡采用</w:t>
      </w:r>
      <w:r>
        <w:rPr>
          <w:rFonts w:ascii="宋体" w:hAnsi="宋体" w:hint="eastAsia"/>
          <w:szCs w:val="20"/>
          <w:lang w:eastAsia="zh-CN"/>
        </w:rPr>
        <w:t>边坡坡顶</w:t>
      </w:r>
      <w:r>
        <w:rPr>
          <w:rFonts w:ascii="宋体" w:hAnsi="宋体" w:hint="eastAsia"/>
          <w:szCs w:val="20"/>
        </w:rPr>
        <w:t>抗滑桩+</w:t>
      </w:r>
      <w:r>
        <w:rPr>
          <w:rFonts w:ascii="宋体" w:hAnsi="宋体" w:hint="eastAsia"/>
          <w:szCs w:val="20"/>
          <w:lang w:eastAsia="zh-CN"/>
        </w:rPr>
        <w:t>清除坡面土体</w:t>
      </w:r>
      <w:r>
        <w:rPr>
          <w:rFonts w:ascii="宋体" w:hAnsi="宋体" w:hint="eastAsia"/>
          <w:szCs w:val="20"/>
          <w:lang w:val="en-US" w:eastAsia="zh-CN"/>
        </w:rPr>
        <w:t>+</w:t>
      </w:r>
      <w:r>
        <w:rPr>
          <w:rFonts w:ascii="宋体" w:hAnsi="宋体" w:hint="eastAsia"/>
          <w:szCs w:val="20"/>
        </w:rPr>
        <w:t>坡面格架护坡支护。抗滑桩设立</w:t>
      </w:r>
      <w:r>
        <w:rPr>
          <w:rFonts w:ascii="宋体" w:hAnsi="宋体" w:hint="eastAsia"/>
          <w:szCs w:val="20"/>
          <w:lang w:eastAsia="zh-CN"/>
        </w:rPr>
        <w:t>在坡顶土两路道路靠江侧边线处</w:t>
      </w:r>
      <w:r>
        <w:rPr>
          <w:rFonts w:ascii="宋体" w:hAnsi="宋体" w:hint="eastAsia"/>
          <w:szCs w:val="20"/>
        </w:rPr>
        <w:t>，</w:t>
      </w:r>
      <w:r>
        <w:rPr>
          <w:rFonts w:ascii="宋体" w:hAnsi="宋体" w:hint="eastAsia"/>
          <w:szCs w:val="20"/>
          <w:lang w:eastAsia="zh-CN"/>
        </w:rPr>
        <w:t>桩间用挡土板连接，</w:t>
      </w:r>
      <w:r>
        <w:rPr>
          <w:rFonts w:ascii="宋体" w:hAnsi="宋体" w:hint="eastAsia"/>
          <w:szCs w:val="20"/>
        </w:rPr>
        <w:t>在桩顶设立钢筋混凝土顶梁，顶梁与桩同宽，高0.8m。桩基、</w:t>
      </w:r>
      <w:r>
        <w:rPr>
          <w:rFonts w:ascii="宋体" w:hAnsi="宋体" w:hint="eastAsia"/>
          <w:szCs w:val="20"/>
          <w:lang w:eastAsia="zh-CN"/>
        </w:rPr>
        <w:t>挡土板、</w:t>
      </w:r>
      <w:r>
        <w:rPr>
          <w:rFonts w:ascii="宋体" w:hAnsi="宋体" w:hint="eastAsia"/>
          <w:szCs w:val="20"/>
        </w:rPr>
        <w:t>顶梁均采用C30钢筋混凝土浇筑，桩基尺寸为Φ</w:t>
      </w:r>
      <w:r>
        <w:rPr>
          <w:rFonts w:ascii="宋体" w:hAnsi="宋体" w:hint="eastAsia"/>
          <w:szCs w:val="20"/>
          <w:lang w:val="en-US" w:eastAsia="zh-CN"/>
        </w:rPr>
        <w:t>1.0</w:t>
      </w:r>
      <w:r>
        <w:rPr>
          <w:rFonts w:ascii="宋体" w:hAnsi="宋体" w:hint="eastAsia"/>
          <w:szCs w:val="20"/>
        </w:rPr>
        <w:t>m，中心距为</w:t>
      </w:r>
      <w:r>
        <w:rPr>
          <w:rFonts w:ascii="宋体" w:hAnsi="宋体" w:hint="eastAsia"/>
          <w:szCs w:val="20"/>
          <w:lang w:val="en-US" w:eastAsia="zh-CN"/>
        </w:rPr>
        <w:t>4</w:t>
      </w:r>
      <w:r>
        <w:rPr>
          <w:rFonts w:ascii="宋体" w:hAnsi="宋体" w:hint="eastAsia"/>
          <w:szCs w:val="20"/>
        </w:rPr>
        <w:t>.0m。</w:t>
      </w:r>
      <w:r>
        <w:rPr>
          <w:rFonts w:ascii="宋体" w:hAnsi="宋体" w:hint="eastAsia"/>
          <w:szCs w:val="20"/>
          <w:lang w:eastAsia="zh-CN"/>
        </w:rPr>
        <w:t>清除坡面土体后</w:t>
      </w:r>
      <w:r>
        <w:rPr>
          <w:rFonts w:ascii="宋体" w:hAnsi="宋体" w:hint="eastAsia"/>
          <w:szCs w:val="20"/>
        </w:rPr>
        <w:t>边坡坡面采用格架</w:t>
      </w:r>
      <w:r>
        <w:rPr>
          <w:rFonts w:ascii="宋体" w:hAnsi="宋体" w:hint="eastAsia"/>
          <w:szCs w:val="20"/>
          <w:lang w:eastAsia="zh-CN"/>
        </w:rPr>
        <w:t>锚杆</w:t>
      </w:r>
      <w:r>
        <w:rPr>
          <w:rFonts w:ascii="宋体" w:hAnsi="宋体" w:hint="eastAsia"/>
          <w:szCs w:val="20"/>
        </w:rPr>
        <w:t>支护，锚杆采用</w:t>
      </w:r>
      <w:r>
        <w:rPr>
          <w:rFonts w:ascii="宋体" w:hAnsi="宋体" w:hint="eastAsia"/>
          <w:szCs w:val="20"/>
          <w:lang w:val="en-US" w:eastAsia="zh-CN"/>
        </w:rPr>
        <w:t>1</w:t>
      </w:r>
      <w:r>
        <w:rPr>
          <w:rFonts w:ascii="宋体" w:hAnsi="宋体" w:hint="eastAsia"/>
          <w:szCs w:val="20"/>
          <w:lang w:eastAsia="zh-CN"/>
        </w:rPr>
        <w:t>根</w:t>
      </w:r>
      <w:r>
        <w:rPr>
          <w:rFonts w:ascii="宋体" w:hAnsi="宋体" w:hint="eastAsia"/>
          <w:szCs w:val="20"/>
          <w:lang w:val="en-US" w:eastAsia="zh-CN"/>
        </w:rPr>
        <w:t>25的HRB400</w:t>
      </w:r>
      <w:r>
        <w:rPr>
          <w:rFonts w:ascii="宋体" w:hAnsi="宋体" w:hint="eastAsia"/>
          <w:szCs w:val="20"/>
        </w:rPr>
        <w:t>钢筋</w:t>
      </w:r>
      <w:r>
        <w:rPr>
          <w:rFonts w:ascii="宋体" w:hAnsi="宋体"/>
          <w:szCs w:val="20"/>
        </w:rPr>
        <w:t>,</w:t>
      </w:r>
      <w:r>
        <w:rPr>
          <w:rFonts w:ascii="宋体" w:hAnsi="宋体" w:hint="eastAsia"/>
          <w:szCs w:val="20"/>
        </w:rPr>
        <w:t>设立于格架节点处，</w:t>
      </w:r>
      <w:r>
        <w:rPr>
          <w:rFonts w:ascii="宋体" w:hAnsi="宋体" w:hint="eastAsia"/>
          <w:szCs w:val="20"/>
          <w:lang w:val="en-US" w:eastAsia="zh-CN"/>
        </w:rPr>
        <w:t>锚杆</w:t>
      </w:r>
      <w:r>
        <w:rPr>
          <w:rFonts w:ascii="宋体" w:hAnsi="宋体" w:hint="eastAsia"/>
          <w:szCs w:val="20"/>
        </w:rPr>
        <w:t>长度为锚入</w:t>
      </w:r>
      <w:r>
        <w:rPr>
          <w:rFonts w:ascii="宋体" w:hAnsi="宋体" w:hint="eastAsia"/>
          <w:szCs w:val="20"/>
          <w:lang w:eastAsia="zh-CN"/>
        </w:rPr>
        <w:t>稳定基岩内</w:t>
      </w:r>
      <w:r>
        <w:rPr>
          <w:rFonts w:ascii="宋体" w:hAnsi="宋体" w:hint="eastAsia"/>
          <w:szCs w:val="20"/>
          <w:lang w:val="en-US" w:eastAsia="zh-CN"/>
        </w:rPr>
        <w:t>3</w:t>
      </w:r>
      <w:r>
        <w:rPr>
          <w:rFonts w:ascii="宋体" w:hAnsi="宋体"/>
          <w:szCs w:val="20"/>
        </w:rPr>
        <w:t>m</w:t>
      </w:r>
      <w:r>
        <w:rPr>
          <w:rFonts w:ascii="宋体" w:hAnsi="宋体" w:hint="eastAsia"/>
          <w:szCs w:val="20"/>
        </w:rPr>
        <w:t>。格构间距为</w:t>
      </w:r>
      <w:r>
        <w:rPr>
          <w:rFonts w:ascii="宋体" w:hAnsi="宋体" w:hint="eastAsia"/>
          <w:szCs w:val="20"/>
          <w:lang w:val="en-US" w:eastAsia="zh-CN"/>
        </w:rPr>
        <w:t>3</w:t>
      </w:r>
      <w:r>
        <w:rPr>
          <w:rFonts w:ascii="宋体" w:hAnsi="宋体"/>
          <w:szCs w:val="20"/>
        </w:rPr>
        <w:t>(</w:t>
      </w:r>
      <w:r>
        <w:rPr>
          <w:rFonts w:ascii="宋体" w:hAnsi="宋体" w:hint="eastAsia"/>
          <w:szCs w:val="20"/>
        </w:rPr>
        <w:t>水平）</w:t>
      </w:r>
      <w:r>
        <w:rPr>
          <w:rFonts w:ascii="宋体" w:hAnsi="宋体"/>
          <w:szCs w:val="20"/>
        </w:rPr>
        <w:t>×2(</w:t>
      </w:r>
      <w:r>
        <w:rPr>
          <w:rFonts w:ascii="宋体" w:hAnsi="宋体" w:hint="eastAsia"/>
          <w:szCs w:val="20"/>
        </w:rPr>
        <w:t>竖直）</w:t>
      </w:r>
      <w:r>
        <w:rPr>
          <w:rFonts w:ascii="宋体" w:hAnsi="宋体"/>
          <w:szCs w:val="20"/>
        </w:rPr>
        <w:t>m</w:t>
      </w:r>
      <w:r>
        <w:rPr>
          <w:rFonts w:ascii="宋体" w:hAnsi="宋体" w:hint="eastAsia"/>
          <w:szCs w:val="20"/>
        </w:rPr>
        <w:t>，格构埋入地面下深度不得小于</w:t>
      </w:r>
      <w:r>
        <w:rPr>
          <w:rFonts w:ascii="宋体" w:hAnsi="宋体"/>
          <w:szCs w:val="20"/>
        </w:rPr>
        <w:t>30cm</w:t>
      </w:r>
      <w:r>
        <w:rPr>
          <w:rFonts w:ascii="宋体" w:hAnsi="宋体" w:hint="eastAsia"/>
          <w:szCs w:val="20"/>
        </w:rPr>
        <w:t>。钻孔孔径Φ</w:t>
      </w:r>
      <w:r>
        <w:rPr>
          <w:rFonts w:ascii="宋体" w:hAnsi="宋体" w:hint="eastAsia"/>
          <w:szCs w:val="20"/>
          <w:lang w:val="en-US" w:eastAsia="zh-CN"/>
        </w:rPr>
        <w:t>9</w:t>
      </w:r>
      <w:r>
        <w:rPr>
          <w:rFonts w:ascii="宋体" w:hAnsi="宋体"/>
          <w:szCs w:val="20"/>
        </w:rPr>
        <w:t>0mm</w:t>
      </w:r>
      <w:r>
        <w:rPr>
          <w:rFonts w:ascii="宋体" w:hAnsi="宋体" w:hint="eastAsia"/>
          <w:szCs w:val="20"/>
        </w:rPr>
        <w:t>。</w:t>
      </w:r>
      <w:r>
        <w:rPr>
          <w:rFonts w:ascii="宋体" w:hAnsi="宋体" w:hint="eastAsia"/>
          <w:szCs w:val="20"/>
          <w:lang w:eastAsia="zh-CN"/>
        </w:rPr>
        <w:t>坡面锚杆应与抗滑桩交错布置，避免与抗滑桩相碰。</w:t>
      </w:r>
    </w:p>
    <w:p>
      <w:pPr>
        <w:spacing w:line="500" w:lineRule="auto"/>
        <w:rPr>
          <w:rFonts w:ascii="仿宋" w:hAnsi="仿宋" w:cs="仿宋" w:hint="eastAsia"/>
          <w:color w:val="auto"/>
          <w:szCs w:val="28"/>
        </w:rPr>
      </w:pPr>
      <w:r>
        <w:rPr>
          <w:rFonts w:ascii="宋体" w:hAnsi="宋体" w:hint="eastAsia"/>
          <w:b w:val="0"/>
          <w:bCs/>
          <w:color w:val="auto"/>
          <w:szCs w:val="28"/>
          <w:lang w:val="en-US" w:eastAsia="zh-CN"/>
        </w:rPr>
        <w:t>P6墩</w:t>
      </w:r>
      <w:r>
        <w:rPr>
          <w:rFonts w:ascii="宋体" w:hAnsi="宋体" w:hint="eastAsia"/>
          <w:b w:val="0"/>
          <w:bCs/>
          <w:color w:val="auto"/>
          <w:szCs w:val="28"/>
          <w:lang w:eastAsia="zh-CN"/>
        </w:rPr>
        <w:t>边坡坡顶高程211.53～212.35m，坡底高程184.9～188.48m，</w:t>
      </w:r>
      <w:r>
        <w:rPr>
          <w:rFonts w:ascii="宋体" w:hAnsi="宋体" w:hint="eastAsia"/>
          <w:b w:val="0"/>
          <w:bCs/>
          <w:color w:val="auto"/>
          <w:szCs w:val="28"/>
          <w:lang w:val="en-US" w:eastAsia="zh-CN"/>
        </w:rPr>
        <w:t>边坡长约45m，坡高24～29m</w:t>
      </w:r>
      <w:r>
        <w:rPr>
          <w:rFonts w:hAnsi="宋体" w:hint="eastAsia"/>
          <w:snapToGrid w:val="0"/>
          <w:kern w:val="0"/>
          <w:sz w:val="28"/>
        </w:rPr>
        <w:t>。</w:t>
      </w:r>
      <w:r>
        <w:rPr>
          <w:rFonts w:ascii="宋体" w:hAnsi="宋体" w:hint="eastAsia"/>
          <w:b w:val="0"/>
          <w:bCs/>
          <w:color w:val="auto"/>
          <w:szCs w:val="28"/>
          <w:lang w:val="en-US" w:eastAsia="zh-CN"/>
        </w:rPr>
        <w:t>边坡</w:t>
      </w:r>
      <w:r>
        <w:rPr>
          <w:rFonts w:ascii="宋体" w:hAnsi="宋体" w:hint="eastAsia"/>
          <w:b w:val="0"/>
          <w:bCs/>
          <w:color w:val="auto"/>
          <w:szCs w:val="28"/>
          <w:lang w:eastAsia="zh-CN"/>
        </w:rPr>
        <w:t>安全等级为二级，边坡防护设计需对坡面土方进行清除，挖方总量约</w:t>
      </w:r>
      <w:r>
        <w:rPr>
          <w:rFonts w:ascii="宋体" w:hAnsi="宋体" w:hint="eastAsia"/>
          <w:b w:val="0"/>
          <w:bCs/>
          <w:color w:val="auto"/>
          <w:szCs w:val="28"/>
          <w:lang w:val="en-US" w:eastAsia="zh-CN"/>
        </w:rPr>
        <w:t>1万方。</w:t>
      </w:r>
    </w:p>
    <w:p>
      <w:pPr>
        <w:pStyle w:val="Heading2"/>
        <w:numPr>
          <w:ilvl w:val="0"/>
          <w:numId w:val="4"/>
        </w:numPr>
        <w:spacing w:line="500" w:lineRule="auto"/>
        <w:ind w:left="0" w:firstLine="420" w:leftChars="0" w:firstLineChars="0"/>
        <w:rPr>
          <w:rFonts w:hint="eastAsia"/>
          <w:lang w:val="en-US" w:eastAsia="zh-CN"/>
        </w:rPr>
      </w:pPr>
      <w:bookmarkEnd w:id="2"/>
      <w:bookmarkEnd w:id="3"/>
      <w:bookmarkEnd w:id="4"/>
      <w:bookmarkStart w:id="5" w:name="_Toc28176"/>
      <w:bookmarkStart w:id="6" w:name="_Toc21373"/>
      <w:bookmarkStart w:id="7" w:name="_Toc4127"/>
      <w:bookmarkStart w:id="8" w:name="_Toc28890"/>
      <w:r>
        <w:rPr>
          <w:rFonts w:hint="eastAsia"/>
          <w:lang w:val="en-US" w:eastAsia="zh-CN"/>
        </w:rPr>
        <w:t>地形地貌</w:t>
      </w:r>
      <w:bookmarkEnd w:id="5"/>
      <w:bookmarkEnd w:id="6"/>
      <w:bookmarkEnd w:id="7"/>
      <w:bookmarkEnd w:id="8"/>
    </w:p>
    <w:p>
      <w:pPr>
        <w:spacing w:line="500" w:lineRule="auto"/>
        <w:ind w:firstLine="560" w:firstLineChars="200"/>
        <w:rPr>
          <w:rFonts w:hAnsi="宋体" w:hint="eastAsia"/>
          <w:snapToGrid w:val="0"/>
          <w:kern w:val="0"/>
        </w:rPr>
      </w:pPr>
      <w:bookmarkStart w:id="9" w:name="_Toc20671"/>
      <w:bookmarkStart w:id="10" w:name="_Toc16357"/>
      <w:bookmarkStart w:id="11" w:name="_Toc19734"/>
      <w:bookmarkStart w:id="12" w:name="_Toc21318"/>
      <w:r>
        <w:rPr>
          <w:rFonts w:hAnsi="宋体" w:hint="eastAsia"/>
          <w:snapToGrid w:val="0"/>
          <w:kern w:val="0"/>
          <w:sz w:val="28"/>
        </w:rPr>
        <w:t>拟建场区属河谷丘陵地貌区，</w:t>
      </w:r>
      <w:r>
        <w:rPr>
          <w:rFonts w:hint="eastAsia"/>
          <w:spacing w:val="-10"/>
          <w:szCs w:val="21"/>
        </w:rPr>
        <w:t>位于嘉陵江左岸</w:t>
      </w:r>
      <w:r>
        <w:rPr>
          <w:rFonts w:hAnsi="宋体" w:hint="eastAsia"/>
          <w:snapToGrid w:val="0"/>
          <w:kern w:val="0"/>
          <w:sz w:val="28"/>
        </w:rPr>
        <w:t xml:space="preserve">，地形坡角约35～55°，坡顶为水两路，坡底为施工便道。 </w:t>
      </w:r>
    </w:p>
    <w:p>
      <w:pPr>
        <w:pStyle w:val="Heading2"/>
        <w:numPr>
          <w:ilvl w:val="0"/>
          <w:numId w:val="4"/>
        </w:numPr>
        <w:spacing w:line="500" w:lineRule="auto"/>
        <w:ind w:left="0" w:firstLine="420" w:leftChars="0" w:firstLineChars="0"/>
        <w:rPr>
          <w:rFonts w:hint="eastAsia"/>
          <w:lang w:val="en-US" w:eastAsia="zh-CN"/>
        </w:rPr>
      </w:pPr>
      <w:r>
        <w:rPr>
          <w:rFonts w:hint="eastAsia"/>
          <w:lang w:val="en-US" w:eastAsia="zh-CN"/>
        </w:rPr>
        <w:t>地质构造</w:t>
      </w:r>
      <w:bookmarkEnd w:id="9"/>
      <w:bookmarkEnd w:id="10"/>
      <w:bookmarkEnd w:id="11"/>
      <w:bookmarkEnd w:id="12"/>
    </w:p>
    <w:p>
      <w:pPr>
        <w:spacing w:line="500" w:lineRule="auto"/>
        <w:ind w:firstLine="560" w:firstLineChars="200"/>
        <w:rPr>
          <w:rFonts w:hAnsi="宋体" w:hint="eastAsia"/>
          <w:snapToGrid w:val="0"/>
          <w:kern w:val="0"/>
        </w:rPr>
        <w:sectPr>
          <w:type w:val="nextPage"/>
          <w:pgSz w:w="11906" w:h="16838"/>
          <w:pgMar w:top="1134" w:right="1134" w:bottom="1134" w:left="1418" w:header="851" w:footer="992" w:gutter="0"/>
          <w:pgNumType w:fmt="decimal" w:start="2"/>
          <w:cols w:num="1" w:space="425"/>
          <w:titlePg w:val="0"/>
          <w:docGrid w:type="lines" w:linePitch="312" w:charSpace="0"/>
        </w:sectPr>
      </w:pPr>
      <w:r>
        <w:rPr>
          <w:rFonts w:hAnsi="宋体"/>
          <w:snapToGrid w:val="0"/>
          <w:kern w:val="0"/>
          <w:sz w:val="28"/>
        </w:rPr>
        <w:t>根据区域地质资料，拟建</w:t>
      </w:r>
      <w:r>
        <w:rPr>
          <w:rFonts w:hAnsi="宋体" w:hint="eastAsia"/>
          <w:snapToGrid w:val="0"/>
          <w:kern w:val="0"/>
          <w:sz w:val="28"/>
          <w:lang w:val="en-US" w:eastAsia="zh-CN"/>
        </w:rPr>
        <w:t>P6墩</w:t>
      </w:r>
      <w:r>
        <w:rPr>
          <w:rFonts w:hAnsi="宋体" w:hint="eastAsia"/>
          <w:snapToGrid w:val="0"/>
          <w:kern w:val="0"/>
          <w:sz w:val="28"/>
        </w:rPr>
        <w:t>边坡</w:t>
      </w:r>
      <w:r>
        <w:rPr>
          <w:rFonts w:hAnsi="宋体"/>
          <w:snapToGrid w:val="0"/>
          <w:kern w:val="0"/>
          <w:sz w:val="28"/>
        </w:rPr>
        <w:t>位于</w:t>
      </w:r>
      <w:r>
        <w:rPr>
          <w:rFonts w:hAnsi="宋体" w:hint="eastAsia"/>
          <w:snapToGrid w:val="0"/>
          <w:kern w:val="0"/>
          <w:sz w:val="28"/>
        </w:rPr>
        <w:t>悦来场向斜的北西翼</w:t>
      </w:r>
      <w:r>
        <w:rPr>
          <w:rFonts w:hAnsi="宋体"/>
          <w:snapToGrid w:val="0"/>
          <w:kern w:val="0"/>
          <w:sz w:val="28"/>
        </w:rPr>
        <w:t>，无断层分布，岩层呈单斜产出</w:t>
      </w:r>
    </w:p>
    <w:p>
      <w:pPr>
        <w:spacing w:line="500" w:lineRule="auto"/>
        <w:ind w:firstLine="560" w:firstLineChars="200"/>
        <w:rPr>
          <w:rFonts w:hAnsi="宋体" w:hint="eastAsia"/>
          <w:snapToGrid w:val="0"/>
          <w:kern w:val="0"/>
        </w:rPr>
      </w:pPr>
      <w:r>
        <w:rPr>
          <w:rFonts w:hAnsi="宋体" w:hint="eastAsia"/>
          <w:snapToGrid w:val="0"/>
          <w:kern w:val="0"/>
          <w:sz w:val="28"/>
        </w:rPr>
        <w:t>。基岩出露地带测得岩层产状108°∠16°，层面平直光滑，无胶结；测得两组重要构造裂隙：LX1裂隙产状178°∠61°，裂隙间距1.5～2.0m、裂面粗糙、张开2mm、石膏充填，结合差，属硬性结构面。LX2裂隙产状264°∠56～78°、上缓下陡、凸面、张开2～3mm，粘性土充填，裂隙间距1.0～1.5m，结合很差，属软弱结构面。</w:t>
      </w:r>
    </w:p>
    <w:p>
      <w:pPr>
        <w:pStyle w:val="Heading2"/>
        <w:numPr>
          <w:ilvl w:val="0"/>
          <w:numId w:val="4"/>
        </w:numPr>
        <w:spacing w:line="500" w:lineRule="auto"/>
        <w:ind w:left="0" w:firstLine="420" w:leftChars="0" w:firstLineChars="0"/>
        <w:rPr>
          <w:rFonts w:hint="eastAsia"/>
          <w:lang w:val="en-US" w:eastAsia="zh-CN"/>
        </w:rPr>
      </w:pPr>
      <w:bookmarkStart w:id="13" w:name="_Toc22747"/>
      <w:r>
        <w:rPr>
          <w:rFonts w:hint="eastAsia"/>
          <w:lang w:val="en-US" w:eastAsia="zh-CN"/>
        </w:rPr>
        <w:t>气象水文</w:t>
      </w:r>
      <w:bookmarkEnd w:id="13"/>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勘察区属亚热带湿润气候区，热量资源丰富，降水量充沛，具有冬暖春早、夏多伏旱、无霜期长、降水丰富但分布不均、日照少、湿度大、雾多、风速小等特点。数年平均气温为18.3℃，日极端最高气温44.1℃(2023.8.11)，日极端最低气温-1.8℃(1955.01.11)。雨季平均起讫日期为5月2日～9月27日，日降雨量大于25mm以上的大暴雨日数占全年降雨日数的62%左右，一日最大降雨量206.10mm (1996.07.21)，一次连续最大降雨量190.90mm (1956.06.24)，一小时最大降雨量62.10mm。数年平均降雨量为1082.6mm，降雨量最高为1518.7mm，降雨量最低为644.3mm。数年平均风速为1.3m/s，最大风速为26.7m/s。年平均相对湿度为79%，年平均绝对湿度为17.7hPa，阴天年平均有200多天。</w:t>
      </w:r>
    </w:p>
    <w:p>
      <w:pPr>
        <w:spacing w:line="500" w:lineRule="auto"/>
        <w:ind w:firstLine="560" w:firstLineChars="200"/>
        <w:rPr>
          <w:rFonts w:hAnsi="宋体" w:hint="eastAsia"/>
          <w:snapToGrid w:val="0"/>
          <w:kern w:val="0"/>
        </w:rPr>
      </w:pPr>
      <w:r>
        <w:rPr>
          <w:rFonts w:hAnsi="宋体" w:hint="eastAsia"/>
          <w:snapToGrid w:val="0"/>
          <w:kern w:val="0"/>
          <w:sz w:val="28"/>
        </w:rPr>
        <w:t>勘察场地重要以斜坡为主，局部位置地形起伏较大，总体由北向南倾斜。根据钻探资料，拟建场地土层厚度较大，下部基岩为泥岩和砂岩，呈互层状。根据地下水的赋存条件、水力性质及水力特性，场区地下水可分为松散岩类孔隙水、基岩裂隙水。</w:t>
      </w:r>
    </w:p>
    <w:p>
      <w:pPr>
        <w:spacing w:line="500" w:lineRule="auto"/>
        <w:ind w:firstLine="560" w:firstLineChars="200"/>
        <w:rPr>
          <w:rFonts w:ascii="仿宋_GB2312" w:eastAsia="仿宋_GB2312" w:hAnsi="宋体" w:cs="仿宋"/>
          <w:kern w:val="0"/>
          <w:szCs w:val="28"/>
        </w:rPr>
        <w:sectPr>
          <w:type w:val="nextPage"/>
          <w:pgSz w:w="11906" w:h="16838"/>
          <w:pgMar w:top="1134" w:right="1134" w:bottom="1134" w:left="1418" w:header="851" w:footer="992" w:gutter="0"/>
          <w:pgNumType w:fmt="decimal" w:start="3"/>
          <w:cols w:num="1" w:space="425"/>
          <w:titlePg w:val="0"/>
          <w:docGrid w:type="lines" w:linePitch="312" w:charSpace="0"/>
        </w:sectPr>
      </w:pPr>
      <w:r>
        <w:rPr>
          <w:rFonts w:ascii="仿宋_GB2312" w:eastAsia="仿宋_GB2312" w:hAnsi="宋体" w:cs="仿宋" w:hint="eastAsia"/>
          <w:kern w:val="0"/>
          <w:sz w:val="28"/>
          <w:szCs w:val="28"/>
        </w:rPr>
        <w:t>水土大桥横跨嘉陵江河谷，本段河流自北西向南东方向径流，在主城区的朝天门汇入长江。据北碚水文站资料记录，江面宽</w:t>
      </w:r>
      <w:r>
        <w:rPr>
          <w:rFonts w:ascii="仿宋_GB2312" w:eastAsia="仿宋_GB2312" w:hAnsi="宋体" w:cs="仿宋"/>
          <w:kern w:val="0"/>
          <w:sz w:val="28"/>
          <w:szCs w:val="28"/>
        </w:rPr>
        <w:t>215.7</w:t>
      </w:r>
      <w:r>
        <w:rPr>
          <w:rFonts w:ascii="仿宋_GB2312" w:eastAsia="仿宋_GB2312" w:hAnsi="宋体" w:cs="仿宋" w:hint="eastAsia"/>
          <w:kern w:val="0"/>
          <w:sz w:val="28"/>
          <w:szCs w:val="28"/>
        </w:rPr>
        <w:t>～</w:t>
      </w:r>
      <w:r>
        <w:rPr>
          <w:rFonts w:ascii="仿宋_GB2312" w:eastAsia="仿宋_GB2312" w:hAnsi="宋体" w:cs="仿宋"/>
          <w:kern w:val="0"/>
          <w:sz w:val="28"/>
          <w:szCs w:val="28"/>
        </w:rPr>
        <w:t>224.3m</w:t>
      </w:r>
      <w:r>
        <w:rPr>
          <w:rFonts w:ascii="仿宋_GB2312" w:eastAsia="仿宋_GB2312" w:hAnsi="宋体" w:cs="仿宋" w:hint="eastAsia"/>
          <w:kern w:val="0"/>
          <w:sz w:val="28"/>
          <w:szCs w:val="28"/>
        </w:rPr>
        <w:t>，实测最大流量为</w:t>
      </w:r>
      <w:r>
        <w:rPr>
          <w:rFonts w:ascii="仿宋_GB2312" w:eastAsia="仿宋_GB2312" w:hAnsi="宋体" w:cs="仿宋"/>
          <w:kern w:val="0"/>
          <w:sz w:val="28"/>
          <w:szCs w:val="28"/>
        </w:rPr>
        <w:t>44700m</w:t>
      </w:r>
      <w:r>
        <w:rPr>
          <w:rFonts w:ascii="仿宋_GB2312" w:eastAsia="仿宋_GB2312" w:hAnsi="宋体" w:cs="仿宋"/>
          <w:kern w:val="0"/>
          <w:sz w:val="28"/>
          <w:szCs w:val="28"/>
          <w:vertAlign w:val="superscript"/>
        </w:rPr>
        <w:t>3</w:t>
      </w:r>
      <w:r>
        <w:rPr>
          <w:rFonts w:ascii="仿宋_GB2312" w:eastAsia="仿宋_GB2312" w:hAnsi="宋体" w:cs="仿宋"/>
          <w:kern w:val="0"/>
          <w:sz w:val="28"/>
          <w:szCs w:val="28"/>
        </w:rPr>
        <w:t>/s</w:t>
      </w:r>
      <w:r>
        <w:rPr>
          <w:rFonts w:ascii="仿宋_GB2312" w:eastAsia="仿宋_GB2312" w:hAnsi="宋体" w:cs="仿宋" w:hint="eastAsia"/>
          <w:kern w:val="0"/>
          <w:sz w:val="28"/>
          <w:szCs w:val="28"/>
        </w:rPr>
        <w:t>（</w:t>
      </w:r>
      <w:r>
        <w:rPr>
          <w:rFonts w:ascii="仿宋_GB2312" w:eastAsia="仿宋_GB2312" w:hAnsi="宋体" w:cs="仿宋"/>
          <w:kern w:val="0"/>
          <w:sz w:val="28"/>
          <w:szCs w:val="28"/>
        </w:rPr>
        <w:t>1981</w:t>
      </w:r>
      <w:r>
        <w:rPr>
          <w:rFonts w:ascii="仿宋_GB2312" w:eastAsia="仿宋_GB2312" w:hAnsi="宋体" w:cs="仿宋" w:hint="eastAsia"/>
          <w:kern w:val="0"/>
          <w:sz w:val="28"/>
          <w:szCs w:val="28"/>
        </w:rPr>
        <w:t>年</w:t>
      </w:r>
      <w:r>
        <w:rPr>
          <w:rFonts w:ascii="仿宋_GB2312" w:eastAsia="仿宋_GB2312" w:hAnsi="宋体" w:cs="仿宋"/>
          <w:kern w:val="0"/>
          <w:sz w:val="28"/>
          <w:szCs w:val="28"/>
        </w:rPr>
        <w:t>7</w:t>
      </w:r>
      <w:r>
        <w:rPr>
          <w:rFonts w:ascii="仿宋_GB2312" w:eastAsia="仿宋_GB2312" w:hAnsi="宋体" w:cs="仿宋" w:hint="eastAsia"/>
          <w:kern w:val="0"/>
          <w:sz w:val="28"/>
          <w:szCs w:val="28"/>
        </w:rPr>
        <w:t>月</w:t>
      </w:r>
      <w:r>
        <w:rPr>
          <w:rFonts w:ascii="仿宋_GB2312" w:eastAsia="仿宋_GB2312" w:hAnsi="宋体" w:cs="仿宋"/>
          <w:kern w:val="0"/>
          <w:sz w:val="28"/>
          <w:szCs w:val="28"/>
        </w:rPr>
        <w:t>16</w:t>
      </w:r>
      <w:r>
        <w:rPr>
          <w:rFonts w:ascii="仿宋_GB2312" w:eastAsia="仿宋_GB2312" w:hAnsi="宋体" w:cs="仿宋" w:hint="eastAsia"/>
          <w:kern w:val="0"/>
          <w:sz w:val="28"/>
          <w:szCs w:val="28"/>
        </w:rPr>
        <w:t>日），实测最小流量为</w:t>
      </w:r>
      <w:r>
        <w:rPr>
          <w:rFonts w:ascii="仿宋_GB2312" w:eastAsia="仿宋_GB2312" w:hAnsi="宋体" w:cs="仿宋"/>
          <w:kern w:val="0"/>
          <w:sz w:val="28"/>
          <w:szCs w:val="28"/>
        </w:rPr>
        <w:t>205m</w:t>
      </w:r>
      <w:r>
        <w:rPr>
          <w:rFonts w:ascii="仿宋_GB2312" w:eastAsia="仿宋_GB2312" w:hAnsi="宋体" w:cs="仿宋"/>
          <w:kern w:val="0"/>
          <w:sz w:val="28"/>
          <w:szCs w:val="28"/>
          <w:vertAlign w:val="superscript"/>
        </w:rPr>
        <w:t>3</w:t>
      </w:r>
      <w:r>
        <w:rPr>
          <w:rFonts w:ascii="仿宋_GB2312" w:eastAsia="仿宋_GB2312" w:hAnsi="宋体" w:cs="仿宋"/>
          <w:kern w:val="0"/>
          <w:sz w:val="28"/>
          <w:szCs w:val="28"/>
        </w:rPr>
        <w:t>/s</w:t>
      </w:r>
      <w:r>
        <w:rPr>
          <w:rFonts w:ascii="仿宋_GB2312" w:eastAsia="仿宋_GB2312" w:hAnsi="宋体" w:cs="仿宋" w:hint="eastAsia"/>
          <w:kern w:val="0"/>
          <w:sz w:val="28"/>
          <w:szCs w:val="28"/>
        </w:rPr>
        <w:t>（</w:t>
      </w:r>
      <w:r>
        <w:rPr>
          <w:rFonts w:ascii="仿宋_GB2312" w:eastAsia="仿宋_GB2312" w:hAnsi="宋体" w:cs="仿宋"/>
          <w:kern w:val="0"/>
          <w:sz w:val="28"/>
          <w:szCs w:val="28"/>
        </w:rPr>
        <w:t>1958</w:t>
      </w:r>
    </w:p>
    <w:p>
      <w:pPr>
        <w:spacing w:line="500" w:lineRule="auto"/>
        <w:ind w:firstLine="560" w:firstLineChars="200"/>
        <w:rPr>
          <w:rFonts w:ascii="仿宋_GB2312" w:eastAsia="仿宋_GB2312" w:hAnsi="宋体" w:cs="仿宋"/>
          <w:kern w:val="0"/>
          <w:szCs w:val="28"/>
        </w:rPr>
      </w:pPr>
      <w:r>
        <w:rPr>
          <w:rFonts w:ascii="仿宋_GB2312" w:eastAsia="仿宋_GB2312" w:hAnsi="宋体" w:cs="仿宋" w:hint="eastAsia"/>
          <w:kern w:val="0"/>
          <w:sz w:val="28"/>
          <w:szCs w:val="28"/>
        </w:rPr>
        <w:t>年</w:t>
      </w:r>
      <w:r>
        <w:rPr>
          <w:rFonts w:ascii="仿宋_GB2312" w:eastAsia="仿宋_GB2312" w:hAnsi="宋体" w:cs="仿宋"/>
          <w:kern w:val="0"/>
          <w:sz w:val="28"/>
          <w:szCs w:val="28"/>
        </w:rPr>
        <w:t>3</w:t>
      </w:r>
      <w:r>
        <w:rPr>
          <w:rFonts w:ascii="仿宋_GB2312" w:eastAsia="仿宋_GB2312" w:hAnsi="宋体" w:cs="仿宋" w:hint="eastAsia"/>
          <w:kern w:val="0"/>
          <w:sz w:val="28"/>
          <w:szCs w:val="28"/>
        </w:rPr>
        <w:t>月</w:t>
      </w:r>
      <w:r>
        <w:rPr>
          <w:rFonts w:ascii="仿宋_GB2312" w:eastAsia="仿宋_GB2312" w:hAnsi="宋体" w:cs="仿宋"/>
          <w:kern w:val="0"/>
          <w:sz w:val="28"/>
          <w:szCs w:val="28"/>
        </w:rPr>
        <w:t>28</w:t>
      </w:r>
      <w:r>
        <w:rPr>
          <w:rFonts w:ascii="仿宋_GB2312" w:eastAsia="仿宋_GB2312" w:hAnsi="宋体" w:cs="仿宋" w:hint="eastAsia"/>
          <w:kern w:val="0"/>
          <w:sz w:val="28"/>
          <w:szCs w:val="28"/>
        </w:rPr>
        <w:t>日），数年平均流量为</w:t>
      </w:r>
      <w:r>
        <w:rPr>
          <w:rFonts w:ascii="仿宋_GB2312" w:eastAsia="仿宋_GB2312" w:hAnsi="宋体" w:cs="仿宋"/>
          <w:kern w:val="0"/>
          <w:sz w:val="28"/>
          <w:szCs w:val="28"/>
        </w:rPr>
        <w:t>2250m</w:t>
      </w:r>
      <w:r>
        <w:rPr>
          <w:rFonts w:ascii="仿宋_GB2312" w:eastAsia="仿宋_GB2312" w:hAnsi="宋体" w:cs="仿宋"/>
          <w:kern w:val="0"/>
          <w:sz w:val="28"/>
          <w:szCs w:val="28"/>
          <w:vertAlign w:val="superscript"/>
        </w:rPr>
        <w:t>3</w:t>
      </w:r>
      <w:r>
        <w:rPr>
          <w:rFonts w:ascii="仿宋_GB2312" w:eastAsia="仿宋_GB2312" w:hAnsi="宋体" w:cs="仿宋"/>
          <w:kern w:val="0"/>
          <w:sz w:val="28"/>
          <w:szCs w:val="28"/>
        </w:rPr>
        <w:t>/s</w:t>
      </w:r>
      <w:r>
        <w:rPr>
          <w:rFonts w:ascii="仿宋_GB2312" w:eastAsia="仿宋_GB2312" w:hAnsi="宋体" w:cs="仿宋" w:hint="eastAsia"/>
          <w:kern w:val="0"/>
          <w:sz w:val="28"/>
          <w:szCs w:val="28"/>
        </w:rPr>
        <w:t>，数年平均年最大流量</w:t>
      </w:r>
      <w:r>
        <w:rPr>
          <w:rFonts w:ascii="仿宋_GB2312" w:eastAsia="仿宋_GB2312" w:hAnsi="宋体" w:cs="仿宋"/>
          <w:kern w:val="0"/>
          <w:sz w:val="28"/>
          <w:szCs w:val="28"/>
        </w:rPr>
        <w:t>23600m</w:t>
      </w:r>
      <w:r>
        <w:rPr>
          <w:rFonts w:ascii="仿宋_GB2312" w:eastAsia="仿宋_GB2312" w:hAnsi="宋体" w:cs="仿宋"/>
          <w:kern w:val="0"/>
          <w:sz w:val="28"/>
          <w:szCs w:val="28"/>
          <w:vertAlign w:val="superscript"/>
        </w:rPr>
        <w:t>3</w:t>
      </w:r>
      <w:r>
        <w:rPr>
          <w:rFonts w:ascii="仿宋_GB2312" w:eastAsia="仿宋_GB2312" w:hAnsi="宋体" w:cs="仿宋"/>
          <w:kern w:val="0"/>
          <w:sz w:val="28"/>
          <w:szCs w:val="28"/>
        </w:rPr>
        <w:t>/s</w:t>
      </w:r>
      <w:r>
        <w:rPr>
          <w:rFonts w:ascii="仿宋_GB2312" w:eastAsia="仿宋_GB2312" w:hAnsi="宋体" w:cs="仿宋" w:hint="eastAsia"/>
          <w:kern w:val="0"/>
          <w:sz w:val="28"/>
          <w:szCs w:val="28"/>
        </w:rPr>
        <w:t>，数年平均年最小流量</w:t>
      </w:r>
      <w:r>
        <w:rPr>
          <w:rFonts w:ascii="仿宋_GB2312" w:eastAsia="仿宋_GB2312" w:hAnsi="宋体" w:cs="仿宋"/>
          <w:kern w:val="0"/>
          <w:sz w:val="28"/>
          <w:szCs w:val="28"/>
        </w:rPr>
        <w:t>335m3/s</w:t>
      </w:r>
      <w:r>
        <w:rPr>
          <w:rFonts w:ascii="仿宋_GB2312" w:eastAsia="仿宋_GB2312" w:hAnsi="宋体" w:cs="仿宋" w:hint="eastAsia"/>
          <w:kern w:val="0"/>
          <w:sz w:val="28"/>
          <w:szCs w:val="28"/>
        </w:rPr>
        <w:t>。</w:t>
      </w:r>
    </w:p>
    <w:p>
      <w:pPr>
        <w:spacing w:line="500" w:lineRule="auto"/>
        <w:ind w:firstLine="560" w:firstLineChars="200"/>
        <w:rPr>
          <w:rFonts w:ascii="仿宋_GB2312" w:eastAsia="仿宋_GB2312" w:hAnsi="宋体" w:cs="仿宋" w:hint="eastAsia"/>
          <w:kern w:val="0"/>
          <w:szCs w:val="28"/>
        </w:rPr>
      </w:pPr>
      <w:r>
        <w:rPr>
          <w:rFonts w:ascii="仿宋_GB2312" w:eastAsia="仿宋_GB2312" w:hAnsi="宋体" w:cs="仿宋" w:hint="eastAsia"/>
          <w:kern w:val="0"/>
          <w:sz w:val="28"/>
          <w:szCs w:val="28"/>
        </w:rPr>
        <w:t>历史记录最大遇洪水位</w:t>
      </w:r>
      <w:r>
        <w:rPr>
          <w:rFonts w:ascii="仿宋_GB2312" w:eastAsia="仿宋_GB2312" w:hAnsi="宋体" w:cs="仿宋"/>
          <w:kern w:val="0"/>
          <w:sz w:val="28"/>
          <w:szCs w:val="28"/>
        </w:rPr>
        <w:t>214.00m</w:t>
      </w:r>
      <w:r>
        <w:rPr>
          <w:rFonts w:ascii="仿宋_GB2312" w:eastAsia="仿宋_GB2312" w:hAnsi="宋体" w:cs="仿宋" w:hint="eastAsia"/>
          <w:kern w:val="0"/>
          <w:sz w:val="28"/>
          <w:szCs w:val="28"/>
        </w:rPr>
        <w:t>（黄海高程），</w:t>
      </w:r>
      <w:r>
        <w:rPr>
          <w:rFonts w:ascii="仿宋_GB2312" w:eastAsia="仿宋_GB2312" w:hAnsi="宋体" w:cs="仿宋"/>
          <w:kern w:val="0"/>
          <w:sz w:val="28"/>
          <w:szCs w:val="28"/>
        </w:rPr>
        <w:t>12023</w:t>
      </w:r>
      <w:r>
        <w:rPr>
          <w:rFonts w:ascii="仿宋_GB2312" w:eastAsia="仿宋_GB2312" w:hAnsi="宋体" w:cs="仿宋" w:hint="eastAsia"/>
          <w:kern w:val="0"/>
          <w:sz w:val="28"/>
          <w:szCs w:val="28"/>
        </w:rPr>
        <w:t>一遇最高洪水位</w:t>
      </w:r>
      <w:r>
        <w:rPr>
          <w:rFonts w:ascii="仿宋_GB2312" w:eastAsia="仿宋_GB2312" w:hAnsi="宋体" w:cs="仿宋"/>
          <w:kern w:val="0"/>
          <w:sz w:val="28"/>
          <w:szCs w:val="28"/>
        </w:rPr>
        <w:t>212.10m</w:t>
      </w:r>
      <w:r>
        <w:rPr>
          <w:rFonts w:ascii="仿宋_GB2312" w:eastAsia="仿宋_GB2312" w:hAnsi="宋体" w:cs="仿宋" w:hint="eastAsia"/>
          <w:kern w:val="0"/>
          <w:sz w:val="28"/>
          <w:szCs w:val="28"/>
        </w:rPr>
        <w:t>（黄海高程），</w:t>
      </w:r>
      <w:r>
        <w:rPr>
          <w:rFonts w:ascii="仿宋_GB2312" w:eastAsia="仿宋_GB2312" w:hAnsi="宋体" w:cs="仿宋"/>
          <w:kern w:val="0"/>
          <w:sz w:val="28"/>
          <w:szCs w:val="28"/>
        </w:rPr>
        <w:t>50</w:t>
      </w:r>
      <w:r>
        <w:rPr>
          <w:rFonts w:ascii="仿宋_GB2312" w:eastAsia="仿宋_GB2312" w:hAnsi="宋体" w:cs="仿宋" w:hint="eastAsia"/>
          <w:kern w:val="0"/>
          <w:sz w:val="28"/>
          <w:szCs w:val="28"/>
        </w:rPr>
        <w:t>年一遇最高洪水位</w:t>
      </w:r>
      <w:r>
        <w:rPr>
          <w:rFonts w:ascii="仿宋_GB2312" w:eastAsia="仿宋_GB2312" w:hAnsi="宋体" w:cs="仿宋"/>
          <w:kern w:val="0"/>
          <w:sz w:val="28"/>
          <w:szCs w:val="28"/>
        </w:rPr>
        <w:t>202.61m</w:t>
      </w:r>
      <w:r>
        <w:rPr>
          <w:rFonts w:ascii="仿宋_GB2312" w:eastAsia="仿宋_GB2312" w:hAnsi="宋体" w:cs="仿宋" w:hint="eastAsia"/>
          <w:kern w:val="0"/>
          <w:sz w:val="28"/>
          <w:szCs w:val="28"/>
        </w:rPr>
        <w:t>（黄海高程），常年水位</w:t>
      </w:r>
      <w:r>
        <w:rPr>
          <w:rFonts w:ascii="仿宋_GB2312" w:eastAsia="仿宋_GB2312" w:hAnsi="宋体" w:cs="仿宋"/>
          <w:kern w:val="0"/>
          <w:sz w:val="28"/>
          <w:szCs w:val="28"/>
        </w:rPr>
        <w:t>174.2m</w:t>
      </w:r>
      <w:r>
        <w:rPr>
          <w:rFonts w:ascii="仿宋_GB2312" w:eastAsia="仿宋_GB2312" w:hAnsi="宋体" w:cs="仿宋" w:hint="eastAsia"/>
          <w:kern w:val="0"/>
          <w:sz w:val="28"/>
          <w:szCs w:val="28"/>
        </w:rPr>
        <w:t>（黄海高程），全年水位变化规律是</w:t>
      </w:r>
      <w:r>
        <w:rPr>
          <w:rFonts w:ascii="仿宋_GB2312" w:eastAsia="仿宋_GB2312" w:hAnsi="宋体" w:cs="仿宋"/>
          <w:kern w:val="0"/>
          <w:sz w:val="28"/>
          <w:szCs w:val="28"/>
        </w:rPr>
        <w:t>2</w:t>
      </w:r>
      <w:r>
        <w:rPr>
          <w:rFonts w:ascii="仿宋_GB2312" w:eastAsia="仿宋_GB2312" w:hAnsi="宋体" w:cs="仿宋" w:hint="eastAsia"/>
          <w:kern w:val="0"/>
          <w:sz w:val="28"/>
          <w:szCs w:val="28"/>
        </w:rPr>
        <w:t>～</w:t>
      </w:r>
      <w:r>
        <w:rPr>
          <w:rFonts w:ascii="仿宋_GB2312" w:eastAsia="仿宋_GB2312" w:hAnsi="宋体" w:cs="仿宋"/>
          <w:kern w:val="0"/>
          <w:sz w:val="28"/>
          <w:szCs w:val="28"/>
        </w:rPr>
        <w:t>4</w:t>
      </w:r>
      <w:r>
        <w:rPr>
          <w:rFonts w:ascii="仿宋_GB2312" w:eastAsia="仿宋_GB2312" w:hAnsi="宋体" w:cs="仿宋" w:hint="eastAsia"/>
          <w:kern w:val="0"/>
          <w:sz w:val="28"/>
          <w:szCs w:val="28"/>
        </w:rPr>
        <w:t>月为最低水位期，</w:t>
      </w:r>
      <w:r>
        <w:rPr>
          <w:rFonts w:ascii="仿宋_GB2312" w:eastAsia="仿宋_GB2312" w:hAnsi="宋体" w:cs="仿宋"/>
          <w:kern w:val="0"/>
          <w:sz w:val="28"/>
          <w:szCs w:val="28"/>
        </w:rPr>
        <w:t>7</w:t>
      </w:r>
      <w:r>
        <w:rPr>
          <w:rFonts w:ascii="仿宋_GB2312" w:eastAsia="仿宋_GB2312" w:hAnsi="宋体" w:cs="仿宋" w:hint="eastAsia"/>
          <w:kern w:val="0"/>
          <w:sz w:val="28"/>
          <w:szCs w:val="28"/>
        </w:rPr>
        <w:t>～</w:t>
      </w:r>
      <w:r>
        <w:rPr>
          <w:rFonts w:ascii="仿宋_GB2312" w:eastAsia="仿宋_GB2312" w:hAnsi="宋体" w:cs="仿宋"/>
          <w:kern w:val="0"/>
          <w:sz w:val="28"/>
          <w:szCs w:val="28"/>
        </w:rPr>
        <w:t>9</w:t>
      </w:r>
      <w:r>
        <w:rPr>
          <w:rFonts w:ascii="仿宋_GB2312" w:eastAsia="仿宋_GB2312" w:hAnsi="宋体" w:cs="仿宋" w:hint="eastAsia"/>
          <w:kern w:val="0"/>
          <w:sz w:val="28"/>
          <w:szCs w:val="28"/>
        </w:rPr>
        <w:t>月为最高洪水期。勘察期水位</w:t>
      </w:r>
      <w:r>
        <w:rPr>
          <w:rFonts w:ascii="仿宋_GB2312" w:eastAsia="仿宋_GB2312" w:hAnsi="宋体" w:cs="仿宋"/>
          <w:kern w:val="0"/>
          <w:sz w:val="28"/>
          <w:szCs w:val="28"/>
        </w:rPr>
        <w:t>175.82m</w:t>
      </w:r>
      <w:r>
        <w:rPr>
          <w:rFonts w:ascii="仿宋_GB2312" w:eastAsia="仿宋_GB2312" w:hAnsi="宋体" w:cs="仿宋" w:hint="eastAsia"/>
          <w:kern w:val="0"/>
          <w:sz w:val="28"/>
          <w:szCs w:val="28"/>
        </w:rPr>
        <w:t>，总体江水流速较缓慢。</w:t>
      </w:r>
    </w:p>
    <w:p>
      <w:pPr>
        <w:spacing w:line="500" w:lineRule="auto"/>
        <w:ind w:firstLine="560" w:firstLineChars="200"/>
      </w:pPr>
      <w:r>
        <w:rPr>
          <w:rFonts w:ascii="仿宋_GB2312" w:eastAsia="仿宋_GB2312" w:hAnsi="宋体" w:cs="仿宋" w:hint="eastAsia"/>
          <w:kern w:val="0"/>
          <w:sz w:val="28"/>
          <w:szCs w:val="28"/>
        </w:rPr>
        <w:t>可见桥位低水位期为2月下旬至5月份，水位变化区间166 m -172m，10月至次年2月为蓄水期，水位在174m，水流平缓，这两个时段有助于基础施工，而6-9月汛期由于水位高、流速大</w:t>
      </w:r>
      <w:r>
        <w:rPr>
          <w:rFonts w:ascii="仿宋_GB2312" w:eastAsia="仿宋_GB2312" w:hAnsi="宋体" w:cs="仿宋" w:hint="eastAsia"/>
          <w:kern w:val="0"/>
          <w:sz w:val="28"/>
          <w:szCs w:val="28"/>
          <w:lang w:eastAsia="zh-CN"/>
        </w:rPr>
        <w:t>，且将</w:t>
      </w:r>
      <w:r>
        <w:rPr>
          <w:rFonts w:ascii="仿宋_GB2312" w:eastAsia="仿宋_GB2312" w:hAnsi="宋体" w:cs="仿宋" w:hint="eastAsia"/>
          <w:kern w:val="0"/>
          <w:sz w:val="28"/>
          <w:szCs w:val="28"/>
          <w:lang w:val="en-US" w:eastAsia="zh-CN"/>
        </w:rPr>
        <w:t>P6边坡坡脚土方及承台所有淹没，</w:t>
      </w:r>
      <w:r>
        <w:rPr>
          <w:rFonts w:ascii="仿宋_GB2312" w:eastAsia="仿宋_GB2312" w:hAnsi="宋体" w:cs="仿宋" w:hint="eastAsia"/>
          <w:kern w:val="0"/>
          <w:sz w:val="28"/>
          <w:szCs w:val="28"/>
          <w:lang w:eastAsia="zh-CN"/>
        </w:rPr>
        <w:t>不利于下部结构施工。故</w:t>
      </w:r>
      <w:r>
        <w:rPr>
          <w:rFonts w:ascii="仿宋_GB2312" w:eastAsia="仿宋_GB2312" w:hAnsi="宋体" w:cs="仿宋" w:hint="eastAsia"/>
          <w:kern w:val="0"/>
          <w:sz w:val="28"/>
          <w:szCs w:val="28"/>
          <w:lang w:val="en-US" w:eastAsia="zh-CN"/>
        </w:rPr>
        <w:t>P6边坡支护施工及承台应在汛期来临前施工完毕，防止P6边坡坡脚被洪水冲刷、淹没，即保证了边坡整体稳定性，也保证了P6基坑不被洪水淹没及边坡土方的滑坡，水土嘉陵江大桥总工期得以保障。</w:t>
      </w:r>
    </w:p>
    <w:p>
      <w:pPr>
        <w:pStyle w:val="BodyText"/>
        <w:rPr>
          <w:rFonts w:hint="eastAsia"/>
          <w:lang w:val="en-US" w:eastAsia="zh-CN"/>
        </w:rPr>
      </w:pPr>
    </w:p>
    <w:p>
      <w:pPr>
        <w:pStyle w:val="Heading2"/>
        <w:numPr>
          <w:ilvl w:val="0"/>
          <w:numId w:val="4"/>
        </w:numPr>
        <w:spacing w:line="500" w:lineRule="auto"/>
        <w:ind w:left="0" w:firstLine="420" w:leftChars="0" w:firstLineChars="0"/>
        <w:rPr>
          <w:rFonts w:ascii="仿宋" w:eastAsia="仿宋" w:hAnsi="仿宋" w:cs="仿宋" w:hint="eastAsia"/>
          <w:sz w:val="28"/>
          <w:szCs w:val="28"/>
          <w:lang w:val="en-US" w:eastAsia="zh-CN"/>
        </w:rPr>
      </w:pPr>
      <w:bookmarkStart w:id="14" w:name="_Toc19830"/>
      <w:bookmarkStart w:id="15" w:name="_Toc3478"/>
      <w:bookmarkStart w:id="16" w:name="_Toc2795"/>
      <w:bookmarkStart w:id="17" w:name="_Toc11149"/>
      <w:r>
        <w:rPr>
          <w:rFonts w:hint="eastAsia"/>
          <w:bCs w:val="0"/>
          <w:szCs w:val="20"/>
        </w:rPr>
        <w:t>周边影响</w:t>
      </w:r>
      <w:bookmarkEnd w:id="14"/>
      <w:bookmarkEnd w:id="15"/>
      <w:bookmarkEnd w:id="16"/>
      <w:bookmarkEnd w:id="17"/>
    </w:p>
    <w:p>
      <w:pPr>
        <w:keepNext w:val="0"/>
        <w:keepLines w:val="0"/>
        <w:pageBreakBefore w:val="0"/>
        <w:widowControl w:val="0"/>
        <w:kinsoku/>
        <w:wordWrap/>
        <w:overflowPunct/>
        <w:topLinePunct w:val="0"/>
        <w:autoSpaceDE/>
        <w:autoSpaceDN/>
        <w:bidi w:val="0"/>
        <w:adjustRightInd/>
        <w:snapToGrid/>
        <w:spacing w:line="500" w:lineRule="auto"/>
        <w:ind w:right="0" w:rightChars="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P6#墩上游60m左右，有两条华能电厂供水管道，在P6#墩施工便道施工时拟建钢便桥上跨其管道，以保护供水管道安全。</w:t>
      </w:r>
    </w:p>
    <w:p>
      <w:pPr>
        <w:keepNext w:val="0"/>
        <w:keepLines w:val="0"/>
        <w:pageBreakBefore w:val="0"/>
        <w:widowControl w:val="0"/>
        <w:kinsoku/>
        <w:wordWrap/>
        <w:overflowPunct/>
        <w:topLinePunct w:val="0"/>
        <w:autoSpaceDE/>
        <w:autoSpaceDN/>
        <w:bidi w:val="0"/>
        <w:adjustRightInd/>
        <w:snapToGrid/>
        <w:spacing w:line="500" w:lineRule="auto"/>
        <w:ind w:right="0" w:rightChars="0"/>
        <w:jc w:val="both"/>
        <w:textAlignment w:val="auto"/>
        <w:outlineLvl w:val="9"/>
        <w:rPr>
          <w:rFonts w:ascii="仿宋" w:hAnsi="仿宋" w:cs="仿宋" w:hint="eastAsia"/>
          <w:szCs w:val="28"/>
        </w:rPr>
        <w:sectPr>
          <w:type w:val="nextPage"/>
          <w:pgSz w:w="11906" w:h="16838"/>
          <w:pgMar w:top="1134" w:right="1134" w:bottom="1134" w:left="1418" w:header="851" w:footer="992" w:gutter="0"/>
          <w:pgNumType w:fmt="decimal" w:start="4"/>
          <w:cols w:num="1" w:space="425"/>
          <w:titlePg w:val="0"/>
          <w:docGrid w:type="lines" w:linePitch="312" w:charSpace="0"/>
        </w:sectPr>
      </w:pPr>
      <w:r>
        <w:rPr>
          <w:rFonts w:ascii="仿宋" w:eastAsia="仿宋" w:hAnsi="仿宋" w:cs="仿宋" w:hint="eastAsia"/>
          <w:sz w:val="28"/>
          <w:szCs w:val="28"/>
          <w:lang w:val="en-US" w:eastAsia="zh-CN"/>
        </w:rPr>
        <w:t>P6墩</w:t>
      </w:r>
      <w:r>
        <w:rPr>
          <w:rFonts w:ascii="仿宋" w:hAnsi="仿宋" w:cs="仿宋" w:hint="eastAsia"/>
          <w:sz w:val="28"/>
          <w:szCs w:val="28"/>
          <w:lang w:val="en-US" w:eastAsia="zh-CN"/>
        </w:rPr>
        <w:t>坡顶</w:t>
      </w:r>
      <w:r>
        <w:rPr>
          <w:rFonts w:ascii="仿宋" w:eastAsia="仿宋" w:hAnsi="仿宋" w:cs="仿宋" w:hint="eastAsia"/>
          <w:sz w:val="28"/>
          <w:szCs w:val="28"/>
          <w:lang w:val="en-US" w:eastAsia="zh-CN"/>
        </w:rPr>
        <w:t>到A7桥台之间主桥下方有一条8.5米土两公路，在距A7桥台约17m处</w:t>
      </w:r>
      <w:r>
        <w:rPr>
          <w:rFonts w:ascii="仿宋" w:hAnsi="仿宋" w:cs="仿宋" w:hint="eastAsia"/>
          <w:sz w:val="28"/>
          <w:szCs w:val="28"/>
          <w:lang w:val="en-US" w:eastAsia="zh-CN"/>
        </w:rPr>
        <w:t>是</w:t>
      </w:r>
      <w:r>
        <w:rPr>
          <w:rFonts w:ascii="仿宋" w:eastAsia="仿宋" w:hAnsi="仿宋" w:cs="仿宋" w:hint="eastAsia"/>
          <w:sz w:val="28"/>
          <w:szCs w:val="28"/>
          <w:lang w:val="en-US" w:eastAsia="zh-CN"/>
        </w:rPr>
        <w:t>川鑫公司富豪加油站，所以</w:t>
      </w:r>
      <w:r>
        <w:rPr>
          <w:rFonts w:ascii="仿宋" w:hAnsi="仿宋" w:cs="仿宋" w:hint="eastAsia"/>
          <w:sz w:val="28"/>
          <w:szCs w:val="28"/>
          <w:lang w:val="en-US" w:eastAsia="zh-CN"/>
        </w:rPr>
        <w:t>P6边坡开挖</w:t>
      </w:r>
      <w:r>
        <w:rPr>
          <w:rFonts w:ascii="仿宋" w:eastAsia="仿宋" w:hAnsi="仿宋" w:cs="仿宋" w:hint="eastAsia"/>
          <w:sz w:val="28"/>
          <w:szCs w:val="28"/>
          <w:lang w:val="en-US" w:eastAsia="zh-CN"/>
        </w:rPr>
        <w:t>严禁爆破施工，并加强对</w:t>
      </w:r>
      <w:r>
        <w:rPr>
          <w:rFonts w:ascii="仿宋" w:hAnsi="仿宋" w:cs="仿宋" w:hint="eastAsia"/>
          <w:sz w:val="28"/>
          <w:szCs w:val="28"/>
          <w:lang w:val="en-US" w:eastAsia="zh-CN"/>
        </w:rPr>
        <w:t>边坡</w:t>
      </w:r>
      <w:r>
        <w:rPr>
          <w:rFonts w:ascii="仿宋" w:eastAsia="仿宋" w:hAnsi="仿宋" w:cs="仿宋" w:hint="eastAsia"/>
          <w:sz w:val="28"/>
          <w:szCs w:val="28"/>
          <w:lang w:val="en-US" w:eastAsia="zh-CN"/>
        </w:rPr>
        <w:t>及加油站</w:t>
      </w:r>
      <w:r>
        <w:rPr>
          <w:rFonts w:ascii="仿宋" w:hAnsi="仿宋" w:cs="仿宋" w:hint="eastAsia"/>
          <w:sz w:val="28"/>
          <w:szCs w:val="28"/>
          <w:lang w:val="en-US" w:eastAsia="zh-CN"/>
        </w:rPr>
        <w:t>进行</w:t>
      </w:r>
      <w:r>
        <w:rPr>
          <w:rFonts w:ascii="仿宋" w:eastAsia="仿宋" w:hAnsi="仿宋" w:cs="仿宋" w:hint="eastAsia"/>
          <w:sz w:val="28"/>
          <w:szCs w:val="28"/>
          <w:lang w:val="en-US" w:eastAsia="zh-CN"/>
        </w:rPr>
        <w:t>监测。</w:t>
      </w:r>
    </w:p>
    <w:p>
      <w:pPr>
        <w:pStyle w:val="Heading2"/>
        <w:numPr>
          <w:ilvl w:val="0"/>
          <w:numId w:val="4"/>
        </w:numPr>
        <w:spacing w:line="500" w:lineRule="auto"/>
        <w:ind w:left="0" w:firstLine="420" w:leftChars="0" w:firstLineChars="0"/>
        <w:rPr>
          <w:rFonts w:hint="eastAsia"/>
        </w:rPr>
      </w:pPr>
      <w:bookmarkStart w:id="18" w:name="_Toc360547567"/>
      <w:bookmarkStart w:id="19" w:name="_Toc23681"/>
      <w:bookmarkStart w:id="20" w:name="_Toc335747391"/>
      <w:r>
        <w:rPr>
          <w:rFonts w:hint="eastAsia"/>
        </w:rPr>
        <w:t>危险性较大的分部分项工程概况</w:t>
      </w:r>
      <w:bookmarkEnd w:id="18"/>
      <w:bookmarkEnd w:id="19"/>
      <w:bookmarkEnd w:id="20"/>
    </w:p>
    <w:p>
      <w:pPr>
        <w:spacing w:line="500" w:lineRule="auto"/>
        <w:rPr>
          <w:rFonts w:hint="eastAsia"/>
        </w:rPr>
      </w:pPr>
      <w:r>
        <w:rPr>
          <w:rFonts w:hint="eastAsia"/>
          <w:lang w:val="en-US" w:eastAsia="zh-CN"/>
        </w:rPr>
        <w:t>1、本工程边坡防护工程工程量大，防护形式多，涉及到多专业，多工种，平行交叉作业。在高边坡上作业，施工工作面大，属高空作业，危险系数大，安全防治工作难度大。</w:t>
      </w:r>
    </w:p>
    <w:p>
      <w:pPr>
        <w:spacing w:line="500" w:lineRule="auto"/>
        <w:rPr>
          <w:rFonts w:hint="eastAsia"/>
        </w:rPr>
      </w:pPr>
      <w:r>
        <w:rPr>
          <w:rFonts w:hint="eastAsia"/>
          <w:lang w:val="en-US" w:eastAsia="zh-CN"/>
        </w:rPr>
        <w:t>2、本工程部分边坡工程位于城市主干道一侧，是水土至两路交通要道，在施工过程中需要占用半幅道路，又要保证道路的正常通行，对施工的组织协调、平立面管理提出了较高规定。</w:t>
      </w:r>
    </w:p>
    <w:p>
      <w:pPr>
        <w:spacing w:line="500" w:lineRule="auto"/>
        <w:rPr>
          <w:rFonts w:hint="eastAsia"/>
        </w:rPr>
      </w:pPr>
      <w:r>
        <w:rPr>
          <w:rFonts w:hint="eastAsia"/>
          <w:lang w:val="en-US" w:eastAsia="zh-CN"/>
        </w:rPr>
        <w:t>3、P6墩下游高切坡最大高度为29米，覆盖土层较厚约2～8m，下伏基岩为砂岩及泥岩，岩体较为完整，岩体基本质量等级为Ⅳ级。边坡一方面实行坡顶抗滑桩，待抗滑桩混凝土强度达成100%再进行下游侧坡面土体清除，再进行锚杆工程施工。</w:t>
      </w:r>
    </w:p>
    <w:p>
      <w:pPr>
        <w:spacing w:line="500" w:lineRule="auto"/>
        <w:rPr>
          <w:rFonts w:hint="eastAsia"/>
        </w:rPr>
      </w:pPr>
      <w:r>
        <w:rPr>
          <w:rFonts w:hint="eastAsia"/>
          <w:lang w:val="en-US" w:eastAsia="zh-CN"/>
        </w:rPr>
        <w:t>4、边坡根据设计规定以及地质现状条件采用1:1.5（土层）、1:1（强风化基岩）、1:1（中风化基岩）从上向下放坡且大于8米的边坡分阶进行放坡，中间设立平台，宽度不小于2米，并结合格架措施对自然坡面进行防护解决，跳槽开挖。</w:t>
      </w:r>
    </w:p>
    <w:p>
      <w:pPr>
        <w:spacing w:line="500" w:lineRule="auto"/>
        <w:rPr>
          <w:rFonts w:hint="eastAsia"/>
        </w:rPr>
      </w:pPr>
      <w:r>
        <w:rPr>
          <w:rFonts w:hint="eastAsia"/>
          <w:lang w:val="en-US" w:eastAsia="zh-CN"/>
        </w:rPr>
        <w:t>5、</w:t>
      </w:r>
      <w:r>
        <w:rPr>
          <w:rFonts w:hint="eastAsia"/>
        </w:rPr>
        <w:t>边坡坡顶做好截、排水措施，及时排走地表水。坡顶防护栏杆高度不小于1.2米，加强在施工过程中和施工后</w:t>
      </w:r>
      <w:r>
        <w:rPr>
          <w:rFonts w:hint="eastAsia"/>
          <w:lang w:eastAsia="zh-CN"/>
        </w:rPr>
        <w:t>的</w:t>
      </w:r>
      <w:r>
        <w:rPr>
          <w:rFonts w:hint="eastAsia"/>
        </w:rPr>
        <w:t>坡面坡顶截排水措施，坡</w:t>
      </w:r>
      <w:r>
        <w:rPr>
          <w:rFonts w:hint="eastAsia"/>
          <w:lang w:eastAsia="zh-CN"/>
        </w:rPr>
        <w:t>面</w:t>
      </w:r>
      <w:r>
        <w:rPr>
          <w:rFonts w:hint="eastAsia"/>
        </w:rPr>
        <w:t>应加强防渗排水措施，避免坡面水渗入坡面，影响边坡安全。</w:t>
      </w:r>
    </w:p>
    <w:p>
      <w:pPr>
        <w:spacing w:line="500" w:lineRule="auto"/>
        <w:rPr>
          <w:rFonts w:hint="eastAsia"/>
        </w:rPr>
        <w:sectPr>
          <w:type w:val="nextPage"/>
          <w:pgSz w:w="11906" w:h="16838"/>
          <w:pgMar w:top="1134" w:right="1134" w:bottom="1134" w:left="1418" w:header="851" w:footer="992" w:gutter="0"/>
          <w:pgNumType w:fmt="decimal" w:start="5"/>
          <w:cols w:num="1" w:space="425"/>
          <w:titlePg w:val="0"/>
          <w:docGrid w:type="lines" w:linePitch="312" w:charSpace="0"/>
        </w:sectPr>
      </w:pPr>
      <w:r>
        <w:rPr>
          <w:rFonts w:hint="eastAsia"/>
          <w:lang w:val="en-US" w:eastAsia="zh-CN"/>
        </w:rPr>
        <w:t>6、收集水文资料，观测水文变化，保障边坡及承台在洪期来临之前完毕，避免导致边坡坡脚被洪水冲刷及承台基坑淹没的影响。</w:t>
      </w:r>
    </w:p>
    <w:p>
      <w:pPr>
        <w:spacing w:line="500" w:lineRule="auto"/>
        <w:rPr>
          <w:rFonts w:hint="eastAsia"/>
        </w:rPr>
      </w:pPr>
      <w:r>
        <w:rPr>
          <w:rFonts w:hint="eastAsia"/>
          <w:lang w:val="en-US" w:eastAsia="zh-CN"/>
        </w:rPr>
        <w:t>7、</w:t>
      </w:r>
      <w:r>
        <w:rPr>
          <w:rFonts w:hint="eastAsia"/>
        </w:rPr>
        <w:t>施工过程和施工结束后，</w:t>
      </w:r>
      <w:r>
        <w:rPr>
          <w:rFonts w:hint="eastAsia"/>
          <w:lang w:eastAsia="zh-CN"/>
        </w:rPr>
        <w:t>规定对边坡进行</w:t>
      </w:r>
      <w:r>
        <w:rPr>
          <w:rFonts w:hint="eastAsia"/>
        </w:rPr>
        <w:t>监测，做好对边坡和邻近构筑物的变形和位移监测，一旦发现异常情况，应采用有效工程措施，</w:t>
      </w:r>
      <w:r>
        <w:rPr>
          <w:rFonts w:hint="eastAsia"/>
          <w:lang w:eastAsia="zh-CN"/>
        </w:rPr>
        <w:t>保证现有土两公路的稳定性，</w:t>
      </w:r>
      <w:r>
        <w:rPr>
          <w:rFonts w:hint="eastAsia"/>
        </w:rPr>
        <w:t>防止土石滚落</w:t>
      </w:r>
      <w:r>
        <w:rPr>
          <w:rFonts w:hint="eastAsia"/>
          <w:lang w:eastAsia="zh-CN"/>
        </w:rPr>
        <w:t>至</w:t>
      </w:r>
      <w:r>
        <w:rPr>
          <w:rFonts w:hint="eastAsia"/>
          <w:lang w:val="en-US" w:eastAsia="zh-CN"/>
        </w:rPr>
        <w:t>P6墩边坡内，</w:t>
      </w:r>
      <w:r>
        <w:rPr>
          <w:rFonts w:hint="eastAsia"/>
        </w:rPr>
        <w:t>避免</w:t>
      </w:r>
      <w:r>
        <w:rPr>
          <w:rFonts w:hint="eastAsia"/>
          <w:lang w:eastAsia="zh-CN"/>
        </w:rPr>
        <w:t>人员伤亡的事故发生</w:t>
      </w:r>
      <w:r>
        <w:rPr>
          <w:rFonts w:hint="eastAsia"/>
        </w:rPr>
        <w:t>。</w:t>
      </w:r>
    </w:p>
    <w:p>
      <w:pPr>
        <w:pStyle w:val="Heading2"/>
        <w:numPr>
          <w:ilvl w:val="0"/>
          <w:numId w:val="4"/>
        </w:numPr>
        <w:spacing w:line="500" w:lineRule="auto"/>
        <w:ind w:left="0" w:firstLine="420" w:leftChars="0" w:firstLineChars="0"/>
        <w:rPr>
          <w:rFonts w:hint="eastAsia"/>
        </w:rPr>
      </w:pPr>
      <w:bookmarkStart w:id="21" w:name="_Toc360547568"/>
      <w:bookmarkStart w:id="22" w:name="_Toc24543"/>
      <w:bookmarkStart w:id="23" w:name="_Toc335747393"/>
      <w:r>
        <w:rPr>
          <w:rFonts w:hint="eastAsia"/>
        </w:rPr>
        <w:t>施工规定</w:t>
      </w:r>
      <w:bookmarkEnd w:id="21"/>
      <w:bookmarkEnd w:id="22"/>
      <w:bookmarkEnd w:id="23"/>
    </w:p>
    <w:p>
      <w:pPr>
        <w:spacing w:line="500" w:lineRule="auto"/>
        <w:rPr>
          <w:rFonts w:hint="eastAsia"/>
        </w:rPr>
      </w:pPr>
      <w:r>
        <w:rPr>
          <w:rFonts w:hint="eastAsia"/>
          <w:lang w:val="en-US" w:eastAsia="zh-CN"/>
        </w:rPr>
        <w:t>1、</w:t>
      </w:r>
      <w:r>
        <w:rPr>
          <w:rFonts w:hint="eastAsia"/>
        </w:rPr>
        <w:t>施工前作好施工方案，施工严格遵守国家及重庆的有关规范及规程。整个施工过程中建立健全完善的安全保卫措施，保证边坡施工中的安全。 </w:t>
      </w:r>
    </w:p>
    <w:p>
      <w:pPr>
        <w:spacing w:line="500" w:lineRule="auto"/>
        <w:rPr>
          <w:rFonts w:hint="eastAsia"/>
        </w:rPr>
      </w:pPr>
      <w:r>
        <w:rPr>
          <w:rFonts w:hint="eastAsia"/>
          <w:lang w:val="en-US" w:eastAsia="zh-CN"/>
        </w:rPr>
        <w:t>2、</w:t>
      </w:r>
      <w:r>
        <w:rPr>
          <w:rFonts w:hint="eastAsia"/>
        </w:rPr>
        <w:t>边坡施工</w:t>
      </w:r>
      <w:r>
        <w:rPr>
          <w:rFonts w:hint="eastAsia"/>
          <w:lang w:eastAsia="zh-CN"/>
        </w:rPr>
        <w:t>拟定</w:t>
      </w:r>
      <w:r>
        <w:rPr>
          <w:rFonts w:hint="eastAsia"/>
        </w:rPr>
        <w:t>先施工坡顶截水沟，然后土方由上至下边开挖边支护，开挖采用水平分层，每段按50m控制，每层开挖高度不超过</w:t>
      </w:r>
      <w:r>
        <w:rPr>
          <w:rFonts w:hint="eastAsia"/>
          <w:lang w:val="en-US" w:eastAsia="zh-CN"/>
        </w:rPr>
        <w:t>3</w:t>
      </w:r>
      <w:r>
        <w:rPr>
          <w:rFonts w:hint="eastAsia"/>
        </w:rPr>
        <w:t>m，采用分段分层跳槽进行，保证施工安全。杜绝无序大开挖作业。</w:t>
      </w:r>
    </w:p>
    <w:p>
      <w:pPr>
        <w:spacing w:line="500" w:lineRule="auto"/>
        <w:rPr>
          <w:rFonts w:hint="eastAsia"/>
        </w:rPr>
      </w:pPr>
      <w:r>
        <w:rPr>
          <w:rFonts w:hint="eastAsia"/>
          <w:lang w:val="en-US" w:eastAsia="zh-CN"/>
        </w:rPr>
        <w:t>3、</w:t>
      </w:r>
      <w:r>
        <w:rPr>
          <w:rFonts w:hint="eastAsia"/>
        </w:rPr>
        <w:t>本工程土方开挖采用机械开挖方式施工。 </w:t>
      </w:r>
    </w:p>
    <w:p>
      <w:pPr>
        <w:spacing w:line="500" w:lineRule="auto"/>
        <w:rPr>
          <w:rFonts w:hint="eastAsia"/>
        </w:rPr>
      </w:pPr>
      <w:r>
        <w:rPr>
          <w:rFonts w:hint="eastAsia"/>
          <w:lang w:val="en-US" w:eastAsia="zh-CN"/>
        </w:rPr>
        <w:t>4、</w:t>
      </w:r>
      <w:r>
        <w:rPr>
          <w:rFonts w:hint="eastAsia"/>
        </w:rPr>
        <w:t>边坡施工开挖后，</w:t>
      </w:r>
      <w:r>
        <w:rPr>
          <w:rFonts w:hint="eastAsia"/>
          <w:lang w:eastAsia="zh-CN"/>
        </w:rPr>
        <w:t>及时采用设计</w:t>
      </w:r>
      <w:r>
        <w:rPr>
          <w:rFonts w:hint="eastAsia"/>
        </w:rPr>
        <w:t>支护措施</w:t>
      </w:r>
      <w:r>
        <w:rPr>
          <w:rFonts w:hint="eastAsia"/>
          <w:lang w:eastAsia="zh-CN"/>
        </w:rPr>
        <w:t>进行防护</w:t>
      </w:r>
      <w:r>
        <w:rPr>
          <w:rFonts w:hint="eastAsia"/>
        </w:rPr>
        <w:t>。 </w:t>
      </w:r>
    </w:p>
    <w:p>
      <w:pPr>
        <w:spacing w:line="500" w:lineRule="auto"/>
        <w:rPr>
          <w:rFonts w:hint="eastAsia"/>
        </w:rPr>
      </w:pPr>
      <w:r>
        <w:rPr>
          <w:rFonts w:hint="eastAsia"/>
          <w:lang w:val="en-US" w:eastAsia="zh-CN"/>
        </w:rPr>
        <w:t>5、</w:t>
      </w:r>
      <w:r>
        <w:rPr>
          <w:rFonts w:hint="eastAsia"/>
        </w:rPr>
        <w:t>本工程采用动态设计，信息法施工，施工及时将现场有关信息反馈设计，以便设计根据现场实际情况调整和修改设计。 </w:t>
      </w:r>
    </w:p>
    <w:p>
      <w:pPr>
        <w:spacing w:line="500" w:lineRule="auto"/>
        <w:rPr>
          <w:rFonts w:hint="eastAsia"/>
        </w:rPr>
      </w:pPr>
      <w:r>
        <w:rPr>
          <w:rFonts w:hint="eastAsia"/>
          <w:lang w:val="en-US" w:eastAsia="zh-CN"/>
        </w:rPr>
        <w:t>6、</w:t>
      </w:r>
      <w:r>
        <w:rPr>
          <w:rFonts w:hint="eastAsia"/>
        </w:rPr>
        <w:t>坡顶设立截水沟，减少地表水渗入边坡内，坡脚设排水沟，对易滑坡、坍塌地段加强观测并及时做好防护措施，如坡顶卸载等。</w:t>
      </w:r>
    </w:p>
    <w:p>
      <w:pPr>
        <w:pStyle w:val="Heading2"/>
        <w:numPr>
          <w:ilvl w:val="0"/>
          <w:numId w:val="4"/>
        </w:numPr>
        <w:spacing w:line="500" w:lineRule="auto"/>
        <w:ind w:left="0" w:firstLine="420" w:leftChars="0" w:firstLineChars="0"/>
        <w:rPr>
          <w:rFonts w:hint="eastAsia"/>
        </w:rPr>
      </w:pPr>
      <w:bookmarkStart w:id="24" w:name="_Toc7956"/>
      <w:bookmarkStart w:id="25" w:name="_Toc335747394"/>
      <w:bookmarkStart w:id="26" w:name="_Toc360547569"/>
      <w:r>
        <w:rPr>
          <w:rFonts w:hint="eastAsia"/>
        </w:rPr>
        <w:t>技术保证条件</w:t>
      </w:r>
      <w:bookmarkEnd w:id="24"/>
      <w:bookmarkEnd w:id="25"/>
      <w:bookmarkEnd w:id="26"/>
    </w:p>
    <w:p>
      <w:pPr>
        <w:spacing w:line="500" w:lineRule="auto"/>
        <w:rPr>
          <w:rFonts w:hint="eastAsia"/>
        </w:rPr>
        <w:sectPr>
          <w:type w:val="nextPage"/>
          <w:pgSz w:w="11906" w:h="16838"/>
          <w:pgMar w:top="1134" w:right="1134" w:bottom="1134" w:left="1418" w:header="851" w:footer="992" w:gutter="0"/>
          <w:pgNumType w:fmt="decimal" w:start="6"/>
          <w:cols w:num="1" w:space="425"/>
          <w:titlePg w:val="0"/>
          <w:docGrid w:type="lines" w:linePitch="312" w:charSpace="0"/>
        </w:sectPr>
      </w:pPr>
      <w:r>
        <w:rPr>
          <w:rFonts w:hint="eastAsia"/>
        </w:rPr>
        <w:t>1、合理安排施工顺序,在技术力量、施工力量、机械设备等方面需予以重点保障。</w:t>
      </w:r>
    </w:p>
    <w:p>
      <w:pPr>
        <w:spacing w:line="500" w:lineRule="auto"/>
        <w:rPr>
          <w:rFonts w:hint="eastAsia"/>
        </w:rPr>
      </w:pPr>
      <w:r>
        <w:rPr>
          <w:rFonts w:hint="eastAsia"/>
        </w:rPr>
        <w:t>2、根据施工图纸，对工程技术进行策划，并形成一套完整的技术措施，保证各项施工技术不存在死角。</w:t>
      </w:r>
    </w:p>
    <w:p>
      <w:pPr>
        <w:spacing w:line="500" w:lineRule="auto"/>
        <w:rPr>
          <w:rFonts w:hint="eastAsia"/>
        </w:rPr>
      </w:pPr>
      <w:r>
        <w:rPr>
          <w:rFonts w:hint="eastAsia"/>
        </w:rPr>
        <w:t>3、施工前进行技术交底。对施工中的各个技术要点、施工程序操作要点和质量标准进行具体的技术交底。交底内容由工程部以书面形式负责传达贯彻贯彻。</w:t>
      </w:r>
    </w:p>
    <w:p>
      <w:pPr>
        <w:spacing w:line="500" w:lineRule="auto"/>
        <w:rPr>
          <w:rFonts w:hint="eastAsia"/>
        </w:rPr>
      </w:pPr>
      <w:r>
        <w:rPr>
          <w:rFonts w:hint="eastAsia"/>
        </w:rPr>
        <w:t>4、进场前作好机具准备，进行机具保养，对施工现场实地调查，合理组织施工。</w:t>
      </w:r>
    </w:p>
    <w:p>
      <w:pPr>
        <w:spacing w:line="500" w:lineRule="auto"/>
        <w:rPr>
          <w:rFonts w:hint="eastAsia"/>
        </w:rPr>
      </w:pPr>
      <w:r>
        <w:rPr>
          <w:rFonts w:hint="eastAsia"/>
        </w:rPr>
        <w:t>5、实行对施工各道工序进行严格的质量检查制度，施工过程中作业队对工序进行自检，现场技术员进行工艺技术自检，发现问题，及时解决；</w:t>
      </w:r>
    </w:p>
    <w:p>
      <w:pPr>
        <w:spacing w:line="500" w:lineRule="auto"/>
        <w:rPr>
          <w:rFonts w:hint="eastAsia"/>
        </w:rPr>
      </w:pPr>
      <w:r>
        <w:rPr>
          <w:rFonts w:hint="eastAsia"/>
        </w:rPr>
        <w:t>6、施工计划控制，项目经理部每周开一次质量工作会，检查贯彻工程质量工作，研究工程质量状况和改善措施；</w:t>
      </w:r>
    </w:p>
    <w:p>
      <w:pPr>
        <w:spacing w:line="500" w:lineRule="auto"/>
        <w:rPr>
          <w:rFonts w:ascii="仿宋_GB2312" w:eastAsia="仿宋_GB2312" w:hAnsi="宋体" w:cs="仿宋"/>
          <w:kern w:val="0"/>
          <w:sz w:val="24"/>
          <w:szCs w:val="24"/>
        </w:rPr>
      </w:pPr>
      <w:r>
        <w:rPr>
          <w:rFonts w:hint="eastAsia"/>
        </w:rPr>
        <w:t>7、实行质量检查否决制，各道工序的施工工艺和操作方法必须符合技术规范规定。</w:t>
      </w:r>
    </w:p>
    <w:p>
      <w:pPr>
        <w:pStyle w:val="Heading1"/>
        <w:spacing w:line="500" w:lineRule="auto"/>
      </w:pPr>
      <w:bookmarkStart w:id="27" w:name="_Toc12411"/>
      <w:r>
        <w:rPr>
          <w:rFonts w:hint="eastAsia"/>
        </w:rPr>
        <w:t>二、编制依据</w:t>
      </w:r>
      <w:bookmarkEnd w:id="27"/>
    </w:p>
    <w:p>
      <w:pPr>
        <w:spacing w:line="500" w:lineRule="auto"/>
      </w:pPr>
      <w:r>
        <w:t>1</w:t>
      </w:r>
      <w:r>
        <w:rPr>
          <w:rFonts w:hint="eastAsia"/>
        </w:rPr>
        <w:t>、《重庆水土嘉陵江大桥工程招标文献》；</w:t>
      </w:r>
    </w:p>
    <w:p>
      <w:pPr>
        <w:spacing w:line="500" w:lineRule="auto"/>
      </w:pPr>
      <w:r>
        <w:t>2</w:t>
      </w:r>
      <w:r>
        <w:rPr>
          <w:rFonts w:hint="eastAsia"/>
        </w:rPr>
        <w:t>、重庆水土嘉陵江大桥工程施工组织设计、设计图纸、技术规范等。</w:t>
      </w:r>
    </w:p>
    <w:p>
      <w:pPr>
        <w:spacing w:line="500" w:lineRule="auto"/>
        <w:rPr>
          <w:rFonts w:hint="eastAsia"/>
        </w:rPr>
      </w:pPr>
      <w:r>
        <w:t>3</w:t>
      </w:r>
      <w:r>
        <w:rPr>
          <w:rFonts w:hint="eastAsia"/>
        </w:rPr>
        <w:t>、《公路桥涵施工技术规范》（</w:t>
      </w:r>
      <w:r>
        <w:t>JTG/T F50-2023</w:t>
      </w:r>
      <w:r>
        <w:rPr>
          <w:rFonts w:hint="eastAsia"/>
        </w:rPr>
        <w:t>）；</w:t>
      </w:r>
    </w:p>
    <w:p>
      <w:pPr>
        <w:spacing w:line="500" w:lineRule="auto"/>
        <w:rPr>
          <w:rFonts w:hint="eastAsia"/>
        </w:rPr>
      </w:pPr>
      <w:r>
        <w:rPr>
          <w:rFonts w:hint="eastAsia"/>
          <w:lang w:val="en-US" w:eastAsia="zh-CN"/>
        </w:rPr>
        <w:t>4</w:t>
      </w:r>
      <w:r>
        <w:rPr>
          <w:rFonts w:hint="eastAsia"/>
        </w:rPr>
        <w:t>、《建筑工程施工质量评价标准》</w:t>
      </w:r>
      <w:r>
        <w:rPr>
          <w:rFonts w:hint="eastAsia"/>
          <w:lang w:eastAsia="zh-CN"/>
        </w:rPr>
        <w:t>（</w:t>
      </w:r>
      <w:r>
        <w:rPr>
          <w:rFonts w:hint="eastAsia"/>
        </w:rPr>
        <w:t> GB /T50375-2023</w:t>
      </w:r>
      <w:r>
        <w:rPr>
          <w:rFonts w:hint="eastAsia"/>
          <w:lang w:eastAsia="zh-CN"/>
        </w:rPr>
        <w:t>）；</w:t>
      </w:r>
      <w:r>
        <w:rPr>
          <w:rFonts w:hint="eastAsia"/>
        </w:rPr>
        <w:t> </w:t>
      </w:r>
    </w:p>
    <w:p>
      <w:pPr>
        <w:spacing w:line="500" w:lineRule="auto"/>
        <w:sectPr>
          <w:type w:val="nextPage"/>
          <w:pgSz w:w="11906" w:h="16838"/>
          <w:pgMar w:top="1134" w:right="1134" w:bottom="1134" w:left="1418" w:header="851" w:footer="992" w:gutter="0"/>
          <w:pgNumType w:fmt="decimal" w:start="7"/>
          <w:cols w:num="1" w:space="425"/>
          <w:titlePg w:val="0"/>
          <w:docGrid w:type="lines" w:linePitch="312" w:charSpace="0"/>
        </w:sectPr>
      </w:pPr>
      <w:r>
        <w:rPr>
          <w:rFonts w:hint="eastAsia"/>
          <w:lang w:val="en-US" w:eastAsia="zh-CN"/>
        </w:rPr>
        <w:t>5</w:t>
      </w:r>
      <w:r>
        <w:rPr>
          <w:rFonts w:hint="eastAsia"/>
        </w:rPr>
        <w:t>、《工程测量规范》（</w:t>
      </w:r>
      <w:r>
        <w:t>GB50026—2023</w:t>
      </w:r>
      <w:r>
        <w:rPr>
          <w:rFonts w:hint="eastAsia"/>
        </w:rPr>
        <w:t>）；</w:t>
      </w:r>
    </w:p>
    <w:p>
      <w:pPr>
        <w:spacing w:line="500" w:lineRule="auto"/>
      </w:pPr>
      <w:r>
        <w:rPr>
          <w:rFonts w:hint="eastAsia"/>
          <w:lang w:val="en-US" w:eastAsia="zh-CN"/>
        </w:rPr>
        <w:t>6</w:t>
      </w:r>
      <w:r>
        <w:rPr>
          <w:rFonts w:hint="eastAsia"/>
        </w:rPr>
        <w:t>、《危险性较大的分部分项工程安全管理办法》建质</w:t>
      </w:r>
      <w:r>
        <w:t>[2023]87</w:t>
      </w:r>
      <w:r>
        <w:rPr>
          <w:rFonts w:hint="eastAsia"/>
        </w:rPr>
        <w:t>号；</w:t>
      </w:r>
    </w:p>
    <w:p>
      <w:pPr>
        <w:spacing w:line="500" w:lineRule="auto"/>
      </w:pPr>
      <w:r>
        <w:rPr>
          <w:rFonts w:hint="eastAsia"/>
          <w:lang w:val="en-US" w:eastAsia="zh-CN"/>
        </w:rPr>
        <w:t>7</w:t>
      </w:r>
      <w:r>
        <w:rPr>
          <w:rFonts w:hint="eastAsia"/>
        </w:rPr>
        <w:t>、《建筑工程防止高程坠落事故若干规定》和《建筑工程防止坍塌事故若干规定》建质</w:t>
      </w:r>
      <w:r>
        <w:t>[2023]82</w:t>
      </w:r>
      <w:r>
        <w:rPr>
          <w:rFonts w:hint="eastAsia"/>
        </w:rPr>
        <w:t>号；</w:t>
      </w:r>
    </w:p>
    <w:p>
      <w:pPr>
        <w:spacing w:line="500" w:lineRule="auto"/>
      </w:pPr>
      <w:r>
        <w:rPr>
          <w:rFonts w:hint="eastAsia"/>
          <w:lang w:val="en-US" w:eastAsia="zh-CN"/>
        </w:rPr>
        <w:t>8</w:t>
      </w:r>
      <w:r>
        <w:rPr>
          <w:rFonts w:hint="eastAsia"/>
        </w:rPr>
        <w:t>、《建设工程安全生产管理条例》（国务院</w:t>
      </w:r>
      <w:r>
        <w:t>393</w:t>
      </w:r>
      <w:r>
        <w:rPr>
          <w:rFonts w:hint="eastAsia"/>
        </w:rPr>
        <w:t>号令）；</w:t>
      </w:r>
    </w:p>
    <w:p>
      <w:pPr>
        <w:spacing w:line="500" w:lineRule="auto"/>
      </w:pPr>
      <w:r>
        <w:rPr>
          <w:rFonts w:hint="eastAsia"/>
          <w:lang w:val="en-US" w:eastAsia="zh-CN"/>
        </w:rPr>
        <w:t>9</w:t>
      </w:r>
      <w:r>
        <w:rPr>
          <w:rFonts w:hint="eastAsia"/>
        </w:rPr>
        <w:t>、《建筑施工高处作业安全技术规范》（</w:t>
      </w:r>
      <w:r>
        <w:t>JGJ80-</w:t>
      </w:r>
      <w:r>
        <w:rPr>
          <w:rFonts w:hint="eastAsia"/>
          <w:lang w:val="en-US" w:eastAsia="zh-CN"/>
        </w:rPr>
        <w:t>2023</w:t>
      </w:r>
      <w:r>
        <w:rPr>
          <w:rFonts w:hint="eastAsia"/>
        </w:rPr>
        <w:t>）；</w:t>
      </w:r>
    </w:p>
    <w:p>
      <w:pPr>
        <w:spacing w:line="500" w:lineRule="auto"/>
      </w:pPr>
      <w:r>
        <w:rPr>
          <w:rFonts w:hint="eastAsia"/>
          <w:lang w:val="en-US" w:eastAsia="zh-CN"/>
        </w:rPr>
        <w:t>10</w:t>
      </w:r>
      <w:r>
        <w:rPr>
          <w:rFonts w:hint="eastAsia"/>
        </w:rPr>
        <w:t>、《施工现场临时用电安全技术规范》（</w:t>
      </w:r>
      <w:r>
        <w:t>JGJ46-2023</w:t>
      </w:r>
      <w:r>
        <w:rPr>
          <w:rFonts w:hint="eastAsia"/>
        </w:rPr>
        <w:t>）；</w:t>
      </w:r>
    </w:p>
    <w:p>
      <w:pPr>
        <w:spacing w:line="500" w:lineRule="auto"/>
      </w:pPr>
      <w:r>
        <w:rPr>
          <w:rFonts w:hint="eastAsia"/>
          <w:lang w:val="en-US" w:eastAsia="zh-CN"/>
        </w:rPr>
        <w:t>11</w:t>
      </w:r>
      <w:r>
        <w:rPr>
          <w:rFonts w:hint="eastAsia"/>
        </w:rPr>
        <w:t>、《建筑机械使用安全技术规范》（</w:t>
      </w:r>
      <w:r>
        <w:t>JGJ33-2023</w:t>
      </w:r>
      <w:r>
        <w:rPr>
          <w:rFonts w:hint="eastAsia"/>
        </w:rPr>
        <w:t>）；</w:t>
      </w:r>
    </w:p>
    <w:p>
      <w:pPr>
        <w:spacing w:line="500" w:lineRule="auto"/>
        <w:rPr>
          <w:rFonts w:hint="eastAsia"/>
        </w:rPr>
      </w:pPr>
      <w:r>
        <w:rPr>
          <w:rFonts w:hint="eastAsia"/>
          <w:lang w:val="en-US" w:eastAsia="zh-CN"/>
        </w:rPr>
        <w:t>12</w:t>
      </w:r>
      <w:r>
        <w:rPr>
          <w:rFonts w:hint="eastAsia"/>
        </w:rPr>
        <w:t>、《建筑现场机械设备检查验收技术规程》（</w:t>
      </w:r>
      <w:r>
        <w:t>JGJ160-2023</w:t>
      </w:r>
      <w:r>
        <w:rPr>
          <w:rFonts w:hint="eastAsia"/>
        </w:rPr>
        <w:t>）；</w:t>
      </w:r>
    </w:p>
    <w:p>
      <w:pPr>
        <w:spacing w:line="500" w:lineRule="auto"/>
        <w:rPr>
          <w:rFonts w:hint="eastAsia"/>
        </w:rPr>
      </w:pPr>
      <w:r>
        <w:rPr>
          <w:rFonts w:hint="eastAsia"/>
          <w:lang w:val="en-US" w:eastAsia="zh-CN"/>
        </w:rPr>
        <w:t>13</w:t>
      </w:r>
      <w:r>
        <w:rPr>
          <w:rFonts w:hint="eastAsia"/>
        </w:rPr>
        <w:t>、《建筑变形测量规范》  </w:t>
      </w:r>
      <w:r>
        <w:rPr>
          <w:rFonts w:hint="eastAsia"/>
          <w:lang w:val="en-US" w:eastAsia="zh-CN"/>
        </w:rPr>
        <w:t>(</w:t>
      </w:r>
      <w:r>
        <w:rPr>
          <w:rFonts w:hint="eastAsia"/>
        </w:rPr>
        <w:t>  JGJ/T8-2023</w:t>
      </w:r>
      <w:r>
        <w:rPr>
          <w:rFonts w:hint="eastAsia"/>
          <w:lang w:val="en-US" w:eastAsia="zh-CN"/>
        </w:rPr>
        <w:t>)</w:t>
      </w:r>
      <w:r>
        <w:rPr>
          <w:rFonts w:hint="eastAsia"/>
        </w:rPr>
        <w:t> </w:t>
      </w:r>
    </w:p>
    <w:p>
      <w:pPr>
        <w:spacing w:line="500" w:lineRule="auto"/>
      </w:pPr>
      <w:r>
        <w:rPr>
          <w:rFonts w:hint="eastAsia"/>
          <w:lang w:val="en-US" w:eastAsia="zh-CN"/>
        </w:rPr>
        <w:t>14</w:t>
      </w:r>
      <w:r>
        <w:rPr>
          <w:rFonts w:hint="eastAsia"/>
        </w:rPr>
        <w:t>、《建筑施工作业劳动防护用品配备及施工标准》（</w:t>
      </w:r>
      <w:r>
        <w:t>JGJ184-2023</w:t>
      </w:r>
      <w:r>
        <w:rPr>
          <w:rFonts w:hint="eastAsia"/>
        </w:rPr>
        <w:t>）；</w:t>
      </w:r>
    </w:p>
    <w:p>
      <w:pPr>
        <w:spacing w:line="500" w:lineRule="auto"/>
      </w:pPr>
      <w:r>
        <w:rPr>
          <w:rFonts w:hint="eastAsia"/>
          <w:lang w:val="en-US" w:eastAsia="zh-CN"/>
        </w:rPr>
        <w:t>15</w:t>
      </w:r>
      <w:r>
        <w:rPr>
          <w:rFonts w:hint="eastAsia"/>
        </w:rPr>
        <w:t>、《高处作业分级》（</w:t>
      </w:r>
      <w:r>
        <w:t>GB/T3608-2023</w:t>
      </w:r>
      <w:r>
        <w:rPr>
          <w:rFonts w:hint="eastAsia"/>
        </w:rPr>
        <w:t>）；</w:t>
      </w:r>
    </w:p>
    <w:p>
      <w:pPr>
        <w:spacing w:line="500" w:lineRule="auto"/>
      </w:pPr>
      <w:r>
        <w:rPr>
          <w:rFonts w:hint="eastAsia"/>
          <w:lang w:val="en-US" w:eastAsia="zh-CN"/>
        </w:rPr>
        <w:t>16</w:t>
      </w:r>
      <w:r>
        <w:rPr>
          <w:rFonts w:hint="eastAsia"/>
        </w:rPr>
        <w:t>、《生产经营单位生产安全事故应急预案编制导则》（</w:t>
      </w:r>
      <w:r>
        <w:t>GB/T 29639—2023</w:t>
      </w:r>
      <w:r>
        <w:rPr>
          <w:rFonts w:hint="eastAsia"/>
        </w:rPr>
        <w:t>）；</w:t>
      </w:r>
    </w:p>
    <w:p>
      <w:pPr>
        <w:spacing w:line="500" w:lineRule="auto"/>
      </w:pPr>
      <w:r>
        <w:rPr>
          <w:rFonts w:hint="eastAsia"/>
          <w:lang w:val="en-US" w:eastAsia="zh-CN"/>
        </w:rPr>
        <w:t>17</w:t>
      </w:r>
      <w:r>
        <w:rPr>
          <w:rFonts w:hint="eastAsia"/>
        </w:rPr>
        <w:t>、《公司职工伤亡事故分类标准》</w:t>
      </w:r>
      <w:r>
        <w:t>(GB6441-86)</w:t>
      </w:r>
    </w:p>
    <w:p>
      <w:pPr>
        <w:spacing w:line="500" w:lineRule="auto"/>
      </w:pPr>
      <w:r>
        <w:rPr>
          <w:rFonts w:hint="eastAsia"/>
          <w:lang w:val="en-US" w:eastAsia="zh-CN"/>
        </w:rPr>
        <w:t>18</w:t>
      </w:r>
      <w:r>
        <w:rPr>
          <w:rFonts w:hint="eastAsia"/>
        </w:rPr>
        <w:t>、《重庆市危险性较大的分部分项工程安全管理实行细则》渝建发</w:t>
      </w:r>
      <w:r>
        <w:t>[2023]16</w:t>
      </w:r>
      <w:r>
        <w:rPr>
          <w:rFonts w:hint="eastAsia"/>
        </w:rPr>
        <w:t>号</w:t>
      </w:r>
    </w:p>
    <w:p>
      <w:pPr>
        <w:spacing w:line="500" w:lineRule="auto"/>
      </w:pPr>
      <w:r>
        <w:rPr>
          <w:rFonts w:hint="eastAsia"/>
          <w:lang w:val="en-US" w:eastAsia="zh-CN"/>
        </w:rPr>
        <w:t>19</w:t>
      </w:r>
      <w:r>
        <w:rPr>
          <w:rFonts w:hint="eastAsia"/>
        </w:rPr>
        <w:t>、《建设工程施工现场消防安全技术规范》</w:t>
      </w:r>
      <w:r>
        <w:t>(GB50720-2023)</w:t>
      </w:r>
    </w:p>
    <w:p>
      <w:pPr>
        <w:spacing w:line="500" w:lineRule="auto"/>
        <w:sectPr>
          <w:type w:val="nextPage"/>
          <w:pgSz w:w="11906" w:h="16838"/>
          <w:pgMar w:top="1134" w:right="1134" w:bottom="1134" w:left="1418" w:header="851" w:footer="992" w:gutter="0"/>
          <w:pgNumType w:fmt="decimal" w:start="8"/>
          <w:cols w:num="1" w:space="425"/>
          <w:titlePg w:val="0"/>
          <w:docGrid w:type="lines" w:linePitch="312" w:charSpace="0"/>
        </w:sectPr>
      </w:pPr>
      <w:r>
        <w:rPr>
          <w:rFonts w:hint="eastAsia"/>
          <w:lang w:val="en-US" w:eastAsia="zh-CN"/>
        </w:rPr>
        <w:t>20</w:t>
      </w:r>
      <w:r>
        <w:rPr>
          <w:rFonts w:hint="eastAsia"/>
        </w:rPr>
        <w:t>、《建筑边坡工程技术规范》（</w:t>
      </w:r>
      <w:r>
        <w:t>GB50330-2023</w:t>
      </w:r>
      <w:r>
        <w:rPr>
          <w:rFonts w:hint="eastAsia"/>
        </w:rPr>
        <w:t>）</w:t>
      </w:r>
    </w:p>
    <w:p>
      <w:pPr>
        <w:spacing w:line="500" w:lineRule="auto"/>
        <w:rPr>
          <w:rFonts w:hint="eastAsia"/>
        </w:rPr>
      </w:pPr>
      <w:r>
        <w:rPr>
          <w:rFonts w:hint="eastAsia"/>
          <w:lang w:val="en-US" w:eastAsia="zh-CN"/>
        </w:rPr>
        <w:t>21</w:t>
      </w:r>
      <w:r>
        <w:rPr>
          <w:rFonts w:hint="eastAsia"/>
        </w:rPr>
        <w:t>、《建筑施工土石方工程安全技术规范》（</w:t>
      </w:r>
      <w:r>
        <w:t>JGJ180-2023</w:t>
      </w:r>
      <w:r>
        <w:rPr>
          <w:rFonts w:hint="eastAsia"/>
        </w:rPr>
        <w:t>）</w:t>
      </w:r>
    </w:p>
    <w:p>
      <w:pPr>
        <w:spacing w:line="500" w:lineRule="auto"/>
        <w:rPr>
          <w:rFonts w:hint="eastAsia"/>
        </w:rPr>
      </w:pPr>
      <w:r>
        <w:rPr>
          <w:rFonts w:hint="eastAsia"/>
          <w:lang w:val="en-US" w:eastAsia="zh-CN"/>
        </w:rPr>
        <w:t>22、《关于印发危险性较大的分部分项工程安全管理实行细则的告知》</w:t>
      </w:r>
      <w:r>
        <w:rPr>
          <w:rFonts w:hint="eastAsia"/>
          <w:lang w:eastAsia="zh-CN"/>
        </w:rPr>
        <w:t>（</w:t>
      </w:r>
      <w:r>
        <w:rPr>
          <w:rFonts w:hint="eastAsia"/>
        </w:rPr>
        <w:t>渝建发[2023</w:t>
      </w:r>
      <w:r>
        <w:rPr>
          <w:rFonts w:hint="eastAsia"/>
        </w:rPr>
        <w:t>]</w:t>
      </w:r>
      <w:r>
        <w:rPr>
          <w:rFonts w:hint="eastAsia"/>
          <w:lang w:val="en-US" w:eastAsia="zh-CN"/>
        </w:rPr>
        <w:t>1</w:t>
      </w:r>
      <w:r>
        <w:rPr>
          <w:rFonts w:hint="eastAsia"/>
        </w:rPr>
        <w:t>6号</w:t>
      </w:r>
      <w:r>
        <w:rPr>
          <w:rFonts w:hint="eastAsia"/>
          <w:lang w:eastAsia="zh-CN"/>
        </w:rPr>
        <w:t>）</w:t>
      </w:r>
      <w:r>
        <w:rPr>
          <w:rFonts w:hint="eastAsia"/>
        </w:rPr>
        <w:t>。</w:t>
      </w:r>
    </w:p>
    <w:p>
      <w:pPr>
        <w:spacing w:line="500" w:lineRule="auto"/>
        <w:rPr>
          <w:rFonts w:hint="eastAsia"/>
        </w:rPr>
      </w:pPr>
      <w:r>
        <w:rPr>
          <w:rFonts w:hint="eastAsia"/>
          <w:lang w:val="en-US" w:eastAsia="zh-CN"/>
        </w:rPr>
        <w:t>23</w:t>
      </w:r>
      <w:r>
        <w:rPr>
          <w:rFonts w:hint="eastAsia"/>
        </w:rPr>
        <w:t>、</w:t>
      </w:r>
      <w:r>
        <w:rPr>
          <w:rFonts w:hint="eastAsia"/>
          <w:lang w:eastAsia="zh-CN"/>
        </w:rPr>
        <w:t>《关于进一步深化危险性较大的分部分项工程安全管理工作的告知》（</w:t>
      </w:r>
      <w:r>
        <w:rPr>
          <w:rFonts w:hint="eastAsia"/>
        </w:rPr>
        <w:t>渝建</w:t>
      </w:r>
      <w:r>
        <w:rPr>
          <w:rFonts w:hint="eastAsia"/>
          <w:lang w:eastAsia="zh-CN"/>
        </w:rPr>
        <w:t>安</w:t>
      </w:r>
      <w:r>
        <w:rPr>
          <w:rFonts w:hint="eastAsia"/>
        </w:rPr>
        <w:t>发[2023</w:t>
      </w:r>
      <w:r>
        <w:rPr>
          <w:rFonts w:hint="eastAsia"/>
        </w:rPr>
        <w:t>]</w:t>
      </w:r>
      <w:r>
        <w:rPr>
          <w:rFonts w:hint="eastAsia"/>
          <w:lang w:val="en-US" w:eastAsia="zh-CN"/>
        </w:rPr>
        <w:t>22</w:t>
      </w:r>
      <w:r>
        <w:rPr>
          <w:rFonts w:hint="eastAsia"/>
        </w:rPr>
        <w:t>号</w:t>
      </w:r>
      <w:r>
        <w:rPr>
          <w:rFonts w:hint="eastAsia"/>
          <w:lang w:eastAsia="zh-CN"/>
        </w:rPr>
        <w:t>）</w:t>
      </w:r>
      <w:r>
        <w:rPr>
          <w:rFonts w:hint="eastAsia"/>
        </w:rPr>
        <w:t>。 </w:t>
      </w:r>
    </w:p>
    <w:p>
      <w:pPr>
        <w:spacing w:line="500" w:lineRule="auto"/>
        <w:rPr>
          <w:rFonts w:hint="eastAsia"/>
        </w:rPr>
      </w:pPr>
      <w:r>
        <w:rPr>
          <w:rFonts w:hint="eastAsia"/>
          <w:lang w:val="en-US" w:eastAsia="zh-CN"/>
        </w:rPr>
        <w:t>24</w:t>
      </w:r>
      <w:r>
        <w:rPr>
          <w:rFonts w:hint="eastAsia"/>
        </w:rPr>
        <w:t>、</w:t>
      </w:r>
      <w:r>
        <w:rPr>
          <w:rFonts w:hint="eastAsia"/>
          <w:lang w:eastAsia="zh-CN"/>
        </w:rPr>
        <w:t>《水土嘉陵江大桥</w:t>
      </w:r>
      <w:r>
        <w:rPr>
          <w:rFonts w:hint="eastAsia"/>
          <w:lang w:val="en-US" w:eastAsia="zh-CN"/>
        </w:rPr>
        <w:t>K3+340～K3+380段南侧边坡补充勘察</w:t>
      </w:r>
      <w:r>
        <w:rPr>
          <w:rFonts w:hint="eastAsia"/>
          <w:lang w:eastAsia="zh-CN"/>
        </w:rPr>
        <w:t>》</w:t>
      </w:r>
      <w:r>
        <w:rPr>
          <w:rFonts w:hint="eastAsia"/>
        </w:rPr>
        <w:t>地勘报告</w:t>
      </w:r>
      <w:r>
        <w:rPr>
          <w:rFonts w:hint="eastAsia"/>
          <w:lang w:eastAsia="zh-CN"/>
        </w:rPr>
        <w:t>等</w:t>
      </w:r>
      <w:r>
        <w:rPr>
          <w:rFonts w:hint="eastAsia"/>
        </w:rPr>
        <w:t>。  </w:t>
      </w:r>
    </w:p>
    <w:p>
      <w:pPr>
        <w:spacing w:line="500" w:lineRule="auto"/>
        <w:rPr>
          <w:rFonts w:hint="eastAsia"/>
        </w:rPr>
      </w:pPr>
      <w:r>
        <w:rPr>
          <w:rFonts w:hint="eastAsia"/>
          <w:lang w:val="en-US" w:eastAsia="zh-CN"/>
        </w:rPr>
        <w:t>25、</w:t>
      </w:r>
      <w:r>
        <w:rPr>
          <w:rFonts w:hint="eastAsia"/>
          <w:lang w:eastAsia="zh-CN"/>
        </w:rPr>
        <w:t>《岩土锚杆与喷射混凝土支护工程技术规范》（GB50086-2023）</w:t>
      </w:r>
    </w:p>
    <w:p>
      <w:pPr>
        <w:spacing w:line="500" w:lineRule="auto"/>
        <w:rPr>
          <w:rFonts w:hint="eastAsia"/>
        </w:rPr>
      </w:pPr>
      <w:r>
        <w:rPr>
          <w:rFonts w:hint="eastAsia"/>
          <w:lang w:val="en-US" w:eastAsia="zh-CN"/>
        </w:rPr>
        <w:t>26、《建筑基坑工程监测技术规范》（GB50497-2023）</w:t>
      </w:r>
    </w:p>
    <w:p>
      <w:pPr>
        <w:spacing w:line="500" w:lineRule="auto"/>
        <w:rPr>
          <w:rFonts w:hint="eastAsia"/>
        </w:rPr>
      </w:pPr>
      <w:r>
        <w:rPr>
          <w:rFonts w:hint="eastAsia"/>
          <w:lang w:val="en-US" w:eastAsia="zh-CN"/>
        </w:rPr>
        <w:t>27、《公路工程施工安全技术规程》（JTGF90-2023）</w:t>
      </w:r>
    </w:p>
    <w:p>
      <w:pPr>
        <w:spacing w:line="500" w:lineRule="auto"/>
        <w:rPr>
          <w:rFonts w:hint="eastAsia"/>
        </w:rPr>
      </w:pPr>
      <w:r>
        <w:rPr>
          <w:rFonts w:hint="eastAsia"/>
          <w:lang w:val="en-US" w:eastAsia="zh-CN"/>
        </w:rPr>
        <w:t>28、《建筑施工安全检查标准》（JGJ59-2023）</w:t>
      </w:r>
    </w:p>
    <w:p>
      <w:pPr>
        <w:spacing w:line="500" w:lineRule="auto"/>
        <w:rPr>
          <w:rFonts w:hint="eastAsia"/>
        </w:rPr>
      </w:pPr>
      <w:r>
        <w:rPr>
          <w:rFonts w:hint="eastAsia"/>
          <w:lang w:val="en-US" w:eastAsia="zh-CN"/>
        </w:rPr>
        <w:t>29、《建筑施工高处作业安全技术规范》（JGJ80-2023）</w:t>
      </w:r>
    </w:p>
    <w:p>
      <w:pPr>
        <w:spacing w:line="500" w:lineRule="auto"/>
        <w:rPr>
          <w:rFonts w:hint="eastAsia"/>
        </w:rPr>
      </w:pPr>
      <w:r>
        <w:rPr>
          <w:rFonts w:hint="eastAsia"/>
          <w:lang w:val="en-US" w:eastAsia="zh-CN"/>
        </w:rPr>
        <w:t>30、《重庆市建设委员会关于印发进一步规范重庆高切坡、深开挖、高填方项目管理的若干规定的告知》（渝建发[2023]47号）</w:t>
      </w:r>
    </w:p>
    <w:p>
      <w:pPr>
        <w:spacing w:line="500" w:lineRule="auto"/>
        <w:rPr>
          <w:rFonts w:hint="eastAsia"/>
        </w:rPr>
      </w:pPr>
      <w:r>
        <w:rPr>
          <w:rFonts w:hint="eastAsia"/>
          <w:lang w:val="en-US" w:eastAsia="zh-CN"/>
        </w:rPr>
        <w:t>31、《重庆市建设委员会关于认真贯彻贯彻进一步规范重庆高切坡、深开挖、高填方项目管理的若干规定的告知》（渝建发[2023]76号）</w:t>
      </w:r>
    </w:p>
    <w:p>
      <w:pPr>
        <w:spacing w:line="500" w:lineRule="auto"/>
        <w:rPr>
          <w:rFonts w:hint="eastAsia"/>
        </w:rPr>
        <w:sectPr>
          <w:type w:val="nextPage"/>
          <w:pgSz w:w="11906" w:h="16838"/>
          <w:pgMar w:top="1134" w:right="1134" w:bottom="1134" w:left="1418" w:header="851" w:footer="992" w:gutter="0"/>
          <w:pgNumType w:fmt="decimal" w:start="9"/>
          <w:cols w:num="1" w:space="425"/>
          <w:titlePg w:val="0"/>
          <w:docGrid w:type="lines" w:linePitch="312" w:charSpace="0"/>
        </w:sectPr>
      </w:pPr>
      <w:r>
        <w:rPr>
          <w:rFonts w:hint="eastAsia"/>
          <w:lang w:val="en-US" w:eastAsia="zh-CN"/>
        </w:rPr>
        <w:t>32、《关于进一步加强全市高切坡、深开挖、高填方项目勘察设计管理的意见》（渝建发[2023]16号）</w:t>
      </w:r>
    </w:p>
    <w:p>
      <w:pPr>
        <w:pStyle w:val="Heading1"/>
        <w:spacing w:line="500" w:lineRule="auto"/>
      </w:pPr>
      <w:bookmarkStart w:id="28" w:name="_Toc20068"/>
      <w:r>
        <w:rPr>
          <w:rFonts w:hint="eastAsia"/>
        </w:rPr>
        <w:t>三、施工计划</w:t>
      </w:r>
      <w:bookmarkEnd w:id="28"/>
    </w:p>
    <w:p>
      <w:pPr>
        <w:pStyle w:val="Heading2"/>
        <w:numPr>
          <w:ilvl w:val="0"/>
          <w:numId w:val="5"/>
        </w:numPr>
        <w:spacing w:line="500" w:lineRule="auto"/>
        <w:ind w:left="0" w:firstLine="0" w:leftChars="0" w:firstLineChars="0"/>
      </w:pPr>
      <w:bookmarkStart w:id="29" w:name="_Toc190"/>
      <w:r>
        <w:rPr>
          <w:rFonts w:hint="eastAsia"/>
        </w:rPr>
        <w:t>施工进度计划</w:t>
      </w:r>
      <w:bookmarkEnd w:id="29"/>
    </w:p>
    <w:p>
      <w:pPr>
        <w:tabs>
          <w:tab w:val="left" w:pos="4620"/>
        </w:tabs>
        <w:spacing w:line="500" w:lineRule="auto"/>
        <w:ind w:firstLine="560" w:firstLineChars="200"/>
        <w:rPr>
          <w:rFonts w:hint="eastAsia"/>
        </w:rPr>
      </w:pPr>
      <w:bookmarkStart w:id="30" w:name="_Toc32284"/>
      <w:r>
        <w:rPr>
          <w:rFonts w:ascii="仿宋" w:eastAsia="仿宋" w:hAnsi="仿宋" w:hint="eastAsia"/>
          <w:color w:val="000000"/>
          <w:sz w:val="28"/>
          <w:lang w:val="en-US" w:eastAsia="zh-CN"/>
        </w:rPr>
        <w:t>由于</w:t>
      </w:r>
      <w:r>
        <w:rPr>
          <w:rFonts w:ascii="仿宋" w:hAnsi="仿宋" w:hint="eastAsia"/>
          <w:color w:val="000000"/>
          <w:sz w:val="28"/>
          <w:lang w:val="en-US" w:eastAsia="zh-CN"/>
        </w:rPr>
        <w:t>P6</w:t>
      </w:r>
      <w:r>
        <w:rPr>
          <w:rFonts w:ascii="仿宋" w:eastAsia="仿宋" w:hAnsi="仿宋" w:hint="eastAsia"/>
          <w:color w:val="000000"/>
          <w:sz w:val="28"/>
          <w:lang w:val="en-US" w:eastAsia="zh-CN"/>
        </w:rPr>
        <w:t>墩位</w:t>
      </w:r>
      <w:r>
        <w:rPr>
          <w:rFonts w:ascii="仿宋" w:hAnsi="仿宋" w:hint="eastAsia"/>
          <w:color w:val="000000"/>
          <w:sz w:val="28"/>
          <w:lang w:val="en-US" w:eastAsia="zh-CN"/>
        </w:rPr>
        <w:t>上下游</w:t>
      </w:r>
      <w:r>
        <w:rPr>
          <w:rFonts w:ascii="仿宋" w:eastAsia="仿宋" w:hAnsi="仿宋" w:hint="eastAsia"/>
          <w:color w:val="000000"/>
          <w:sz w:val="28"/>
          <w:lang w:val="en-US" w:eastAsia="zh-CN"/>
        </w:rPr>
        <w:t>边坡</w:t>
      </w:r>
      <w:r>
        <w:rPr>
          <w:rFonts w:ascii="仿宋" w:hAnsi="仿宋" w:hint="eastAsia"/>
          <w:color w:val="000000"/>
          <w:sz w:val="28"/>
          <w:lang w:val="en-US" w:eastAsia="zh-CN"/>
        </w:rPr>
        <w:t>支护方案不一致</w:t>
      </w:r>
      <w:r>
        <w:rPr>
          <w:rFonts w:ascii="仿宋" w:eastAsia="仿宋" w:hAnsi="仿宋" w:hint="eastAsia"/>
          <w:color w:val="000000"/>
          <w:sz w:val="28"/>
          <w:lang w:val="en-US" w:eastAsia="zh-CN"/>
        </w:rPr>
        <w:t>，</w:t>
      </w:r>
      <w:r>
        <w:rPr>
          <w:rFonts w:ascii="仿宋" w:hAnsi="仿宋" w:hint="eastAsia"/>
          <w:color w:val="000000"/>
          <w:sz w:val="28"/>
          <w:lang w:val="en-US" w:eastAsia="zh-CN"/>
        </w:rPr>
        <w:t>考虑到先施工桩基再施工格架锚杆</w:t>
      </w:r>
      <w:r>
        <w:rPr>
          <w:rFonts w:ascii="仿宋" w:eastAsia="仿宋" w:hAnsi="仿宋" w:hint="eastAsia"/>
          <w:color w:val="000000"/>
          <w:sz w:val="28"/>
          <w:lang w:val="en-US" w:eastAsia="zh-CN"/>
        </w:rPr>
        <w:t>，故施工时间会不同样。故根据总体施工进度计划，</w:t>
      </w:r>
      <w:r>
        <w:rPr>
          <w:rFonts w:ascii="仿宋" w:hAnsi="仿宋" w:hint="eastAsia"/>
          <w:color w:val="000000"/>
          <w:sz w:val="28"/>
          <w:lang w:val="en-US" w:eastAsia="zh-CN"/>
        </w:rPr>
        <w:t>P6#</w:t>
      </w:r>
      <w:r>
        <w:rPr>
          <w:rFonts w:ascii="仿宋" w:eastAsia="仿宋" w:hAnsi="仿宋" w:hint="eastAsia"/>
          <w:color w:val="000000"/>
          <w:sz w:val="28"/>
          <w:lang w:val="en-US" w:eastAsia="zh-CN"/>
        </w:rPr>
        <w:t>墩位</w:t>
      </w:r>
      <w:r>
        <w:rPr>
          <w:rFonts w:ascii="仿宋" w:hAnsi="仿宋" w:hint="eastAsia"/>
          <w:color w:val="000000"/>
          <w:sz w:val="28"/>
          <w:lang w:val="en-US" w:eastAsia="zh-CN"/>
        </w:rPr>
        <w:t>上下游</w:t>
      </w:r>
      <w:r>
        <w:rPr>
          <w:rFonts w:ascii="仿宋" w:eastAsia="仿宋" w:hAnsi="仿宋" w:hint="eastAsia"/>
          <w:color w:val="000000"/>
          <w:sz w:val="28"/>
          <w:lang w:val="en-US" w:eastAsia="zh-CN"/>
        </w:rPr>
        <w:t>边坡</w:t>
      </w:r>
      <w:r>
        <w:rPr>
          <w:rFonts w:ascii="仿宋" w:hAnsi="仿宋" w:hint="eastAsia"/>
          <w:color w:val="000000"/>
          <w:sz w:val="28"/>
          <w:lang w:val="en-US" w:eastAsia="zh-CN"/>
        </w:rPr>
        <w:t>支</w:t>
      </w:r>
      <w:r>
        <w:rPr>
          <w:rFonts w:ascii="仿宋" w:eastAsia="仿宋" w:hAnsi="仿宋" w:hint="eastAsia"/>
          <w:color w:val="000000"/>
          <w:sz w:val="28"/>
          <w:lang w:val="en-US" w:eastAsia="zh-CN"/>
        </w:rPr>
        <w:t>护工期计划</w:t>
      </w:r>
      <w:r>
        <w:rPr>
          <w:rFonts w:ascii="仿宋" w:hAnsi="仿宋" w:hint="eastAsia"/>
          <w:color w:val="000000"/>
          <w:sz w:val="28"/>
          <w:lang w:val="en-US" w:eastAsia="zh-CN"/>
        </w:rPr>
        <w:t>详见附图。</w:t>
      </w:r>
    </w:p>
    <w:p>
      <w:pPr>
        <w:pStyle w:val="Heading2"/>
        <w:numPr>
          <w:ilvl w:val="0"/>
          <w:numId w:val="5"/>
        </w:numPr>
        <w:spacing w:line="500" w:lineRule="auto"/>
        <w:ind w:left="0" w:firstLine="0" w:leftChars="0" w:firstLineChars="0"/>
      </w:pPr>
      <w:r>
        <w:rPr>
          <w:rFonts w:hint="eastAsia"/>
        </w:rPr>
        <w:t>材料与设备计划</w:t>
      </w:r>
      <w:bookmarkEnd w:id="30"/>
    </w:p>
    <w:p>
      <w:pPr>
        <w:spacing w:line="500" w:lineRule="auto"/>
        <w:ind w:firstLine="560" w:firstLineChars="200"/>
        <w:rPr>
          <w:rFonts w:ascii="仿宋" w:hAnsi="仿宋" w:hint="eastAsia"/>
        </w:rPr>
      </w:pPr>
      <w:r>
        <w:rPr>
          <w:rFonts w:ascii="仿宋" w:eastAsia="仿宋" w:hAnsi="仿宋" w:hint="eastAsia"/>
          <w:sz w:val="28"/>
        </w:rPr>
        <w:t>根据协议约定，本工程</w:t>
      </w:r>
      <w:r>
        <w:rPr>
          <w:rFonts w:ascii="仿宋" w:hAnsi="仿宋" w:hint="eastAsia"/>
          <w:sz w:val="28"/>
          <w:lang w:eastAsia="zh-CN"/>
        </w:rPr>
        <w:t>材料均由集团物资部统一供应</w:t>
      </w:r>
      <w:r>
        <w:rPr>
          <w:rFonts w:ascii="仿宋" w:eastAsia="仿宋" w:hAnsi="仿宋" w:hint="eastAsia"/>
          <w:sz w:val="28"/>
        </w:rPr>
        <w:t>。</w:t>
      </w:r>
      <w:r>
        <w:rPr>
          <w:rFonts w:ascii="仿宋" w:hAnsi="仿宋" w:hint="eastAsia"/>
          <w:sz w:val="28"/>
          <w:lang w:val="en-US" w:eastAsia="zh-CN"/>
        </w:rPr>
        <w:t>项目部</w:t>
      </w:r>
      <w:r>
        <w:rPr>
          <w:rFonts w:ascii="仿宋" w:eastAsia="仿宋" w:hAnsi="仿宋" w:hint="eastAsia"/>
          <w:sz w:val="28"/>
          <w:lang w:val="en-US" w:eastAsia="zh-CN"/>
        </w:rPr>
        <w:t>提前一个月提交</w:t>
      </w:r>
      <w:r>
        <w:rPr>
          <w:rFonts w:ascii="仿宋" w:hAnsi="仿宋" w:hint="eastAsia"/>
          <w:sz w:val="28"/>
          <w:lang w:val="en-US" w:eastAsia="zh-CN"/>
        </w:rPr>
        <w:t>材料</w:t>
      </w:r>
      <w:r>
        <w:rPr>
          <w:rFonts w:ascii="仿宋" w:eastAsia="仿宋" w:hAnsi="仿宋" w:hint="eastAsia"/>
          <w:sz w:val="28"/>
          <w:lang w:val="en-US" w:eastAsia="zh-CN"/>
        </w:rPr>
        <w:t>使用计划，并考虑一定的材料储备，由</w:t>
      </w:r>
      <w:r>
        <w:rPr>
          <w:rFonts w:ascii="仿宋" w:hAnsi="仿宋" w:hint="eastAsia"/>
          <w:sz w:val="28"/>
          <w:lang w:val="en-US" w:eastAsia="zh-CN"/>
        </w:rPr>
        <w:t>集团物资部</w:t>
      </w:r>
      <w:r>
        <w:rPr>
          <w:rFonts w:ascii="仿宋" w:eastAsia="仿宋" w:hAnsi="仿宋" w:hint="eastAsia"/>
          <w:sz w:val="28"/>
          <w:lang w:val="en-US" w:eastAsia="zh-CN"/>
        </w:rPr>
        <w:t>负责采购合格材料，材料入场后提交各种出厂检查合格证书，现场做好入场验收和保管工作，以保证施工使用不受影响。</w:t>
      </w:r>
    </w:p>
    <w:p>
      <w:pPr>
        <w:numPr>
          <w:ilvl w:val="0"/>
          <w:numId w:val="6"/>
        </w:numPr>
        <w:spacing w:line="500" w:lineRule="auto"/>
        <w:ind w:left="0" w:firstLine="420" w:leftChars="0" w:firstLineChars="0"/>
        <w:rPr>
          <w:rFonts w:ascii="仿宋" w:hAnsi="仿宋" w:hint="eastAsia"/>
        </w:rPr>
      </w:pPr>
      <w:r>
        <w:rPr>
          <w:rFonts w:ascii="仿宋" w:eastAsia="仿宋" w:hAnsi="仿宋" w:hint="eastAsia"/>
          <w:sz w:val="28"/>
          <w:lang w:val="en-US" w:eastAsia="zh-CN"/>
        </w:rPr>
        <w:t>支护所用材料</w:t>
      </w:r>
    </w:p>
    <w:p>
      <w:pPr>
        <w:keepNext w:val="0"/>
        <w:keepLines w:val="0"/>
        <w:pageBreakBefore w:val="0"/>
        <w:widowControl w:val="0"/>
        <w:numPr>
          <w:ilvl w:val="0"/>
          <w:numId w:val="7"/>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eastAsia="仿宋" w:hAnsi="仿宋" w:hint="eastAsia"/>
          <w:sz w:val="28"/>
          <w:lang w:val="en-US" w:eastAsia="zh-CN"/>
        </w:rPr>
        <w:t>HPB300钢筋材料和连接应符合</w:t>
      </w:r>
      <w:hyperlink w:tgtFrame="_blank" w:history="1">
        <w:r>
          <w:rPr>
            <w:rFonts w:ascii="仿宋" w:eastAsia="仿宋" w:hAnsi="仿宋" w:hint="eastAsia"/>
            <w:sz w:val="28"/>
            <w:lang w:val="en-US" w:eastAsia="zh-CN"/>
          </w:rPr>
          <w:t>《钢筋混凝土用钢 第1部分:热轧光圆钢筋</w:t>
        </w:r>
      </w:hyperlink>
      <w:r>
        <w:rPr>
          <w:rFonts w:ascii="仿宋" w:eastAsia="仿宋" w:hAnsi="仿宋" w:hint="eastAsia"/>
          <w:sz w:val="28"/>
          <w:lang w:val="en-US" w:eastAsia="zh-CN"/>
        </w:rPr>
        <w:t>》（GB 1499.1－2023）标准规定；HRB400钢筋材料和连接应符合《钢筋混凝土用钢 第2部分:热轧带肋钢筋》(GB 1499.2－2023) 标准规定。</w:t>
      </w:r>
    </w:p>
    <w:p>
      <w:pPr>
        <w:keepNext w:val="0"/>
        <w:keepLines w:val="0"/>
        <w:pageBreakBefore w:val="0"/>
        <w:widowControl w:val="0"/>
        <w:numPr>
          <w:ilvl w:val="0"/>
          <w:numId w:val="8"/>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eastAsia="仿宋" w:hAnsi="仿宋" w:hint="eastAsia"/>
          <w:sz w:val="28"/>
          <w:lang w:val="en-US" w:eastAsia="zh-CN"/>
        </w:rPr>
        <w:t>锚杆为HRB400钢筋，直径有</w:t>
      </w:r>
      <w:r>
        <w:rPr>
          <w:rFonts w:ascii="仿宋" w:eastAsia="仿宋" w:hAnsi="仿宋" w:cs="仿宋" w:hint="eastAsia"/>
          <w:sz w:val="28"/>
          <w:lang w:val="en-US" w:eastAsia="zh-CN"/>
        </w:rPr>
        <w:t>φ</w:t>
      </w:r>
      <w:r>
        <w:rPr>
          <w:rFonts w:ascii="仿宋" w:hAnsi="仿宋" w:cs="仿宋" w:hint="eastAsia"/>
          <w:sz w:val="28"/>
          <w:lang w:val="en-US" w:eastAsia="zh-CN"/>
        </w:rPr>
        <w:t>16</w:t>
      </w:r>
      <w:r>
        <w:rPr>
          <w:rFonts w:ascii="仿宋" w:eastAsia="仿宋" w:hAnsi="仿宋" w:cs="仿宋" w:hint="eastAsia"/>
          <w:sz w:val="28"/>
          <w:lang w:val="en-US" w:eastAsia="zh-CN"/>
        </w:rPr>
        <w:t>mm、φ25mm；</w:t>
      </w:r>
    </w:p>
    <w:p>
      <w:pPr>
        <w:keepNext w:val="0"/>
        <w:keepLines w:val="0"/>
        <w:pageBreakBefore w:val="0"/>
        <w:widowControl w:val="0"/>
        <w:numPr>
          <w:ilvl w:val="0"/>
          <w:numId w:val="8"/>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hAnsi="仿宋" w:cs="仿宋" w:hint="eastAsia"/>
          <w:sz w:val="28"/>
          <w:lang w:val="en-US" w:eastAsia="zh-CN"/>
        </w:rPr>
        <w:t>格架，</w:t>
      </w:r>
      <w:r>
        <w:rPr>
          <w:rFonts w:ascii="仿宋" w:eastAsia="仿宋" w:hAnsi="仿宋" w:cs="仿宋" w:hint="eastAsia"/>
          <w:sz w:val="28"/>
          <w:lang w:val="en-US" w:eastAsia="zh-CN"/>
        </w:rPr>
        <w:t>钢筋HPB300和HRB400两种，HRB400钢筋直径为φ1</w:t>
      </w:r>
      <w:r>
        <w:rPr>
          <w:rFonts w:ascii="仿宋" w:hAnsi="仿宋" w:cs="仿宋" w:hint="eastAsia"/>
          <w:sz w:val="28"/>
          <w:lang w:val="en-US" w:eastAsia="zh-CN"/>
        </w:rPr>
        <w:t>6</w:t>
      </w:r>
      <w:r>
        <w:rPr>
          <w:rFonts w:ascii="仿宋" w:eastAsia="仿宋" w:hAnsi="仿宋" w:cs="仿宋" w:hint="eastAsia"/>
          <w:sz w:val="28"/>
          <w:lang w:val="en-US" w:eastAsia="zh-CN"/>
        </w:rPr>
        <w:t>mm</w:t>
      </w:r>
      <w:r>
        <w:rPr>
          <w:rFonts w:ascii="仿宋" w:hAnsi="仿宋" w:cs="仿宋" w:hint="eastAsia"/>
          <w:sz w:val="28"/>
          <w:lang w:val="en-US" w:eastAsia="zh-CN"/>
        </w:rPr>
        <w:t>、</w:t>
      </w:r>
      <w:r>
        <w:rPr>
          <w:rFonts w:ascii="仿宋" w:eastAsia="仿宋" w:hAnsi="仿宋" w:cs="仿宋" w:hint="eastAsia"/>
          <w:sz w:val="28"/>
          <w:lang w:val="en-US" w:eastAsia="zh-CN"/>
        </w:rPr>
        <w:t>φ1</w:t>
      </w:r>
      <w:r>
        <w:rPr>
          <w:rFonts w:ascii="仿宋" w:hAnsi="仿宋" w:cs="仿宋" w:hint="eastAsia"/>
          <w:sz w:val="28"/>
          <w:lang w:val="en-US" w:eastAsia="zh-CN"/>
        </w:rPr>
        <w:t>2</w:t>
      </w:r>
      <w:r>
        <w:rPr>
          <w:rFonts w:ascii="仿宋" w:eastAsia="仿宋" w:hAnsi="仿宋" w:cs="仿宋" w:hint="eastAsia"/>
          <w:sz w:val="28"/>
          <w:lang w:val="en-US" w:eastAsia="zh-CN"/>
        </w:rPr>
        <w:t>mm；HPB300钢筋直径为φ8mm</w:t>
      </w:r>
      <w:r>
        <w:rPr>
          <w:rFonts w:ascii="仿宋" w:hAnsi="仿宋" w:cs="仿宋" w:hint="eastAsia"/>
          <w:sz w:val="28"/>
          <w:lang w:val="en-US" w:eastAsia="zh-CN"/>
        </w:rPr>
        <w:t>、</w:t>
      </w:r>
      <w:r>
        <w:rPr>
          <w:rFonts w:ascii="仿宋" w:eastAsia="仿宋" w:hAnsi="仿宋" w:cs="仿宋" w:hint="eastAsia"/>
          <w:sz w:val="28"/>
          <w:lang w:val="en-US" w:eastAsia="zh-CN"/>
        </w:rPr>
        <w:t>φ</w:t>
      </w:r>
      <w:r>
        <w:rPr>
          <w:rFonts w:ascii="仿宋" w:hAnsi="仿宋" w:cs="仿宋" w:hint="eastAsia"/>
          <w:sz w:val="28"/>
          <w:lang w:val="en-US" w:eastAsia="zh-CN"/>
        </w:rPr>
        <w:t>6.5</w:t>
      </w:r>
      <w:r>
        <w:rPr>
          <w:rFonts w:ascii="仿宋" w:eastAsia="仿宋" w:hAnsi="仿宋" w:cs="仿宋" w:hint="eastAsia"/>
          <w:sz w:val="28"/>
          <w:lang w:val="en-US" w:eastAsia="zh-CN"/>
        </w:rPr>
        <w:t>mm。</w:t>
      </w:r>
    </w:p>
    <w:p>
      <w:pPr>
        <w:keepNext w:val="0"/>
        <w:keepLines w:val="0"/>
        <w:pageBreakBefore w:val="0"/>
        <w:widowControl w:val="0"/>
        <w:numPr>
          <w:ilvl w:val="0"/>
          <w:numId w:val="8"/>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sectPr>
          <w:type w:val="nextPage"/>
          <w:pgSz w:w="11906" w:h="16838"/>
          <w:pgMar w:top="1134" w:right="1134" w:bottom="1134" w:left="1418" w:header="851" w:footer="992" w:gutter="0"/>
          <w:pgNumType w:fmt="decimal" w:start="10"/>
          <w:cols w:num="1" w:space="425"/>
          <w:titlePg w:val="0"/>
          <w:docGrid w:type="lines" w:linePitch="312" w:charSpace="0"/>
        </w:sectPr>
      </w:pPr>
      <w:r>
        <w:rPr>
          <w:rFonts w:ascii="仿宋" w:hAnsi="仿宋" w:cs="仿宋" w:hint="eastAsia"/>
          <w:sz w:val="28"/>
          <w:lang w:val="en-US" w:eastAsia="zh-CN"/>
        </w:rPr>
        <w:t>桩基、挡土板、冠梁，</w:t>
      </w:r>
      <w:r>
        <w:rPr>
          <w:rFonts w:ascii="仿宋" w:eastAsia="仿宋" w:hAnsi="仿宋" w:cs="仿宋" w:hint="eastAsia"/>
          <w:sz w:val="28"/>
          <w:lang w:val="en-US" w:eastAsia="zh-CN"/>
        </w:rPr>
        <w:t>钢筋HPB300和HRB400两种，HRB400钢筋直径为φ1</w:t>
      </w:r>
      <w:r>
        <w:rPr>
          <w:rFonts w:ascii="仿宋" w:hAnsi="仿宋" w:cs="仿宋" w:hint="eastAsia"/>
          <w:sz w:val="28"/>
          <w:lang w:val="en-US" w:eastAsia="zh-CN"/>
        </w:rPr>
        <w:t>4</w:t>
      </w:r>
      <w:r>
        <w:rPr>
          <w:rFonts w:ascii="仿宋" w:eastAsia="仿宋" w:hAnsi="仿宋" w:cs="仿宋" w:hint="eastAsia"/>
          <w:sz w:val="28"/>
          <w:lang w:val="en-US" w:eastAsia="zh-CN"/>
        </w:rPr>
        <w:t>mm</w:t>
      </w:r>
      <w:r>
        <w:rPr>
          <w:rFonts w:ascii="仿宋" w:hAnsi="仿宋" w:cs="仿宋" w:hint="eastAsia"/>
          <w:sz w:val="28"/>
          <w:lang w:val="en-US" w:eastAsia="zh-CN"/>
        </w:rPr>
        <w:t>、</w:t>
      </w:r>
      <w:r>
        <w:rPr>
          <w:rFonts w:ascii="仿宋" w:eastAsia="仿宋" w:hAnsi="仿宋" w:cs="仿宋" w:hint="eastAsia"/>
          <w:sz w:val="28"/>
          <w:lang w:val="en-US" w:eastAsia="zh-CN"/>
        </w:rPr>
        <w:t>φ1</w:t>
      </w:r>
      <w:r>
        <w:rPr>
          <w:rFonts w:ascii="仿宋" w:hAnsi="仿宋" w:cs="仿宋" w:hint="eastAsia"/>
          <w:sz w:val="28"/>
          <w:lang w:val="en-US" w:eastAsia="zh-CN"/>
        </w:rPr>
        <w:t>6</w:t>
      </w:r>
      <w:r>
        <w:rPr>
          <w:rFonts w:ascii="仿宋" w:eastAsia="仿宋" w:hAnsi="仿宋" w:cs="仿宋" w:hint="eastAsia"/>
          <w:sz w:val="28"/>
          <w:lang w:val="en-US" w:eastAsia="zh-CN"/>
        </w:rPr>
        <w:t>mm</w:t>
      </w:r>
      <w:r>
        <w:rPr>
          <w:rFonts w:ascii="仿宋" w:hAnsi="仿宋" w:cs="仿宋" w:hint="eastAsia"/>
          <w:sz w:val="28"/>
          <w:lang w:val="en-US" w:eastAsia="zh-CN"/>
        </w:rPr>
        <w:t>、</w:t>
      </w:r>
      <w:r>
        <w:rPr>
          <w:rFonts w:ascii="仿宋" w:eastAsia="仿宋" w:hAnsi="仿宋" w:cs="仿宋" w:hint="eastAsia"/>
          <w:sz w:val="28"/>
          <w:lang w:val="en-US" w:eastAsia="zh-CN"/>
        </w:rPr>
        <w:t>φ</w:t>
      </w:r>
      <w:r>
        <w:rPr>
          <w:rFonts w:ascii="仿宋" w:hAnsi="仿宋" w:cs="仿宋" w:hint="eastAsia"/>
          <w:sz w:val="28"/>
          <w:lang w:val="en-US" w:eastAsia="zh-CN"/>
        </w:rPr>
        <w:t>20</w:t>
      </w:r>
      <w:r>
        <w:rPr>
          <w:rFonts w:ascii="仿宋" w:eastAsia="仿宋" w:hAnsi="仿宋" w:cs="仿宋" w:hint="eastAsia"/>
          <w:sz w:val="28"/>
          <w:lang w:val="en-US" w:eastAsia="zh-CN"/>
        </w:rPr>
        <w:t>mm</w:t>
      </w:r>
      <w:r>
        <w:rPr>
          <w:rFonts w:ascii="仿宋" w:hAnsi="仿宋" w:cs="仿宋" w:hint="eastAsia"/>
          <w:sz w:val="28"/>
          <w:lang w:val="en-US" w:eastAsia="zh-CN"/>
        </w:rPr>
        <w:t>、</w:t>
      </w:r>
      <w:r>
        <w:rPr>
          <w:rFonts w:ascii="仿宋" w:eastAsia="仿宋" w:hAnsi="仿宋" w:cs="仿宋" w:hint="eastAsia"/>
          <w:sz w:val="28"/>
          <w:lang w:val="en-US" w:eastAsia="zh-CN"/>
        </w:rPr>
        <w:t>φ</w:t>
      </w:r>
      <w:r>
        <w:rPr>
          <w:rFonts w:ascii="仿宋" w:hAnsi="仿宋" w:cs="仿宋" w:hint="eastAsia"/>
          <w:sz w:val="28"/>
          <w:lang w:val="en-US" w:eastAsia="zh-CN"/>
        </w:rPr>
        <w:t>32</w:t>
      </w:r>
      <w:r>
        <w:rPr>
          <w:rFonts w:ascii="仿宋" w:eastAsia="仿宋" w:hAnsi="仿宋" w:cs="仿宋" w:hint="eastAsia"/>
          <w:sz w:val="28"/>
          <w:lang w:val="en-US" w:eastAsia="zh-CN"/>
        </w:rPr>
        <w:t>mm；HPB300钢筋直径为φ8mm</w:t>
      </w:r>
      <w:r>
        <w:rPr>
          <w:rFonts w:ascii="仿宋" w:hAnsi="仿宋" w:cs="仿宋" w:hint="eastAsia"/>
          <w:sz w:val="28"/>
          <w:lang w:val="en-US" w:eastAsia="zh-CN"/>
        </w:rPr>
        <w:t>、</w:t>
      </w:r>
      <w:r>
        <w:rPr>
          <w:rFonts w:ascii="仿宋" w:eastAsia="仿宋" w:hAnsi="仿宋" w:cs="仿宋" w:hint="eastAsia"/>
          <w:sz w:val="28"/>
          <w:lang w:val="en-US" w:eastAsia="zh-CN"/>
        </w:rPr>
        <w:t>φ</w:t>
      </w:r>
      <w:r>
        <w:rPr>
          <w:rFonts w:ascii="仿宋" w:hAnsi="仿宋" w:cs="仿宋" w:hint="eastAsia"/>
          <w:sz w:val="28"/>
          <w:lang w:val="en-US" w:eastAsia="zh-CN"/>
        </w:rPr>
        <w:t>10</w:t>
      </w:r>
      <w:r>
        <w:rPr>
          <w:rFonts w:ascii="仿宋" w:eastAsia="仿宋" w:hAnsi="仿宋" w:cs="仿宋" w:hint="eastAsia"/>
          <w:sz w:val="28"/>
          <w:lang w:val="en-US" w:eastAsia="zh-CN"/>
        </w:rPr>
        <w:t>mm。</w:t>
      </w:r>
    </w:p>
    <w:p>
      <w:pPr>
        <w:keepNext w:val="0"/>
        <w:keepLines w:val="0"/>
        <w:pageBreakBefore w:val="0"/>
        <w:widowControl w:val="0"/>
        <w:numPr>
          <w:ilvl w:val="0"/>
          <w:numId w:val="7"/>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eastAsia="仿宋" w:hAnsi="仿宋" w:hint="eastAsia"/>
          <w:sz w:val="28"/>
          <w:lang w:val="en-US" w:eastAsia="zh-CN"/>
        </w:rPr>
        <w:t>模板：采用木胶合板。</w:t>
      </w:r>
    </w:p>
    <w:p>
      <w:pPr>
        <w:keepNext w:val="0"/>
        <w:keepLines w:val="0"/>
        <w:pageBreakBefore w:val="0"/>
        <w:widowControl w:val="0"/>
        <w:numPr>
          <w:ilvl w:val="0"/>
          <w:numId w:val="7"/>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eastAsia="仿宋" w:hAnsi="仿宋" w:hint="eastAsia"/>
          <w:sz w:val="28"/>
          <w:lang w:val="en-US" w:eastAsia="zh-CN"/>
        </w:rPr>
        <w:t>混凝土材料：</w:t>
      </w:r>
      <w:r>
        <w:rPr>
          <w:rFonts w:ascii="仿宋" w:hAnsi="仿宋" w:hint="eastAsia"/>
          <w:sz w:val="28"/>
          <w:lang w:val="en-US" w:eastAsia="zh-CN"/>
        </w:rPr>
        <w:t>抗滑桩、挡土板、冠梁</w:t>
      </w:r>
      <w:r>
        <w:rPr>
          <w:rFonts w:ascii="仿宋" w:eastAsia="仿宋" w:hAnsi="仿宋" w:hint="eastAsia"/>
          <w:sz w:val="28"/>
          <w:lang w:val="en-US" w:eastAsia="zh-CN"/>
        </w:rPr>
        <w:t>及</w:t>
      </w:r>
      <w:r>
        <w:rPr>
          <w:rFonts w:ascii="仿宋" w:hAnsi="仿宋" w:hint="eastAsia"/>
          <w:sz w:val="28"/>
          <w:lang w:val="en-US" w:eastAsia="zh-CN"/>
        </w:rPr>
        <w:t>格架都</w:t>
      </w:r>
      <w:r>
        <w:rPr>
          <w:rFonts w:ascii="仿宋" w:eastAsia="仿宋" w:hAnsi="仿宋" w:hint="eastAsia"/>
          <w:sz w:val="28"/>
          <w:lang w:val="en-US" w:eastAsia="zh-CN"/>
        </w:rPr>
        <w:t>采用C30的混凝土；喷射混凝土采用C20;</w:t>
      </w:r>
    </w:p>
    <w:p>
      <w:pPr>
        <w:keepNext w:val="0"/>
        <w:keepLines w:val="0"/>
        <w:pageBreakBefore w:val="0"/>
        <w:widowControl w:val="0"/>
        <w:numPr>
          <w:ilvl w:val="0"/>
          <w:numId w:val="7"/>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eastAsia="仿宋" w:hAnsi="仿宋" w:hint="eastAsia"/>
          <w:sz w:val="28"/>
          <w:lang w:val="en-US" w:eastAsia="zh-CN"/>
        </w:rPr>
        <w:t>防腐用砂浆：锚杆注浆采用强度不低于30MPa的水泥净浆，本工程为M30。采用的配合比依据图纸设计的规定，水泥宜采用普通硅酸盐水泥配制的水泥净浆，水灰比1：0.5，水泥强度不低于42.5MPa。采用从孔底到孔口返浆式注浆，注浆压力0.5MPa。</w:t>
      </w:r>
    </w:p>
    <w:p>
      <w:pPr>
        <w:keepNext w:val="0"/>
        <w:keepLines w:val="0"/>
        <w:pageBreakBefore w:val="0"/>
        <w:widowControl w:val="0"/>
        <w:numPr>
          <w:ilvl w:val="0"/>
          <w:numId w:val="7"/>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eastAsia="仿宋" w:hAnsi="仿宋" w:hint="eastAsia"/>
          <w:sz w:val="28"/>
          <w:lang w:val="en-US" w:eastAsia="zh-CN"/>
        </w:rPr>
        <w:t>泄水孔材料：卵砾石及PVC管；</w:t>
      </w:r>
    </w:p>
    <w:p>
      <w:pPr>
        <w:keepNext w:val="0"/>
        <w:keepLines w:val="0"/>
        <w:pageBreakBefore w:val="0"/>
        <w:widowControl w:val="0"/>
        <w:numPr>
          <w:ilvl w:val="0"/>
          <w:numId w:val="7"/>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hint="eastAsia"/>
        </w:rPr>
      </w:pPr>
      <w:r>
        <w:rPr>
          <w:rFonts w:ascii="仿宋" w:eastAsia="仿宋" w:hAnsi="仿宋" w:hint="eastAsia"/>
          <w:sz w:val="28"/>
          <w:lang w:val="en-US" w:eastAsia="zh-CN"/>
        </w:rPr>
        <w:t>伸缩缝材料：沥青、麻丝；</w:t>
      </w:r>
    </w:p>
    <w:p>
      <w:pPr>
        <w:keepNext w:val="0"/>
        <w:keepLines w:val="0"/>
        <w:pageBreakBefore w:val="0"/>
        <w:widowControl w:val="0"/>
        <w:numPr>
          <w:ilvl w:val="0"/>
          <w:numId w:val="7"/>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pPr>
      <w:r>
        <w:rPr>
          <w:rFonts w:ascii="仿宋" w:eastAsia="仿宋" w:hAnsi="仿宋" w:hint="eastAsia"/>
          <w:sz w:val="28"/>
          <w:lang w:val="en-US" w:eastAsia="zh-CN"/>
        </w:rPr>
        <w:t>支架搭设材料：</w:t>
      </w:r>
      <w:r>
        <w:rPr>
          <w:rFonts w:ascii="仿宋" w:eastAsia="仿宋" w:hAnsi="仿宋" w:cs="仿宋" w:hint="eastAsia"/>
          <w:sz w:val="28"/>
          <w:lang w:val="en-US" w:eastAsia="zh-CN"/>
        </w:rPr>
        <w:t>φ48mm×3.5mm钢管及扣件</w:t>
      </w:r>
    </w:p>
    <w:p>
      <w:pPr>
        <w:spacing w:line="500" w:lineRule="auto"/>
        <w:ind w:left="0" w:firstLine="0" w:leftChars="0" w:firstLineChars="0"/>
        <w:rPr>
          <w:rFonts w:ascii="仿宋" w:hAnsi="仿宋" w:hint="eastAsia"/>
        </w:rPr>
      </w:pPr>
      <w:r>
        <w:rPr>
          <w:rFonts w:ascii="仿宋" w:eastAsia="仿宋" w:hAnsi="仿宋" w:hint="eastAsia"/>
          <w:sz w:val="28"/>
        </w:rPr>
        <w:t>拟投入</w:t>
      </w:r>
      <w:r>
        <w:rPr>
          <w:rFonts w:ascii="仿宋" w:eastAsia="仿宋" w:hAnsi="仿宋" w:hint="eastAsia"/>
          <w:sz w:val="28"/>
          <w:lang w:val="en-US" w:eastAsia="zh-CN"/>
        </w:rPr>
        <w:t>重庆水土嘉陵江大桥工程边坡防护</w:t>
      </w:r>
      <w:r>
        <w:rPr>
          <w:rFonts w:ascii="仿宋" w:eastAsia="仿宋" w:hAnsi="仿宋" w:hint="eastAsia"/>
          <w:sz w:val="28"/>
        </w:rPr>
        <w:t>施工的机具设备：</w:t>
      </w:r>
    </w:p>
    <w:tbl>
      <w:tblPr>
        <w:tblStyle w:val="TableNormal"/>
        <w:tblW w:w="94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5"/>
        <w:gridCol w:w="2672"/>
        <w:gridCol w:w="2099"/>
        <w:gridCol w:w="796"/>
        <w:gridCol w:w="797"/>
        <w:gridCol w:w="2287"/>
      </w:tblGrid>
      <w:tr>
        <w:tblPrEx>
          <w:tblW w:w="94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845" w:type="dxa"/>
            <w:vAlign w:val="center"/>
          </w:tcPr>
          <w:p>
            <w:pPr>
              <w:pStyle w:val="BodyTextIndent"/>
              <w:rPr>
                <w:rFonts w:hint="eastAsia"/>
              </w:rPr>
            </w:pPr>
            <w:r>
              <w:rPr>
                <w:rFonts w:hint="eastAsia"/>
              </w:rPr>
              <w:t>项次</w:t>
            </w:r>
          </w:p>
        </w:tc>
        <w:tc>
          <w:tcPr>
            <w:tcW w:w="2672" w:type="dxa"/>
            <w:vAlign w:val="center"/>
          </w:tcPr>
          <w:p>
            <w:pPr>
              <w:pStyle w:val="BodyTextIndent"/>
              <w:rPr>
                <w:rFonts w:hint="eastAsia"/>
              </w:rPr>
            </w:pPr>
            <w:r>
              <w:rPr>
                <w:rFonts w:hint="eastAsia"/>
              </w:rPr>
              <w:t>机械设备名称</w:t>
            </w:r>
          </w:p>
        </w:tc>
        <w:tc>
          <w:tcPr>
            <w:tcW w:w="2099" w:type="dxa"/>
            <w:vAlign w:val="center"/>
          </w:tcPr>
          <w:p>
            <w:pPr>
              <w:pStyle w:val="BodyTextIndent"/>
              <w:rPr>
                <w:rFonts w:hint="eastAsia"/>
              </w:rPr>
            </w:pPr>
            <w:r>
              <w:rPr>
                <w:rFonts w:hint="eastAsia"/>
              </w:rPr>
              <w:t>规格型号</w:t>
            </w:r>
          </w:p>
        </w:tc>
        <w:tc>
          <w:tcPr>
            <w:tcW w:w="796" w:type="dxa"/>
            <w:vAlign w:val="center"/>
          </w:tcPr>
          <w:p>
            <w:pPr>
              <w:pStyle w:val="BodyTextIndent"/>
              <w:rPr>
                <w:rFonts w:hint="eastAsia"/>
              </w:rPr>
            </w:pPr>
            <w:r>
              <w:rPr>
                <w:rFonts w:hint="eastAsia"/>
              </w:rPr>
              <w:t>单位</w:t>
            </w:r>
          </w:p>
        </w:tc>
        <w:tc>
          <w:tcPr>
            <w:tcW w:w="797" w:type="dxa"/>
            <w:vAlign w:val="center"/>
          </w:tcPr>
          <w:p>
            <w:pPr>
              <w:pStyle w:val="BodyTextIndent"/>
              <w:rPr>
                <w:rFonts w:hint="eastAsia"/>
              </w:rPr>
            </w:pPr>
            <w:r>
              <w:rPr>
                <w:rFonts w:hint="eastAsia"/>
              </w:rPr>
              <w:t>数量</w:t>
            </w:r>
          </w:p>
        </w:tc>
        <w:tc>
          <w:tcPr>
            <w:tcW w:w="2287" w:type="dxa"/>
            <w:vAlign w:val="center"/>
          </w:tcPr>
          <w:p>
            <w:pPr>
              <w:pStyle w:val="BodyTextIndent"/>
              <w:rPr>
                <w:rFonts w:hint="eastAsia"/>
              </w:rPr>
            </w:pPr>
            <w:r>
              <w:rPr>
                <w:rFonts w:hint="eastAsia"/>
              </w:rPr>
              <w:t>备注</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p>
        </w:tc>
        <w:tc>
          <w:tcPr>
            <w:tcW w:w="2672" w:type="dxa"/>
            <w:vAlign w:val="center"/>
          </w:tcPr>
          <w:p>
            <w:pPr>
              <w:pStyle w:val="BodyTextIndent"/>
              <w:rPr>
                <w:rFonts w:hint="eastAsia"/>
              </w:rPr>
            </w:pPr>
            <w:r>
              <w:rPr>
                <w:rFonts w:hint="eastAsia"/>
                <w:lang w:val="en-US" w:eastAsia="zh-CN"/>
              </w:rPr>
              <w:t>旋挖钻机</w:t>
            </w:r>
          </w:p>
        </w:tc>
        <w:tc>
          <w:tcPr>
            <w:tcW w:w="2099" w:type="dxa"/>
            <w:vAlign w:val="center"/>
          </w:tcPr>
          <w:p>
            <w:pPr>
              <w:pStyle w:val="BodyTextIndent"/>
              <w:rPr>
                <w:rFonts w:hint="eastAsia"/>
              </w:rPr>
            </w:pPr>
            <w:r>
              <w:rPr>
                <w:rFonts w:hint="eastAsia"/>
              </w:rPr>
              <w:t>SWDM</w:t>
            </w:r>
            <w:r>
              <w:rPr>
                <w:rFonts w:hint="eastAsia"/>
                <w:lang w:val="en-US" w:eastAsia="zh-CN"/>
              </w:rPr>
              <w:t>36H</w:t>
            </w:r>
          </w:p>
        </w:tc>
        <w:tc>
          <w:tcPr>
            <w:tcW w:w="796" w:type="dxa"/>
            <w:textDirection w:val="lrTb"/>
            <w:vAlign w:val="center"/>
          </w:tcPr>
          <w:p>
            <w:pPr>
              <w:pStyle w:val="BodyTextIndent"/>
              <w:ind w:left="0" w:firstLine="0" w:leftChars="0" w:firstLineChars="0"/>
              <w:rPr>
                <w:rFonts w:hint="eastAsia"/>
              </w:rPr>
            </w:pPr>
            <w:r>
              <w:rPr>
                <w:rFonts w:hint="eastAsia"/>
              </w:rPr>
              <w:t>台</w:t>
            </w:r>
          </w:p>
        </w:tc>
        <w:tc>
          <w:tcPr>
            <w:tcW w:w="797" w:type="dxa"/>
            <w:vAlign w:val="center"/>
          </w:tcPr>
          <w:p>
            <w:pPr>
              <w:pStyle w:val="BodyTextIndent"/>
              <w:rPr>
                <w:rFonts w:eastAsia="仿宋" w:hint="eastAsia"/>
                <w:lang w:val="en-US" w:eastAsia="zh-CN"/>
              </w:rPr>
            </w:pPr>
            <w:r>
              <w:rPr>
                <w:rFonts w:hint="eastAsia"/>
                <w:lang w:val="en-US" w:eastAsia="zh-CN"/>
              </w:rPr>
              <w:t>1</w:t>
            </w:r>
          </w:p>
        </w:tc>
        <w:tc>
          <w:tcPr>
            <w:tcW w:w="2287" w:type="dxa"/>
            <w:vAlign w:val="center"/>
          </w:tcPr>
          <w:p>
            <w:pPr>
              <w:pStyle w:val="BodyTextIndent"/>
              <w:rPr>
                <w:rFonts w:hint="eastAsia"/>
                <w:lang w:val="en-US" w:eastAsia="zh-CN"/>
              </w:rPr>
            </w:pPr>
            <w:r>
              <w:rPr>
                <w:rFonts w:hint="eastAsia"/>
                <w:lang w:val="en-US" w:eastAsia="zh-CN"/>
              </w:rPr>
              <w:t>桩基施工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t>2</w:t>
            </w:r>
          </w:p>
        </w:tc>
        <w:tc>
          <w:tcPr>
            <w:tcW w:w="2672" w:type="dxa"/>
            <w:vAlign w:val="center"/>
          </w:tcPr>
          <w:p>
            <w:pPr>
              <w:pStyle w:val="BodyTextIndent"/>
              <w:rPr>
                <w:rFonts w:hint="eastAsia"/>
              </w:rPr>
            </w:pPr>
            <w:r>
              <w:rPr>
                <w:rFonts w:hint="eastAsia"/>
                <w:lang w:val="en-US" w:eastAsia="zh-CN"/>
              </w:rPr>
              <w:t>挖掘机</w:t>
            </w:r>
          </w:p>
        </w:tc>
        <w:tc>
          <w:tcPr>
            <w:tcW w:w="2099" w:type="dxa"/>
            <w:vAlign w:val="center"/>
          </w:tcPr>
          <w:p>
            <w:pPr>
              <w:pStyle w:val="BodyTextIndent"/>
              <w:rPr>
                <w:rFonts w:hint="eastAsia"/>
              </w:rPr>
            </w:pPr>
            <w:r>
              <w:rPr>
                <w:rFonts w:hint="eastAsia"/>
              </w:rPr>
              <w:t>SY305H</w:t>
            </w:r>
          </w:p>
        </w:tc>
        <w:tc>
          <w:tcPr>
            <w:tcW w:w="796" w:type="dxa"/>
            <w:textDirection w:val="lrTb"/>
            <w:vAlign w:val="center"/>
          </w:tcPr>
          <w:p>
            <w:pPr>
              <w:pStyle w:val="BodyTextIndent"/>
              <w:ind w:left="0" w:firstLine="0" w:leftChars="0" w:firstLineChars="0"/>
              <w:rPr>
                <w:rFonts w:hint="eastAsia"/>
              </w:rPr>
            </w:pPr>
            <w:r>
              <w:rPr>
                <w:rFonts w:hint="eastAsia"/>
              </w:rPr>
              <w:t>台</w:t>
            </w:r>
          </w:p>
        </w:tc>
        <w:tc>
          <w:tcPr>
            <w:tcW w:w="797" w:type="dxa"/>
            <w:vAlign w:val="center"/>
          </w:tcPr>
          <w:p>
            <w:pPr>
              <w:pStyle w:val="BodyTextIndent"/>
              <w:rPr>
                <w:rFonts w:eastAsia="仿宋" w:hint="eastAsia"/>
                <w:lang w:val="en-US" w:eastAsia="zh-CN"/>
              </w:rPr>
            </w:pPr>
            <w:r>
              <w:rPr>
                <w:rFonts w:hint="eastAsia"/>
                <w:lang w:val="en-US" w:eastAsia="zh-CN"/>
              </w:rPr>
              <w:t>1</w:t>
            </w:r>
          </w:p>
        </w:tc>
        <w:tc>
          <w:tcPr>
            <w:tcW w:w="2287" w:type="dxa"/>
            <w:vAlign w:val="center"/>
          </w:tcPr>
          <w:p>
            <w:pPr>
              <w:pStyle w:val="BodyTextIndent"/>
              <w:rPr>
                <w:rFonts w:hint="eastAsia"/>
                <w:lang w:val="en-US" w:eastAsia="zh-CN"/>
              </w:rPr>
            </w:pPr>
            <w:r>
              <w:rPr>
                <w:rFonts w:hint="eastAsia"/>
                <w:lang w:val="en-US" w:eastAsia="zh-CN"/>
              </w:rPr>
              <w:t>土石方施工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lang w:val="en-US" w:eastAsia="zh-CN"/>
              </w:rPr>
              <w:t>3</w:t>
            </w:r>
          </w:p>
        </w:tc>
        <w:tc>
          <w:tcPr>
            <w:tcW w:w="2672" w:type="dxa"/>
            <w:vAlign w:val="center"/>
          </w:tcPr>
          <w:p>
            <w:pPr>
              <w:pStyle w:val="BodyTextIndent"/>
              <w:rPr>
                <w:rFonts w:hint="eastAsia"/>
              </w:rPr>
            </w:pPr>
            <w:r>
              <w:rPr>
                <w:rFonts w:hint="eastAsia"/>
                <w:lang w:val="en-US" w:eastAsia="zh-CN"/>
              </w:rPr>
              <w:t>自卸车</w:t>
            </w:r>
          </w:p>
        </w:tc>
        <w:tc>
          <w:tcPr>
            <w:tcW w:w="2099" w:type="dxa"/>
            <w:vAlign w:val="center"/>
          </w:tcPr>
          <w:p>
            <w:pPr>
              <w:pStyle w:val="BodyTextIndent"/>
              <w:rPr>
                <w:rFonts w:hint="eastAsia"/>
              </w:rPr>
            </w:pPr>
            <w:r>
              <w:rPr>
                <w:rFonts w:hint="eastAsia"/>
                <w:lang w:val="en-US" w:eastAsia="zh-CN"/>
              </w:rPr>
              <w:t>20t</w:t>
            </w:r>
          </w:p>
        </w:tc>
        <w:tc>
          <w:tcPr>
            <w:tcW w:w="796" w:type="dxa"/>
            <w:textDirection w:val="lrTb"/>
            <w:vAlign w:val="center"/>
          </w:tcPr>
          <w:p>
            <w:pPr>
              <w:pStyle w:val="BodyTextIndent"/>
              <w:ind w:left="0" w:firstLine="0" w:leftChars="0" w:firstLineChars="0"/>
              <w:rPr>
                <w:rFonts w:hint="eastAsia"/>
              </w:rPr>
            </w:pPr>
            <w:r>
              <w:rPr>
                <w:rFonts w:hint="eastAsia"/>
                <w:lang w:val="en-US" w:eastAsia="zh-CN"/>
              </w:rPr>
              <w:t>辆</w:t>
            </w:r>
          </w:p>
        </w:tc>
        <w:tc>
          <w:tcPr>
            <w:tcW w:w="797" w:type="dxa"/>
            <w:vAlign w:val="center"/>
          </w:tcPr>
          <w:p>
            <w:pPr>
              <w:pStyle w:val="BodyTextIndent"/>
              <w:rPr>
                <w:rFonts w:eastAsia="仿宋" w:hint="eastAsia"/>
                <w:lang w:val="en-US" w:eastAsia="zh-CN"/>
              </w:rPr>
            </w:pPr>
            <w:r>
              <w:rPr>
                <w:rFonts w:hint="eastAsia"/>
                <w:lang w:val="en-US" w:eastAsia="zh-CN"/>
              </w:rPr>
              <w:t>2</w:t>
            </w:r>
          </w:p>
        </w:tc>
        <w:tc>
          <w:tcPr>
            <w:tcW w:w="2287" w:type="dxa"/>
            <w:vAlign w:val="center"/>
          </w:tcPr>
          <w:p>
            <w:pPr>
              <w:pStyle w:val="BodyTextIndent"/>
              <w:rPr>
                <w:rFonts w:hint="eastAsia"/>
                <w:lang w:val="en-US" w:eastAsia="zh-CN"/>
              </w:rPr>
            </w:pPr>
            <w:r>
              <w:rPr>
                <w:rFonts w:hint="eastAsia"/>
                <w:lang w:val="en-US" w:eastAsia="zh-CN"/>
              </w:rPr>
              <w:t>出渣</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lang w:val="en-US" w:eastAsia="zh-CN"/>
              </w:rPr>
              <w:t>4</w:t>
            </w:r>
          </w:p>
        </w:tc>
        <w:tc>
          <w:tcPr>
            <w:tcW w:w="2672" w:type="dxa"/>
            <w:vAlign w:val="center"/>
          </w:tcPr>
          <w:p>
            <w:pPr>
              <w:pStyle w:val="BodyTextIndent"/>
              <w:rPr>
                <w:rFonts w:hint="eastAsia"/>
              </w:rPr>
            </w:pPr>
            <w:r>
              <w:rPr>
                <w:rFonts w:hint="eastAsia"/>
                <w:lang w:val="en-US" w:eastAsia="zh-CN"/>
              </w:rPr>
              <w:t>吊机</w:t>
            </w:r>
          </w:p>
        </w:tc>
        <w:tc>
          <w:tcPr>
            <w:tcW w:w="2099" w:type="dxa"/>
            <w:vAlign w:val="center"/>
          </w:tcPr>
          <w:p>
            <w:pPr>
              <w:pStyle w:val="BodyTextIndent"/>
              <w:rPr>
                <w:rFonts w:hint="eastAsia"/>
              </w:rPr>
            </w:pPr>
            <w:r>
              <w:rPr>
                <w:rFonts w:hint="eastAsia"/>
                <w:lang w:val="en-US" w:eastAsia="zh-CN"/>
              </w:rPr>
              <w:t>JQZ25型</w:t>
            </w:r>
          </w:p>
        </w:tc>
        <w:tc>
          <w:tcPr>
            <w:tcW w:w="796" w:type="dxa"/>
            <w:textDirection w:val="lrTb"/>
            <w:vAlign w:val="center"/>
          </w:tcPr>
          <w:p>
            <w:pPr>
              <w:pStyle w:val="BodyTextIndent"/>
              <w:ind w:left="0" w:firstLine="0" w:leftChars="0" w:firstLineChars="0"/>
              <w:rPr>
                <w:rFonts w:hint="eastAsia"/>
              </w:rPr>
            </w:pPr>
            <w:r>
              <w:rPr>
                <w:rFonts w:hint="eastAsia"/>
                <w:lang w:val="en-US" w:eastAsia="zh-CN"/>
              </w:rPr>
              <w:t>台</w:t>
            </w:r>
          </w:p>
        </w:tc>
        <w:tc>
          <w:tcPr>
            <w:tcW w:w="797" w:type="dxa"/>
            <w:vAlign w:val="center"/>
          </w:tcPr>
          <w:p>
            <w:pPr>
              <w:pStyle w:val="BodyTextIndent"/>
              <w:rPr>
                <w:rFonts w:eastAsia="仿宋" w:hint="eastAsia"/>
                <w:lang w:val="en-US" w:eastAsia="zh-CN"/>
              </w:rPr>
            </w:pPr>
            <w:r>
              <w:rPr>
                <w:rFonts w:hint="eastAsia"/>
                <w:lang w:val="en-US" w:eastAsia="zh-CN"/>
              </w:rPr>
              <w:t>1</w:t>
            </w:r>
          </w:p>
        </w:tc>
        <w:tc>
          <w:tcPr>
            <w:tcW w:w="2287" w:type="dxa"/>
            <w:vAlign w:val="center"/>
          </w:tcPr>
          <w:p>
            <w:pPr>
              <w:pStyle w:val="BodyTextIndent"/>
              <w:rPr>
                <w:rFonts w:hint="eastAsia"/>
                <w:lang w:val="en-US" w:eastAsia="zh-CN"/>
              </w:rPr>
            </w:pPr>
            <w:r>
              <w:rPr>
                <w:rFonts w:hint="eastAsia"/>
                <w:lang w:val="en-US" w:eastAsia="zh-CN"/>
              </w:rPr>
              <w:t>桩基施工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eastAsia="仿宋" w:hint="eastAsia"/>
                <w:lang w:eastAsia="zh-CN"/>
              </w:rPr>
            </w:pPr>
            <w:r>
              <w:rPr>
                <w:rFonts w:hint="eastAsia"/>
                <w:lang w:val="en-US" w:eastAsia="zh-CN"/>
              </w:rPr>
              <w:t>5</w:t>
            </w:r>
          </w:p>
        </w:tc>
        <w:tc>
          <w:tcPr>
            <w:tcW w:w="2672" w:type="dxa"/>
            <w:vAlign w:val="center"/>
          </w:tcPr>
          <w:p>
            <w:pPr>
              <w:pStyle w:val="BodyTextIndent"/>
              <w:rPr>
                <w:rFonts w:hint="eastAsia"/>
              </w:rPr>
            </w:pPr>
            <w:r>
              <w:rPr>
                <w:rFonts w:hint="eastAsia"/>
              </w:rPr>
              <w:t>电焊机</w:t>
            </w:r>
          </w:p>
        </w:tc>
        <w:tc>
          <w:tcPr>
            <w:tcW w:w="2099" w:type="dxa"/>
            <w:vAlign w:val="center"/>
          </w:tcPr>
          <w:p>
            <w:pPr>
              <w:pStyle w:val="BodyTextIndent"/>
              <w:rPr>
                <w:rFonts w:hint="eastAsia"/>
              </w:rPr>
            </w:pPr>
            <w:r>
              <w:rPr>
                <w:rFonts w:hint="eastAsia"/>
              </w:rPr>
              <w:t>BX-500</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2</w:t>
            </w:r>
          </w:p>
        </w:tc>
        <w:tc>
          <w:tcPr>
            <w:tcW w:w="2287" w:type="dxa"/>
            <w:vAlign w:val="center"/>
          </w:tcPr>
          <w:p>
            <w:pPr>
              <w:pStyle w:val="BodyTextIndent"/>
              <w:rPr>
                <w:rFonts w:hint="eastAsia"/>
                <w:lang w:val="en-US" w:eastAsia="zh-CN"/>
              </w:rPr>
            </w:pPr>
            <w:r>
              <w:rPr>
                <w:rFonts w:hint="eastAsia"/>
                <w:lang w:val="en-US" w:eastAsia="zh-CN"/>
              </w:rPr>
              <w:t>钢筋加工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eastAsia="仿宋" w:hint="eastAsia"/>
                <w:lang w:eastAsia="zh-CN"/>
              </w:rPr>
            </w:pPr>
            <w:r>
              <w:rPr>
                <w:rFonts w:hint="eastAsia"/>
                <w:lang w:val="en-US" w:eastAsia="zh-CN"/>
              </w:rPr>
              <w:t>6</w:t>
            </w:r>
          </w:p>
        </w:tc>
        <w:tc>
          <w:tcPr>
            <w:tcW w:w="2672" w:type="dxa"/>
            <w:vAlign w:val="center"/>
          </w:tcPr>
          <w:p>
            <w:pPr>
              <w:pStyle w:val="BodyTextIndent"/>
              <w:rPr>
                <w:rFonts w:hint="eastAsia"/>
              </w:rPr>
            </w:pPr>
            <w:r>
              <w:rPr>
                <w:rFonts w:hint="eastAsia"/>
              </w:rPr>
              <w:t>钢筋调直机</w:t>
            </w:r>
          </w:p>
        </w:tc>
        <w:tc>
          <w:tcPr>
            <w:tcW w:w="2099" w:type="dxa"/>
            <w:vAlign w:val="center"/>
          </w:tcPr>
          <w:p>
            <w:pPr>
              <w:pStyle w:val="BodyTextIndent"/>
              <w:rPr>
                <w:rFonts w:hint="eastAsia"/>
              </w:rPr>
            </w:pPr>
            <w:r>
              <w:rPr>
                <w:rFonts w:hint="eastAsia"/>
              </w:rPr>
              <w:t>GT3/8</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1</w:t>
            </w:r>
          </w:p>
        </w:tc>
        <w:tc>
          <w:tcPr>
            <w:tcW w:w="2287" w:type="dxa"/>
            <w:vAlign w:val="center"/>
          </w:tcPr>
          <w:p>
            <w:pPr>
              <w:pStyle w:val="BodyTextIndent"/>
              <w:rPr>
                <w:rFonts w:hint="eastAsia"/>
              </w:rPr>
            </w:pPr>
            <w:r>
              <w:rPr>
                <w:rFonts w:hint="eastAsia"/>
                <w:lang w:val="en-US" w:eastAsia="zh-CN"/>
              </w:rPr>
              <w:t>钢筋加工</w:t>
            </w:r>
          </w:p>
        </w:tc>
      </w:tr>
      <w:tr>
        <w:tblPrEx>
          <w:tblW w:w="9496" w:type="dxa"/>
          <w:jc w:val="center"/>
          <w:tblInd w:w="0" w:type="dxa"/>
          <w:tblLayout w:type="fixed"/>
          <w:tblCellMar>
            <w:top w:w="0" w:type="dxa"/>
            <w:left w:w="108" w:type="dxa"/>
            <w:bottom w:w="0" w:type="dxa"/>
            <w:right w:w="108" w:type="dxa"/>
          </w:tblCellMar>
        </w:tblPrEx>
        <w:trPr>
          <w:trHeight w:val="90"/>
          <w:jc w:val="center"/>
        </w:trPr>
        <w:tc>
          <w:tcPr>
            <w:tcW w:w="845" w:type="dxa"/>
            <w:vAlign w:val="center"/>
          </w:tcPr>
          <w:p>
            <w:pPr>
              <w:pStyle w:val="BodyTextIndent"/>
              <w:rPr>
                <w:rFonts w:eastAsia="仿宋" w:hint="eastAsia"/>
                <w:lang w:eastAsia="zh-CN"/>
              </w:rPr>
            </w:pPr>
            <w:r>
              <w:rPr>
                <w:rFonts w:hint="eastAsia"/>
                <w:lang w:val="en-US" w:eastAsia="zh-CN"/>
              </w:rPr>
              <w:t>7</w:t>
            </w:r>
          </w:p>
        </w:tc>
        <w:tc>
          <w:tcPr>
            <w:tcW w:w="2672" w:type="dxa"/>
            <w:vAlign w:val="center"/>
          </w:tcPr>
          <w:p>
            <w:pPr>
              <w:pStyle w:val="BodyTextIndent"/>
              <w:rPr>
                <w:rFonts w:hint="eastAsia"/>
              </w:rPr>
            </w:pPr>
            <w:r>
              <w:rPr>
                <w:rFonts w:hint="eastAsia"/>
              </w:rPr>
              <w:t>钢筋弯曲机</w:t>
            </w:r>
          </w:p>
        </w:tc>
        <w:tc>
          <w:tcPr>
            <w:tcW w:w="2099" w:type="dxa"/>
            <w:vAlign w:val="center"/>
          </w:tcPr>
          <w:p>
            <w:pPr>
              <w:pStyle w:val="BodyTextIndent"/>
              <w:rPr>
                <w:rFonts w:hint="eastAsia"/>
              </w:rPr>
            </w:pPr>
            <w:r>
              <w:rPr>
                <w:rFonts w:hint="eastAsia"/>
              </w:rPr>
              <w:t xml:space="preserve">GW6-40 </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1</w:t>
            </w:r>
          </w:p>
        </w:tc>
        <w:tc>
          <w:tcPr>
            <w:tcW w:w="2287" w:type="dxa"/>
            <w:vAlign w:val="center"/>
          </w:tcPr>
          <w:p>
            <w:pPr>
              <w:pStyle w:val="BodyTextIndent"/>
              <w:rPr>
                <w:rFonts w:hint="eastAsia"/>
              </w:rPr>
            </w:pPr>
            <w:r>
              <w:rPr>
                <w:rFonts w:hint="eastAsia"/>
                <w:lang w:val="en-US" w:eastAsia="zh-CN"/>
              </w:rPr>
              <w:t>钢筋加工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eastAsia="仿宋" w:hint="eastAsia"/>
                <w:lang w:eastAsia="zh-CN"/>
              </w:rPr>
            </w:pPr>
            <w:r>
              <w:rPr>
                <w:rFonts w:hint="eastAsia"/>
                <w:lang w:val="en-US" w:eastAsia="zh-CN"/>
              </w:rPr>
              <w:t>8</w:t>
            </w:r>
          </w:p>
        </w:tc>
        <w:tc>
          <w:tcPr>
            <w:tcW w:w="2672" w:type="dxa"/>
            <w:vAlign w:val="center"/>
          </w:tcPr>
          <w:p>
            <w:pPr>
              <w:pStyle w:val="BodyTextIndent"/>
              <w:rPr>
                <w:rFonts w:hint="eastAsia"/>
              </w:rPr>
            </w:pPr>
            <w:r>
              <w:rPr>
                <w:rFonts w:hint="eastAsia"/>
              </w:rPr>
              <w:t>砂轮切割机</w:t>
            </w:r>
          </w:p>
        </w:tc>
        <w:tc>
          <w:tcPr>
            <w:tcW w:w="2099" w:type="dxa"/>
            <w:vAlign w:val="center"/>
          </w:tcPr>
          <w:p>
            <w:pPr>
              <w:pStyle w:val="BodyTextIndent"/>
              <w:rPr>
                <w:rFonts w:hint="eastAsia"/>
              </w:rPr>
            </w:pPr>
            <w:r>
              <w:rPr>
                <w:rFonts w:hint="eastAsia"/>
              </w:rPr>
              <w:t>J3G2-400</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1</w:t>
            </w:r>
          </w:p>
        </w:tc>
        <w:tc>
          <w:tcPr>
            <w:tcW w:w="2287" w:type="dxa"/>
            <w:vAlign w:val="center"/>
          </w:tcPr>
          <w:p>
            <w:pPr>
              <w:pStyle w:val="BodyTextIndent"/>
              <w:rPr>
                <w:rFonts w:hint="eastAsia"/>
              </w:rPr>
            </w:pPr>
            <w:r>
              <w:rPr>
                <w:rFonts w:hint="eastAsia"/>
                <w:lang w:val="en-US" w:eastAsia="zh-CN"/>
              </w:rPr>
              <w:t>钢筋加工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eastAsia="仿宋" w:hint="eastAsia"/>
                <w:lang w:eastAsia="zh-CN"/>
              </w:rPr>
            </w:pPr>
            <w:r>
              <w:rPr>
                <w:rFonts w:hint="eastAsia"/>
                <w:lang w:val="en-US" w:eastAsia="zh-CN"/>
              </w:rPr>
              <w:t>9</w:t>
            </w:r>
          </w:p>
        </w:tc>
        <w:tc>
          <w:tcPr>
            <w:tcW w:w="2672" w:type="dxa"/>
            <w:vAlign w:val="center"/>
          </w:tcPr>
          <w:p>
            <w:pPr>
              <w:pStyle w:val="BodyTextIndent"/>
              <w:rPr>
                <w:rFonts w:hint="eastAsia"/>
              </w:rPr>
            </w:pPr>
            <w:r>
              <w:rPr>
                <w:rFonts w:hint="eastAsia"/>
              </w:rPr>
              <w:t>振动棒</w:t>
            </w:r>
          </w:p>
        </w:tc>
        <w:tc>
          <w:tcPr>
            <w:tcW w:w="2099" w:type="dxa"/>
            <w:vAlign w:val="center"/>
          </w:tcPr>
          <w:p>
            <w:pPr>
              <w:pStyle w:val="BodyTextIndent"/>
              <w:rPr>
                <w:rFonts w:hint="eastAsia"/>
              </w:rPr>
            </w:pPr>
            <w:r>
              <w:rPr>
                <w:rFonts w:hint="eastAsia"/>
              </w:rPr>
              <w:t>D50</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4</w:t>
            </w:r>
          </w:p>
        </w:tc>
        <w:tc>
          <w:tcPr>
            <w:tcW w:w="2287" w:type="dxa"/>
            <w:vAlign w:val="center"/>
          </w:tcPr>
          <w:p>
            <w:pPr>
              <w:pStyle w:val="BodyTextIndent"/>
              <w:rPr>
                <w:rFonts w:hint="eastAsia"/>
                <w:lang w:eastAsia="zh-CN"/>
              </w:rPr>
            </w:pPr>
            <w:r>
              <w:rPr>
                <w:rFonts w:hint="eastAsia"/>
                <w:lang w:val="en-US" w:eastAsia="zh-CN"/>
              </w:rPr>
              <w:t>混凝土浇筑</w:t>
            </w:r>
          </w:p>
        </w:tc>
      </w:tr>
    </w:tbl>
    <w:p>
      <w:pPr>
        <w:sectPr>
          <w:type w:val="nextPage"/>
          <w:pgSz w:w="11906" w:h="16838"/>
          <w:pgMar w:top="1134" w:right="1134" w:bottom="1134" w:left="1418" w:header="851" w:footer="992" w:gutter="0"/>
          <w:pgNumType w:fmt="decimal" w:start="11"/>
          <w:cols w:num="1" w:space="425"/>
          <w:titlePg w:val="0"/>
          <w:docGrid w:type="lines" w:linePitch="312" w:charSpace="0"/>
        </w:sectPr>
      </w:pPr>
    </w:p>
    <w:tbl>
      <w:tblPr>
        <w:tblStyle w:val="TableNormal"/>
        <w:tblW w:w="94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5"/>
        <w:gridCol w:w="2672"/>
        <w:gridCol w:w="2099"/>
        <w:gridCol w:w="796"/>
        <w:gridCol w:w="797"/>
        <w:gridCol w:w="2287"/>
      </w:tblGrid>
      <w:tr>
        <w:tblPrEx>
          <w:tblW w:w="94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eastAsia="仿宋" w:hint="eastAsia"/>
                <w:lang w:eastAsia="zh-CN"/>
              </w:rPr>
            </w:pPr>
            <w:r>
              <w:rPr>
                <w:rFonts w:hint="eastAsia"/>
                <w:lang w:val="en-US" w:eastAsia="zh-CN"/>
              </w:rPr>
              <w:t>10</w:t>
            </w:r>
          </w:p>
        </w:tc>
        <w:tc>
          <w:tcPr>
            <w:tcW w:w="2672" w:type="dxa"/>
            <w:vAlign w:val="center"/>
          </w:tcPr>
          <w:p>
            <w:pPr>
              <w:pStyle w:val="BodyTextIndent"/>
              <w:rPr>
                <w:rFonts w:hint="eastAsia"/>
              </w:rPr>
            </w:pPr>
            <w:r>
              <w:rPr>
                <w:rFonts w:hint="eastAsia"/>
              </w:rPr>
              <w:t>电动潜孔钻机</w:t>
            </w:r>
          </w:p>
        </w:tc>
        <w:tc>
          <w:tcPr>
            <w:tcW w:w="2099" w:type="dxa"/>
            <w:vAlign w:val="center"/>
          </w:tcPr>
          <w:p>
            <w:pPr>
              <w:pStyle w:val="BodyTextIndent"/>
              <w:rPr>
                <w:rFonts w:hint="eastAsia"/>
              </w:rPr>
            </w:pPr>
            <w:r>
              <w:rPr>
                <w:rFonts w:hint="eastAsia"/>
              </w:rPr>
              <w:t>JQD-100</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lang w:eastAsia="zh-CN"/>
              </w:rPr>
            </w:pPr>
            <w:r>
              <w:rPr>
                <w:rFonts w:hint="eastAsia"/>
                <w:lang w:val="en-US" w:eastAsia="zh-CN"/>
              </w:rPr>
              <w:t>1</w:t>
            </w:r>
          </w:p>
        </w:tc>
        <w:tc>
          <w:tcPr>
            <w:tcW w:w="2287" w:type="dxa"/>
            <w:vAlign w:val="center"/>
          </w:tcPr>
          <w:p>
            <w:pPr>
              <w:pStyle w:val="BodyTextIndent"/>
              <w:rPr>
                <w:rFonts w:hint="eastAsia"/>
              </w:rPr>
            </w:pPr>
            <w:r>
              <w:rPr>
                <w:rFonts w:hint="eastAsia"/>
                <w:lang w:val="en-US" w:eastAsia="zh-CN"/>
              </w:rPr>
              <w:t>锚杆施工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r>
              <w:rPr>
                <w:rFonts w:hint="eastAsia"/>
                <w:lang w:val="en-US" w:eastAsia="zh-CN"/>
              </w:rPr>
              <w:t>1</w:t>
            </w:r>
          </w:p>
        </w:tc>
        <w:tc>
          <w:tcPr>
            <w:tcW w:w="2672" w:type="dxa"/>
            <w:vAlign w:val="center"/>
          </w:tcPr>
          <w:p>
            <w:pPr>
              <w:pStyle w:val="BodyTextIndent"/>
              <w:rPr>
                <w:rFonts w:hint="eastAsia"/>
              </w:rPr>
            </w:pPr>
            <w:r>
              <w:rPr>
                <w:rFonts w:hint="eastAsia"/>
              </w:rPr>
              <w:t>轻便风动小型钻机</w:t>
            </w:r>
          </w:p>
        </w:tc>
        <w:tc>
          <w:tcPr>
            <w:tcW w:w="2099" w:type="dxa"/>
            <w:vAlign w:val="center"/>
          </w:tcPr>
          <w:p>
            <w:pPr>
              <w:pStyle w:val="BodyTextIndent"/>
              <w:rPr>
                <w:rFonts w:hint="eastAsia"/>
              </w:rPr>
            </w:pPr>
            <w:r>
              <w:rPr>
                <w:rFonts w:hint="eastAsia"/>
              </w:rPr>
              <w:t>XZ30</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lang w:eastAsia="zh-CN"/>
              </w:rPr>
            </w:pPr>
            <w:r>
              <w:rPr>
                <w:rFonts w:hint="eastAsia"/>
                <w:lang w:val="en-US" w:eastAsia="zh-CN"/>
              </w:rPr>
              <w:t>2</w:t>
            </w:r>
          </w:p>
        </w:tc>
        <w:tc>
          <w:tcPr>
            <w:tcW w:w="2287" w:type="dxa"/>
            <w:vAlign w:val="center"/>
          </w:tcPr>
          <w:p>
            <w:pPr>
              <w:pStyle w:val="BodyTextIndent"/>
              <w:rPr>
                <w:rFonts w:hint="eastAsia"/>
              </w:rPr>
            </w:pPr>
            <w:r>
              <w:rPr>
                <w:rFonts w:hint="eastAsia"/>
                <w:lang w:val="en-US" w:eastAsia="zh-CN"/>
              </w:rPr>
              <w:t>锚杆施工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r>
              <w:rPr>
                <w:rFonts w:hint="eastAsia"/>
                <w:lang w:val="en-US" w:eastAsia="zh-CN"/>
              </w:rPr>
              <w:t>2</w:t>
            </w:r>
          </w:p>
        </w:tc>
        <w:tc>
          <w:tcPr>
            <w:tcW w:w="2672" w:type="dxa"/>
            <w:vAlign w:val="center"/>
          </w:tcPr>
          <w:p>
            <w:pPr>
              <w:pStyle w:val="BodyTextIndent"/>
              <w:rPr>
                <w:rFonts w:hint="eastAsia"/>
              </w:rPr>
            </w:pPr>
            <w:r>
              <w:rPr>
                <w:rFonts w:hint="eastAsia"/>
              </w:rPr>
              <w:t>移动式螺杆压缩机</w:t>
            </w:r>
          </w:p>
        </w:tc>
        <w:tc>
          <w:tcPr>
            <w:tcW w:w="2099" w:type="dxa"/>
            <w:vAlign w:val="center"/>
          </w:tcPr>
          <w:p>
            <w:pPr>
              <w:pStyle w:val="BodyTextIndent"/>
              <w:rPr>
                <w:rFonts w:hint="eastAsia"/>
              </w:rPr>
            </w:pPr>
            <w:r>
              <w:rPr>
                <w:rFonts w:hint="eastAsia"/>
              </w:rPr>
              <w:t>HG550M-13</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2</w:t>
            </w:r>
          </w:p>
        </w:tc>
        <w:tc>
          <w:tcPr>
            <w:tcW w:w="2287" w:type="dxa"/>
            <w:vAlign w:val="center"/>
          </w:tcPr>
          <w:p>
            <w:pPr>
              <w:pStyle w:val="BodyTextIndent"/>
              <w:rPr>
                <w:rFonts w:hint="eastAsia"/>
                <w:lang w:eastAsia="zh-CN"/>
              </w:rPr>
            </w:pPr>
            <w:r>
              <w:rPr>
                <w:rFonts w:hint="eastAsia"/>
                <w:lang w:eastAsia="zh-CN"/>
              </w:rPr>
              <w:t>锚杆施工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r>
              <w:rPr>
                <w:rFonts w:hint="eastAsia"/>
                <w:lang w:val="en-US" w:eastAsia="zh-CN"/>
              </w:rPr>
              <w:t>3</w:t>
            </w:r>
          </w:p>
        </w:tc>
        <w:tc>
          <w:tcPr>
            <w:tcW w:w="2672" w:type="dxa"/>
            <w:vAlign w:val="center"/>
          </w:tcPr>
          <w:p>
            <w:pPr>
              <w:pStyle w:val="BodyTextIndent"/>
              <w:rPr>
                <w:rFonts w:hint="eastAsia"/>
              </w:rPr>
            </w:pPr>
            <w:r>
              <w:rPr>
                <w:rFonts w:hint="eastAsia"/>
              </w:rPr>
              <w:t>挤压式灰浆泵</w:t>
            </w:r>
          </w:p>
        </w:tc>
        <w:tc>
          <w:tcPr>
            <w:tcW w:w="2099" w:type="dxa"/>
            <w:vAlign w:val="center"/>
          </w:tcPr>
          <w:p>
            <w:pPr>
              <w:pStyle w:val="BodyTextIndent"/>
              <w:rPr>
                <w:rFonts w:hint="eastAsia"/>
              </w:rPr>
            </w:pPr>
            <w:r>
              <w:rPr>
                <w:rFonts w:hint="eastAsia"/>
              </w:rPr>
              <w:t>UBJ1.8</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lang w:eastAsia="zh-CN"/>
              </w:rPr>
            </w:pPr>
            <w:r>
              <w:rPr>
                <w:rFonts w:hint="eastAsia"/>
                <w:lang w:val="en-US" w:eastAsia="zh-CN"/>
              </w:rPr>
              <w:t>1</w:t>
            </w:r>
          </w:p>
        </w:tc>
        <w:tc>
          <w:tcPr>
            <w:tcW w:w="2287" w:type="dxa"/>
            <w:vAlign w:val="center"/>
          </w:tcPr>
          <w:p>
            <w:pPr>
              <w:pStyle w:val="BodyTextIndent"/>
              <w:rPr>
                <w:rFonts w:hint="eastAsia"/>
              </w:rPr>
            </w:pPr>
            <w:r>
              <w:rPr>
                <w:rFonts w:hint="eastAsia"/>
              </w:rPr>
              <w:t>注浆用</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r>
              <w:rPr>
                <w:rFonts w:hint="eastAsia"/>
                <w:lang w:val="en-US" w:eastAsia="zh-CN"/>
              </w:rPr>
              <w:t>4</w:t>
            </w:r>
          </w:p>
        </w:tc>
        <w:tc>
          <w:tcPr>
            <w:tcW w:w="2672" w:type="dxa"/>
            <w:vAlign w:val="center"/>
          </w:tcPr>
          <w:p>
            <w:pPr>
              <w:pStyle w:val="BodyTextIndent"/>
              <w:rPr>
                <w:rFonts w:hint="eastAsia"/>
              </w:rPr>
            </w:pPr>
            <w:r>
              <w:rPr>
                <w:rFonts w:hint="eastAsia"/>
              </w:rPr>
              <w:t>混凝土喷射机</w:t>
            </w:r>
          </w:p>
        </w:tc>
        <w:tc>
          <w:tcPr>
            <w:tcW w:w="2099" w:type="dxa"/>
            <w:vAlign w:val="center"/>
          </w:tcPr>
          <w:p>
            <w:pPr>
              <w:pStyle w:val="BodyTextIndent"/>
              <w:rPr>
                <w:rFonts w:hint="eastAsia"/>
              </w:rPr>
            </w:pPr>
            <w:r>
              <w:rPr>
                <w:rFonts w:hint="eastAsia"/>
              </w:rPr>
              <w:t>PC5I型</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lang w:eastAsia="zh-CN"/>
              </w:rPr>
            </w:pPr>
            <w:r>
              <w:rPr>
                <w:rFonts w:hint="eastAsia"/>
              </w:rPr>
              <w:t>2</w:t>
            </w:r>
          </w:p>
        </w:tc>
        <w:tc>
          <w:tcPr>
            <w:tcW w:w="2287" w:type="dxa"/>
            <w:vAlign w:val="center"/>
          </w:tcPr>
          <w:p>
            <w:pPr>
              <w:pStyle w:val="BodyTextIndent"/>
              <w:rPr>
                <w:rFonts w:hint="eastAsia"/>
                <w:lang w:eastAsia="zh-CN"/>
              </w:rPr>
            </w:pPr>
            <w:r>
              <w:rPr>
                <w:rFonts w:hint="eastAsia"/>
                <w:lang w:eastAsia="zh-CN"/>
              </w:rPr>
              <w:t>砼喷射</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r>
              <w:rPr>
                <w:rFonts w:hint="eastAsia"/>
                <w:lang w:val="en-US" w:eastAsia="zh-CN"/>
              </w:rPr>
              <w:t>5</w:t>
            </w:r>
          </w:p>
        </w:tc>
        <w:tc>
          <w:tcPr>
            <w:tcW w:w="2672" w:type="dxa"/>
            <w:vAlign w:val="center"/>
          </w:tcPr>
          <w:p>
            <w:pPr>
              <w:pStyle w:val="BodyTextIndent"/>
              <w:rPr>
                <w:rFonts w:hint="eastAsia"/>
              </w:rPr>
            </w:pPr>
            <w:r>
              <w:rPr>
                <w:rFonts w:hint="eastAsia"/>
              </w:rPr>
              <w:t>风镐</w:t>
            </w:r>
          </w:p>
        </w:tc>
        <w:tc>
          <w:tcPr>
            <w:tcW w:w="2099" w:type="dxa"/>
            <w:vAlign w:val="center"/>
          </w:tcPr>
          <w:p>
            <w:pPr>
              <w:pStyle w:val="BodyTextIndent"/>
              <w:rPr>
                <w:rFonts w:hint="eastAsia"/>
              </w:rPr>
            </w:pP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5</w:t>
            </w:r>
          </w:p>
        </w:tc>
        <w:tc>
          <w:tcPr>
            <w:tcW w:w="2287" w:type="dxa"/>
            <w:vAlign w:val="center"/>
          </w:tcPr>
          <w:p>
            <w:pPr>
              <w:pStyle w:val="BodyTextIndent"/>
              <w:rPr>
                <w:rFonts w:hint="eastAsia"/>
                <w:lang w:eastAsia="zh-CN"/>
              </w:rPr>
            </w:pPr>
            <w:r>
              <w:rPr>
                <w:rFonts w:hint="eastAsia"/>
                <w:lang w:eastAsia="zh-CN"/>
              </w:rPr>
              <w:t>格架施工</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r>
              <w:rPr>
                <w:rFonts w:hint="eastAsia"/>
                <w:lang w:val="en-US" w:eastAsia="zh-CN"/>
              </w:rPr>
              <w:t>6</w:t>
            </w:r>
          </w:p>
        </w:tc>
        <w:tc>
          <w:tcPr>
            <w:tcW w:w="2672" w:type="dxa"/>
            <w:vAlign w:val="center"/>
          </w:tcPr>
          <w:p>
            <w:pPr>
              <w:pStyle w:val="BodyTextIndent"/>
              <w:rPr>
                <w:rFonts w:hint="eastAsia"/>
              </w:rPr>
            </w:pPr>
            <w:r>
              <w:rPr>
                <w:rFonts w:hint="eastAsia"/>
                <w:lang w:val="en-US" w:eastAsia="zh-CN"/>
              </w:rPr>
              <w:t>GPS测绘仪</w:t>
            </w:r>
          </w:p>
        </w:tc>
        <w:tc>
          <w:tcPr>
            <w:tcW w:w="2099" w:type="dxa"/>
            <w:vAlign w:val="center"/>
          </w:tcPr>
          <w:p>
            <w:pPr>
              <w:pStyle w:val="BodyTextIndent"/>
              <w:rPr>
                <w:rFonts w:hint="eastAsia"/>
              </w:rPr>
            </w:pPr>
            <w:r>
              <w:rPr>
                <w:rFonts w:hint="eastAsia"/>
                <w:lang w:val="en-US" w:eastAsia="zh-CN"/>
              </w:rPr>
              <w:t>中海达V90</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1</w:t>
            </w:r>
          </w:p>
        </w:tc>
        <w:tc>
          <w:tcPr>
            <w:tcW w:w="2287" w:type="dxa"/>
            <w:vAlign w:val="center"/>
          </w:tcPr>
          <w:p>
            <w:pPr>
              <w:pStyle w:val="BodyTextIndent"/>
              <w:rPr>
                <w:rFonts w:hint="eastAsia"/>
              </w:rPr>
            </w:pPr>
            <w:r>
              <w:rPr>
                <w:rFonts w:hint="eastAsia"/>
                <w:lang w:eastAsia="zh-CN"/>
              </w:rPr>
              <w:t>测量</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rPr>
            </w:pPr>
            <w:r>
              <w:rPr>
                <w:rFonts w:hint="eastAsia"/>
              </w:rPr>
              <w:t>1</w:t>
            </w:r>
            <w:r>
              <w:rPr>
                <w:rFonts w:hint="eastAsia"/>
                <w:lang w:val="en-US" w:eastAsia="zh-CN"/>
              </w:rPr>
              <w:t>7</w:t>
            </w:r>
          </w:p>
        </w:tc>
        <w:tc>
          <w:tcPr>
            <w:tcW w:w="2672" w:type="dxa"/>
            <w:vAlign w:val="center"/>
          </w:tcPr>
          <w:p>
            <w:pPr>
              <w:pStyle w:val="BodyTextIndent"/>
              <w:rPr>
                <w:rFonts w:hint="eastAsia"/>
              </w:rPr>
            </w:pPr>
            <w:r>
              <w:rPr>
                <w:rFonts w:hint="eastAsia"/>
              </w:rPr>
              <w:t>水平仪</w:t>
            </w:r>
          </w:p>
        </w:tc>
        <w:tc>
          <w:tcPr>
            <w:tcW w:w="2099" w:type="dxa"/>
            <w:vAlign w:val="center"/>
          </w:tcPr>
          <w:p>
            <w:pPr>
              <w:pStyle w:val="BodyTextIndent"/>
              <w:rPr>
                <w:rFonts w:hint="eastAsia"/>
              </w:rPr>
            </w:pPr>
            <w:r>
              <w:rPr>
                <w:rFonts w:hint="eastAsia"/>
              </w:rPr>
              <w:t>DSZ2</w:t>
            </w:r>
          </w:p>
        </w:tc>
        <w:tc>
          <w:tcPr>
            <w:tcW w:w="796" w:type="dxa"/>
            <w:vAlign w:val="center"/>
          </w:tcPr>
          <w:p>
            <w:pPr>
              <w:pStyle w:val="BodyTextIndent"/>
              <w:rPr>
                <w:rFonts w:hint="eastAsia"/>
              </w:rPr>
            </w:pPr>
            <w:r>
              <w:rPr>
                <w:rFonts w:hint="eastAsia"/>
              </w:rPr>
              <w:t>台</w:t>
            </w:r>
          </w:p>
        </w:tc>
        <w:tc>
          <w:tcPr>
            <w:tcW w:w="797" w:type="dxa"/>
            <w:vAlign w:val="center"/>
          </w:tcPr>
          <w:p>
            <w:pPr>
              <w:pStyle w:val="BodyTextIndent"/>
              <w:rPr>
                <w:rFonts w:hint="eastAsia"/>
              </w:rPr>
            </w:pPr>
            <w:r>
              <w:rPr>
                <w:rFonts w:hint="eastAsia"/>
              </w:rPr>
              <w:t>1</w:t>
            </w:r>
          </w:p>
        </w:tc>
        <w:tc>
          <w:tcPr>
            <w:tcW w:w="2287" w:type="dxa"/>
            <w:vAlign w:val="center"/>
          </w:tcPr>
          <w:p>
            <w:pPr>
              <w:pStyle w:val="BodyTextIndent"/>
              <w:rPr>
                <w:rFonts w:hint="eastAsia"/>
              </w:rPr>
            </w:pPr>
            <w:r>
              <w:rPr>
                <w:rFonts w:hint="eastAsia"/>
                <w:lang w:eastAsia="zh-CN"/>
              </w:rPr>
              <w:t>测量</w:t>
            </w:r>
          </w:p>
        </w:tc>
      </w:tr>
    </w:tbl>
    <w:p>
      <w:pPr>
        <w:pStyle w:val="Heading2"/>
        <w:numPr>
          <w:ilvl w:val="0"/>
          <w:numId w:val="5"/>
        </w:numPr>
        <w:spacing w:line="500" w:lineRule="auto"/>
        <w:ind w:left="0" w:firstLine="0" w:leftChars="0" w:firstLineChars="0"/>
      </w:pPr>
      <w:bookmarkStart w:id="31" w:name="_Toc24237"/>
      <w:r>
        <w:rPr>
          <w:rFonts w:hint="eastAsia"/>
          <w:lang w:eastAsia="zh-CN"/>
        </w:rPr>
        <w:t>占道交通</w:t>
      </w:r>
      <w:r>
        <w:rPr>
          <w:rFonts w:hint="eastAsia"/>
        </w:rPr>
        <w:t>计划</w:t>
      </w:r>
    </w:p>
    <w:tbl>
      <w:tblPr>
        <w:tblStyle w:val="TableNormal"/>
        <w:tblW w:w="94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5"/>
        <w:gridCol w:w="2672"/>
        <w:gridCol w:w="2099"/>
        <w:gridCol w:w="796"/>
        <w:gridCol w:w="797"/>
        <w:gridCol w:w="2287"/>
      </w:tblGrid>
      <w:tr>
        <w:tblPrEx>
          <w:tblW w:w="94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845" w:type="dxa"/>
            <w:vAlign w:val="center"/>
          </w:tcPr>
          <w:p>
            <w:pPr>
              <w:pStyle w:val="BodyTextIndent"/>
              <w:rPr>
                <w:rFonts w:hint="eastAsia"/>
                <w:color w:val="auto"/>
              </w:rPr>
            </w:pPr>
            <w:r>
              <w:rPr>
                <w:rFonts w:hint="eastAsia"/>
                <w:color w:val="auto"/>
              </w:rPr>
              <w:t>项次</w:t>
            </w:r>
          </w:p>
        </w:tc>
        <w:tc>
          <w:tcPr>
            <w:tcW w:w="2672" w:type="dxa"/>
            <w:vAlign w:val="center"/>
          </w:tcPr>
          <w:p>
            <w:pPr>
              <w:pStyle w:val="BodyTextIndent"/>
              <w:rPr>
                <w:rFonts w:hint="eastAsia"/>
                <w:color w:val="auto"/>
              </w:rPr>
            </w:pPr>
            <w:r>
              <w:rPr>
                <w:rFonts w:hint="eastAsia"/>
                <w:color w:val="auto"/>
              </w:rPr>
              <w:t>机械设备名称</w:t>
            </w:r>
          </w:p>
        </w:tc>
        <w:tc>
          <w:tcPr>
            <w:tcW w:w="2099" w:type="dxa"/>
            <w:vAlign w:val="center"/>
          </w:tcPr>
          <w:p>
            <w:pPr>
              <w:pStyle w:val="BodyTextIndent"/>
              <w:rPr>
                <w:rFonts w:hint="eastAsia"/>
                <w:color w:val="auto"/>
              </w:rPr>
            </w:pPr>
            <w:r>
              <w:rPr>
                <w:rFonts w:hint="eastAsia"/>
                <w:color w:val="auto"/>
              </w:rPr>
              <w:t>规格型号</w:t>
            </w:r>
          </w:p>
        </w:tc>
        <w:tc>
          <w:tcPr>
            <w:tcW w:w="796" w:type="dxa"/>
            <w:vAlign w:val="center"/>
          </w:tcPr>
          <w:p>
            <w:pPr>
              <w:pStyle w:val="BodyTextIndent"/>
              <w:rPr>
                <w:rFonts w:hint="eastAsia"/>
                <w:color w:val="auto"/>
              </w:rPr>
            </w:pPr>
            <w:r>
              <w:rPr>
                <w:rFonts w:hint="eastAsia"/>
                <w:color w:val="auto"/>
              </w:rPr>
              <w:t>单位</w:t>
            </w:r>
          </w:p>
        </w:tc>
        <w:tc>
          <w:tcPr>
            <w:tcW w:w="797" w:type="dxa"/>
            <w:vAlign w:val="center"/>
          </w:tcPr>
          <w:p>
            <w:pPr>
              <w:pStyle w:val="BodyTextIndent"/>
              <w:rPr>
                <w:rFonts w:hint="eastAsia"/>
                <w:color w:val="auto"/>
              </w:rPr>
            </w:pPr>
            <w:r>
              <w:rPr>
                <w:rFonts w:hint="eastAsia"/>
                <w:color w:val="auto"/>
              </w:rPr>
              <w:t>数量</w:t>
            </w:r>
          </w:p>
        </w:tc>
        <w:tc>
          <w:tcPr>
            <w:tcW w:w="2287" w:type="dxa"/>
            <w:vAlign w:val="center"/>
          </w:tcPr>
          <w:p>
            <w:pPr>
              <w:pStyle w:val="BodyTextIndent"/>
              <w:rPr>
                <w:rFonts w:hint="eastAsia"/>
                <w:color w:val="auto"/>
              </w:rPr>
            </w:pPr>
            <w:r>
              <w:rPr>
                <w:rFonts w:hint="eastAsia"/>
                <w:color w:val="auto"/>
              </w:rPr>
              <w:t>备注</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color w:val="auto"/>
              </w:rPr>
            </w:pPr>
            <w:r>
              <w:rPr>
                <w:rFonts w:hint="eastAsia"/>
                <w:color w:val="auto"/>
              </w:rPr>
              <w:t>1</w:t>
            </w:r>
          </w:p>
        </w:tc>
        <w:tc>
          <w:tcPr>
            <w:tcW w:w="2672" w:type="dxa"/>
            <w:vAlign w:val="center"/>
          </w:tcPr>
          <w:p>
            <w:pPr>
              <w:pStyle w:val="BodyTextIndent"/>
              <w:rPr>
                <w:rFonts w:hint="eastAsia"/>
                <w:color w:val="auto"/>
              </w:rPr>
            </w:pPr>
            <w:r>
              <w:rPr>
                <w:rFonts w:hint="eastAsia"/>
                <w:color w:val="auto"/>
                <w:lang w:val="en-US" w:eastAsia="zh-CN"/>
              </w:rPr>
              <w:t>锥形桶</w:t>
            </w:r>
          </w:p>
        </w:tc>
        <w:tc>
          <w:tcPr>
            <w:tcW w:w="2099" w:type="dxa"/>
            <w:vAlign w:val="center"/>
          </w:tcPr>
          <w:p>
            <w:pPr>
              <w:pStyle w:val="BodyTextIndent"/>
              <w:rPr>
                <w:rFonts w:hint="eastAsia"/>
                <w:color w:val="auto"/>
              </w:rPr>
            </w:pPr>
          </w:p>
        </w:tc>
        <w:tc>
          <w:tcPr>
            <w:tcW w:w="796" w:type="dxa"/>
            <w:textDirection w:val="lrTb"/>
            <w:vAlign w:val="center"/>
          </w:tcPr>
          <w:p>
            <w:pPr>
              <w:pStyle w:val="BodyTextIndent"/>
              <w:ind w:left="0" w:firstLine="0" w:leftChars="0" w:firstLineChars="0"/>
              <w:rPr>
                <w:rFonts w:eastAsia="仿宋" w:hint="eastAsia"/>
                <w:color w:val="auto"/>
                <w:lang w:eastAsia="zh-CN"/>
              </w:rPr>
            </w:pPr>
            <w:r>
              <w:rPr>
                <w:rFonts w:hint="eastAsia"/>
                <w:color w:val="auto"/>
                <w:lang w:eastAsia="zh-CN"/>
              </w:rPr>
              <w:t>个</w:t>
            </w:r>
          </w:p>
        </w:tc>
        <w:tc>
          <w:tcPr>
            <w:tcW w:w="797" w:type="dxa"/>
            <w:vAlign w:val="center"/>
          </w:tcPr>
          <w:p>
            <w:pPr>
              <w:pStyle w:val="BodyTextIndent"/>
              <w:rPr>
                <w:rFonts w:eastAsia="仿宋" w:hint="eastAsia"/>
                <w:color w:val="auto"/>
                <w:lang w:eastAsia="zh-CN"/>
              </w:rPr>
            </w:pPr>
            <w:r>
              <w:rPr>
                <w:rFonts w:hint="eastAsia"/>
                <w:color w:val="auto"/>
                <w:lang w:val="en-US" w:eastAsia="zh-CN"/>
              </w:rPr>
              <w:t>30</w:t>
            </w:r>
          </w:p>
        </w:tc>
        <w:tc>
          <w:tcPr>
            <w:tcW w:w="2287" w:type="dxa"/>
            <w:vAlign w:val="center"/>
          </w:tcPr>
          <w:p>
            <w:pPr>
              <w:pStyle w:val="BodyTextIndent"/>
              <w:rPr>
                <w:rFonts w:hint="eastAsia"/>
                <w:color w:val="auto"/>
                <w:lang w:val="en-US" w:eastAsia="zh-CN"/>
              </w:rPr>
            </w:pPr>
            <w:r>
              <w:rPr>
                <w:rFonts w:hint="eastAsia"/>
                <w:color w:val="auto"/>
                <w:lang w:val="en-US" w:eastAsia="zh-CN"/>
              </w:rPr>
              <w:t>交通警示</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color w:val="auto"/>
              </w:rPr>
            </w:pPr>
            <w:r>
              <w:rPr>
                <w:color w:val="auto"/>
              </w:rPr>
              <w:t>2</w:t>
            </w:r>
          </w:p>
        </w:tc>
        <w:tc>
          <w:tcPr>
            <w:tcW w:w="2672" w:type="dxa"/>
            <w:vAlign w:val="center"/>
          </w:tcPr>
          <w:p>
            <w:pPr>
              <w:pStyle w:val="BodyTextIndent"/>
              <w:rPr>
                <w:rFonts w:eastAsia="仿宋" w:hint="eastAsia"/>
                <w:color w:val="auto"/>
                <w:lang w:eastAsia="zh-CN"/>
              </w:rPr>
            </w:pPr>
            <w:r>
              <w:rPr>
                <w:rFonts w:hint="eastAsia"/>
                <w:color w:val="auto"/>
                <w:lang w:eastAsia="zh-CN"/>
              </w:rPr>
              <w:t>对讲机</w:t>
            </w:r>
          </w:p>
        </w:tc>
        <w:tc>
          <w:tcPr>
            <w:tcW w:w="2099" w:type="dxa"/>
            <w:vAlign w:val="center"/>
          </w:tcPr>
          <w:p>
            <w:pPr>
              <w:pStyle w:val="BodyTextIndent"/>
              <w:rPr>
                <w:rFonts w:hint="eastAsia"/>
                <w:color w:val="auto"/>
              </w:rPr>
            </w:pPr>
          </w:p>
        </w:tc>
        <w:tc>
          <w:tcPr>
            <w:tcW w:w="796" w:type="dxa"/>
            <w:textDirection w:val="lrTb"/>
            <w:vAlign w:val="center"/>
          </w:tcPr>
          <w:p>
            <w:pPr>
              <w:pStyle w:val="BodyTextIndent"/>
              <w:ind w:left="0" w:firstLine="0" w:leftChars="0" w:firstLineChars="0"/>
              <w:rPr>
                <w:rFonts w:hint="eastAsia"/>
                <w:color w:val="auto"/>
              </w:rPr>
            </w:pPr>
            <w:r>
              <w:rPr>
                <w:rFonts w:hint="eastAsia"/>
                <w:color w:val="auto"/>
              </w:rPr>
              <w:t>台</w:t>
            </w:r>
          </w:p>
        </w:tc>
        <w:tc>
          <w:tcPr>
            <w:tcW w:w="797" w:type="dxa"/>
            <w:vAlign w:val="center"/>
          </w:tcPr>
          <w:p>
            <w:pPr>
              <w:pStyle w:val="BodyTextIndent"/>
              <w:rPr>
                <w:rFonts w:eastAsia="仿宋" w:hint="eastAsia"/>
                <w:color w:val="auto"/>
                <w:lang w:eastAsia="zh-CN"/>
              </w:rPr>
            </w:pPr>
            <w:r>
              <w:rPr>
                <w:rFonts w:hint="eastAsia"/>
                <w:color w:val="auto"/>
                <w:lang w:val="en-US" w:eastAsia="zh-CN"/>
              </w:rPr>
              <w:t>4</w:t>
            </w:r>
          </w:p>
        </w:tc>
        <w:tc>
          <w:tcPr>
            <w:tcW w:w="2287" w:type="dxa"/>
            <w:vAlign w:val="center"/>
          </w:tcPr>
          <w:p>
            <w:pPr>
              <w:pStyle w:val="BodyTextIndent"/>
              <w:rPr>
                <w:rFonts w:hint="eastAsia"/>
                <w:color w:val="auto"/>
                <w:lang w:val="en-US" w:eastAsia="zh-CN"/>
              </w:rPr>
            </w:pPr>
            <w:r>
              <w:rPr>
                <w:rFonts w:hint="eastAsia"/>
                <w:color w:val="auto"/>
                <w:lang w:val="en-US" w:eastAsia="zh-CN"/>
              </w:rPr>
              <w:t>协调</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color w:val="auto"/>
              </w:rPr>
            </w:pPr>
            <w:r>
              <w:rPr>
                <w:rFonts w:hint="eastAsia"/>
                <w:color w:val="auto"/>
                <w:lang w:val="en-US" w:eastAsia="zh-CN"/>
              </w:rPr>
              <w:t>3</w:t>
            </w:r>
          </w:p>
        </w:tc>
        <w:tc>
          <w:tcPr>
            <w:tcW w:w="2672" w:type="dxa"/>
            <w:vAlign w:val="center"/>
          </w:tcPr>
          <w:p>
            <w:pPr>
              <w:pStyle w:val="BodyTextIndent"/>
              <w:rPr>
                <w:rFonts w:hint="eastAsia"/>
                <w:color w:val="auto"/>
              </w:rPr>
            </w:pPr>
            <w:r>
              <w:rPr>
                <w:rFonts w:hint="eastAsia"/>
                <w:color w:val="auto"/>
                <w:lang w:val="en-US" w:eastAsia="zh-CN"/>
              </w:rPr>
              <w:t>交通警戒告示牌</w:t>
            </w:r>
          </w:p>
        </w:tc>
        <w:tc>
          <w:tcPr>
            <w:tcW w:w="2099" w:type="dxa"/>
            <w:vAlign w:val="center"/>
          </w:tcPr>
          <w:p>
            <w:pPr>
              <w:pStyle w:val="BodyTextIndent"/>
              <w:rPr>
                <w:rFonts w:hint="eastAsia"/>
                <w:color w:val="auto"/>
              </w:rPr>
            </w:pPr>
          </w:p>
        </w:tc>
        <w:tc>
          <w:tcPr>
            <w:tcW w:w="796" w:type="dxa"/>
            <w:textDirection w:val="lrTb"/>
            <w:vAlign w:val="center"/>
          </w:tcPr>
          <w:p>
            <w:pPr>
              <w:pStyle w:val="BodyTextIndent"/>
              <w:ind w:left="0" w:firstLine="0" w:leftChars="0" w:firstLineChars="0"/>
              <w:rPr>
                <w:rFonts w:hint="eastAsia"/>
                <w:color w:val="auto"/>
              </w:rPr>
            </w:pPr>
            <w:r>
              <w:rPr>
                <w:rFonts w:hint="eastAsia"/>
                <w:color w:val="auto"/>
                <w:lang w:val="en-US" w:eastAsia="zh-CN"/>
              </w:rPr>
              <w:t>张</w:t>
            </w:r>
          </w:p>
        </w:tc>
        <w:tc>
          <w:tcPr>
            <w:tcW w:w="797" w:type="dxa"/>
            <w:vAlign w:val="center"/>
          </w:tcPr>
          <w:p>
            <w:pPr>
              <w:pStyle w:val="BodyTextIndent"/>
              <w:rPr>
                <w:rFonts w:hint="eastAsia"/>
                <w:color w:val="auto"/>
              </w:rPr>
            </w:pPr>
            <w:r>
              <w:rPr>
                <w:rFonts w:hint="eastAsia"/>
                <w:color w:val="auto"/>
                <w:lang w:val="en-US" w:eastAsia="zh-CN"/>
              </w:rPr>
              <w:t>10</w:t>
            </w:r>
          </w:p>
        </w:tc>
        <w:tc>
          <w:tcPr>
            <w:tcW w:w="2287" w:type="dxa"/>
            <w:vAlign w:val="center"/>
          </w:tcPr>
          <w:p>
            <w:pPr>
              <w:pStyle w:val="BodyTextIndent"/>
              <w:rPr>
                <w:rFonts w:hint="eastAsia"/>
                <w:color w:val="auto"/>
                <w:lang w:val="en-US" w:eastAsia="zh-CN"/>
              </w:rPr>
            </w:pPr>
            <w:r>
              <w:rPr>
                <w:rFonts w:hint="eastAsia"/>
                <w:color w:val="auto"/>
                <w:lang w:val="en-US" w:eastAsia="zh-CN"/>
              </w:rPr>
              <w:t>交通警示</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color w:val="auto"/>
              </w:rPr>
            </w:pPr>
            <w:r>
              <w:rPr>
                <w:rFonts w:hint="eastAsia"/>
                <w:color w:val="auto"/>
                <w:lang w:val="en-US" w:eastAsia="zh-CN"/>
              </w:rPr>
              <w:t>4</w:t>
            </w:r>
          </w:p>
        </w:tc>
        <w:tc>
          <w:tcPr>
            <w:tcW w:w="2672" w:type="dxa"/>
            <w:vAlign w:val="center"/>
          </w:tcPr>
          <w:p>
            <w:pPr>
              <w:pStyle w:val="BodyTextIndent"/>
              <w:rPr>
                <w:rFonts w:eastAsia="仿宋" w:hint="eastAsia"/>
                <w:color w:val="auto"/>
                <w:lang w:eastAsia="zh-CN"/>
              </w:rPr>
            </w:pPr>
            <w:r>
              <w:rPr>
                <w:rFonts w:hint="eastAsia"/>
                <w:color w:val="auto"/>
                <w:lang w:eastAsia="zh-CN"/>
              </w:rPr>
              <w:t>交通协调人员</w:t>
            </w:r>
          </w:p>
        </w:tc>
        <w:tc>
          <w:tcPr>
            <w:tcW w:w="2099" w:type="dxa"/>
            <w:vAlign w:val="center"/>
          </w:tcPr>
          <w:p>
            <w:pPr>
              <w:pStyle w:val="BodyTextIndent"/>
              <w:rPr>
                <w:rFonts w:hint="eastAsia"/>
                <w:color w:val="auto"/>
              </w:rPr>
            </w:pPr>
          </w:p>
        </w:tc>
        <w:tc>
          <w:tcPr>
            <w:tcW w:w="796" w:type="dxa"/>
            <w:textDirection w:val="lrTb"/>
            <w:vAlign w:val="center"/>
          </w:tcPr>
          <w:p>
            <w:pPr>
              <w:pStyle w:val="BodyTextIndent"/>
              <w:ind w:left="0" w:firstLine="0" w:leftChars="0" w:firstLineChars="0"/>
              <w:rPr>
                <w:rFonts w:eastAsia="仿宋" w:hint="eastAsia"/>
                <w:color w:val="auto"/>
                <w:lang w:eastAsia="zh-CN"/>
              </w:rPr>
            </w:pPr>
            <w:r>
              <w:rPr>
                <w:rFonts w:hint="eastAsia"/>
                <w:color w:val="auto"/>
                <w:lang w:eastAsia="zh-CN"/>
              </w:rPr>
              <w:t>人</w:t>
            </w:r>
          </w:p>
        </w:tc>
        <w:tc>
          <w:tcPr>
            <w:tcW w:w="797" w:type="dxa"/>
            <w:textDirection w:val="lrTb"/>
            <w:vAlign w:val="center"/>
          </w:tcPr>
          <w:p>
            <w:pPr>
              <w:pStyle w:val="BodyTextIndent"/>
              <w:ind w:left="0" w:firstLine="0" w:leftChars="0" w:firstLineChars="0"/>
              <w:rPr>
                <w:rFonts w:hint="eastAsia"/>
                <w:color w:val="auto"/>
              </w:rPr>
            </w:pPr>
            <w:r>
              <w:rPr>
                <w:rFonts w:hint="eastAsia"/>
                <w:color w:val="auto"/>
                <w:lang w:val="en-US" w:eastAsia="zh-CN"/>
              </w:rPr>
              <w:t>4</w:t>
            </w:r>
          </w:p>
        </w:tc>
        <w:tc>
          <w:tcPr>
            <w:tcW w:w="2287" w:type="dxa"/>
            <w:vAlign w:val="center"/>
          </w:tcPr>
          <w:p>
            <w:pPr>
              <w:pStyle w:val="BodyTextIndent"/>
              <w:rPr>
                <w:rFonts w:hint="eastAsia"/>
                <w:color w:val="auto"/>
                <w:lang w:val="en-US" w:eastAsia="zh-CN"/>
              </w:rPr>
            </w:pPr>
            <w:r>
              <w:rPr>
                <w:rFonts w:hint="eastAsia"/>
                <w:color w:val="auto"/>
                <w:lang w:val="en-US" w:eastAsia="zh-CN"/>
              </w:rPr>
              <w:t>协调</w:t>
            </w: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eastAsia="仿宋" w:hint="eastAsia"/>
                <w:color w:val="auto"/>
                <w:lang w:eastAsia="zh-CN"/>
              </w:rPr>
            </w:pPr>
            <w:r>
              <w:rPr>
                <w:rFonts w:hint="eastAsia"/>
                <w:color w:val="auto"/>
                <w:lang w:val="en-US" w:eastAsia="zh-CN"/>
              </w:rPr>
              <w:t>5</w:t>
            </w:r>
          </w:p>
        </w:tc>
        <w:tc>
          <w:tcPr>
            <w:tcW w:w="2672" w:type="dxa"/>
            <w:vAlign w:val="center"/>
          </w:tcPr>
          <w:p>
            <w:pPr>
              <w:pStyle w:val="BodyTextIndent"/>
              <w:rPr>
                <w:rFonts w:eastAsia="仿宋" w:hint="eastAsia"/>
                <w:color w:val="auto"/>
                <w:lang w:eastAsia="zh-CN"/>
              </w:rPr>
            </w:pPr>
            <w:r>
              <w:rPr>
                <w:rFonts w:hint="eastAsia"/>
                <w:color w:val="auto"/>
                <w:lang w:eastAsia="zh-CN"/>
              </w:rPr>
              <w:t>交通占道费</w:t>
            </w:r>
          </w:p>
        </w:tc>
        <w:tc>
          <w:tcPr>
            <w:tcW w:w="2099" w:type="dxa"/>
            <w:vAlign w:val="center"/>
          </w:tcPr>
          <w:p>
            <w:pPr>
              <w:pStyle w:val="BodyTextIndent"/>
              <w:rPr>
                <w:rFonts w:hint="eastAsia"/>
                <w:color w:val="auto"/>
              </w:rPr>
            </w:pPr>
          </w:p>
        </w:tc>
        <w:tc>
          <w:tcPr>
            <w:tcW w:w="796" w:type="dxa"/>
            <w:vAlign w:val="center"/>
          </w:tcPr>
          <w:p>
            <w:pPr>
              <w:pStyle w:val="BodyTextIndent"/>
              <w:rPr>
                <w:rFonts w:eastAsia="仿宋" w:hint="eastAsia"/>
                <w:color w:val="auto"/>
                <w:lang w:eastAsia="zh-CN"/>
              </w:rPr>
            </w:pPr>
          </w:p>
        </w:tc>
        <w:tc>
          <w:tcPr>
            <w:tcW w:w="797" w:type="dxa"/>
            <w:vAlign w:val="center"/>
          </w:tcPr>
          <w:p>
            <w:pPr>
              <w:pStyle w:val="BodyTextIndent"/>
              <w:rPr>
                <w:rFonts w:eastAsia="仿宋" w:hint="eastAsia"/>
                <w:color w:val="auto"/>
                <w:lang w:val="en-US" w:eastAsia="zh-CN"/>
              </w:rPr>
            </w:pPr>
            <w:r>
              <w:rPr>
                <w:rFonts w:hint="eastAsia"/>
                <w:color w:val="auto"/>
                <w:lang w:val="en-US" w:eastAsia="zh-CN"/>
              </w:rPr>
              <w:t>1</w:t>
            </w:r>
          </w:p>
        </w:tc>
        <w:tc>
          <w:tcPr>
            <w:tcW w:w="2287" w:type="dxa"/>
            <w:vAlign w:val="center"/>
          </w:tcPr>
          <w:p>
            <w:pPr>
              <w:pStyle w:val="BodyTextIndent"/>
              <w:rPr>
                <w:rFonts w:hint="eastAsia"/>
                <w:color w:val="auto"/>
                <w:lang w:val="en-US" w:eastAsia="zh-CN"/>
              </w:rPr>
            </w:pPr>
          </w:p>
        </w:tc>
      </w:tr>
      <w:tr>
        <w:tblPrEx>
          <w:tblW w:w="9496" w:type="dxa"/>
          <w:jc w:val="center"/>
          <w:tblInd w:w="0" w:type="dxa"/>
          <w:tblLayout w:type="fixed"/>
          <w:tblCellMar>
            <w:top w:w="0" w:type="dxa"/>
            <w:left w:w="108" w:type="dxa"/>
            <w:bottom w:w="0" w:type="dxa"/>
            <w:right w:w="108" w:type="dxa"/>
          </w:tblCellMar>
        </w:tblPrEx>
        <w:trPr>
          <w:trHeight w:val="340"/>
          <w:jc w:val="center"/>
        </w:trPr>
        <w:tc>
          <w:tcPr>
            <w:tcW w:w="845" w:type="dxa"/>
            <w:vAlign w:val="center"/>
          </w:tcPr>
          <w:p>
            <w:pPr>
              <w:pStyle w:val="BodyTextIndent"/>
              <w:rPr>
                <w:rFonts w:hint="eastAsia"/>
                <w:color w:val="auto"/>
                <w:lang w:val="en-US" w:eastAsia="zh-CN"/>
              </w:rPr>
            </w:pPr>
            <w:r>
              <w:rPr>
                <w:rFonts w:hint="eastAsia"/>
                <w:color w:val="auto"/>
                <w:lang w:val="en-US" w:eastAsia="zh-CN"/>
              </w:rPr>
              <w:t>6</w:t>
            </w:r>
          </w:p>
        </w:tc>
        <w:tc>
          <w:tcPr>
            <w:tcW w:w="2672" w:type="dxa"/>
            <w:vAlign w:val="center"/>
          </w:tcPr>
          <w:p>
            <w:pPr>
              <w:pStyle w:val="BodyTextIndent"/>
              <w:rPr>
                <w:rFonts w:hint="eastAsia"/>
                <w:color w:val="auto"/>
                <w:lang w:eastAsia="zh-CN"/>
              </w:rPr>
            </w:pPr>
            <w:r>
              <w:rPr>
                <w:rFonts w:hint="eastAsia"/>
                <w:color w:val="auto"/>
                <w:lang w:eastAsia="zh-CN"/>
              </w:rPr>
              <w:t>电线、光纤等通讯迁移费</w:t>
            </w:r>
          </w:p>
        </w:tc>
        <w:tc>
          <w:tcPr>
            <w:tcW w:w="2099" w:type="dxa"/>
            <w:vAlign w:val="center"/>
          </w:tcPr>
          <w:p>
            <w:pPr>
              <w:pStyle w:val="BodyTextIndent"/>
              <w:rPr>
                <w:rFonts w:hint="eastAsia"/>
                <w:color w:val="auto"/>
              </w:rPr>
            </w:pPr>
          </w:p>
        </w:tc>
        <w:tc>
          <w:tcPr>
            <w:tcW w:w="796" w:type="dxa"/>
            <w:vAlign w:val="center"/>
          </w:tcPr>
          <w:p>
            <w:pPr>
              <w:pStyle w:val="BodyTextIndent"/>
              <w:rPr>
                <w:rFonts w:eastAsia="仿宋" w:hint="eastAsia"/>
                <w:color w:val="auto"/>
                <w:lang w:eastAsia="zh-CN"/>
              </w:rPr>
            </w:pPr>
          </w:p>
        </w:tc>
        <w:tc>
          <w:tcPr>
            <w:tcW w:w="797" w:type="dxa"/>
            <w:vAlign w:val="center"/>
          </w:tcPr>
          <w:p>
            <w:pPr>
              <w:pStyle w:val="BodyTextIndent"/>
              <w:rPr>
                <w:rFonts w:eastAsia="仿宋" w:hint="eastAsia"/>
                <w:color w:val="auto"/>
                <w:lang w:val="en-US" w:eastAsia="zh-CN"/>
              </w:rPr>
            </w:pPr>
            <w:r>
              <w:rPr>
                <w:rFonts w:hint="eastAsia"/>
                <w:color w:val="auto"/>
                <w:lang w:val="en-US" w:eastAsia="zh-CN"/>
              </w:rPr>
              <w:t>1</w:t>
            </w:r>
          </w:p>
        </w:tc>
        <w:tc>
          <w:tcPr>
            <w:tcW w:w="2287" w:type="dxa"/>
            <w:vAlign w:val="center"/>
          </w:tcPr>
          <w:p>
            <w:pPr>
              <w:pStyle w:val="BodyTextIndent"/>
              <w:rPr>
                <w:rFonts w:hint="eastAsia"/>
                <w:color w:val="auto"/>
                <w:lang w:val="en-US" w:eastAsia="zh-CN"/>
              </w:rPr>
            </w:pPr>
          </w:p>
        </w:tc>
      </w:tr>
    </w:tbl>
    <w:p>
      <w:pPr>
        <w:pStyle w:val="BodyText"/>
        <w:spacing w:line="500" w:lineRule="auto"/>
        <w:rPr>
          <w:rFonts w:hint="eastAsia"/>
          <w:lang w:val="en-US" w:eastAsia="zh-CN"/>
        </w:rPr>
      </w:pPr>
      <w:r>
        <w:rPr>
          <w:rFonts w:hint="eastAsia"/>
          <w:lang w:eastAsia="zh-CN"/>
        </w:rPr>
        <w:t>本次占道为</w:t>
      </w:r>
      <w:r>
        <w:rPr>
          <w:rFonts w:hint="eastAsia"/>
          <w:lang w:val="en-US" w:eastAsia="zh-CN"/>
        </w:rPr>
        <w:t>30天，占道施工重要为旋挖桩基施工及桩基混凝土浇筑。</w:t>
      </w:r>
    </w:p>
    <w:p>
      <w:pPr>
        <w:pStyle w:val="BodyText"/>
        <w:rPr>
          <w:rFonts w:hint="eastAsia"/>
          <w:lang w:val="en-US" w:eastAsia="zh-CN"/>
        </w:rPr>
      </w:pPr>
    </w:p>
    <w:p>
      <w:pPr>
        <w:pStyle w:val="Heading1"/>
        <w:spacing w:line="500" w:lineRule="auto"/>
      </w:pPr>
      <w:r>
        <w:rPr>
          <w:rFonts w:hint="eastAsia"/>
        </w:rPr>
        <w:t>四、施工工艺技术</w:t>
      </w:r>
      <w:bookmarkEnd w:id="31"/>
    </w:p>
    <w:p>
      <w:pPr>
        <w:pStyle w:val="Heading2"/>
        <w:numPr>
          <w:ilvl w:val="0"/>
          <w:numId w:val="9"/>
        </w:numPr>
        <w:spacing w:line="500" w:lineRule="auto"/>
        <w:ind w:left="0" w:firstLine="420" w:leftChars="0" w:firstLineChars="0"/>
        <w:rPr>
          <w:rFonts w:hint="eastAsia"/>
        </w:rPr>
      </w:pPr>
      <w:bookmarkStart w:id="32" w:name="_Toc12589"/>
      <w:r>
        <w:rPr>
          <w:rFonts w:hint="eastAsia"/>
        </w:rPr>
        <w:t>技术参数</w:t>
      </w:r>
      <w:bookmarkEnd w:id="32"/>
    </w:p>
    <w:p>
      <w:pPr>
        <w:spacing w:line="500" w:lineRule="auto"/>
        <w:rPr>
          <w:rFonts w:hint="eastAsia"/>
        </w:rPr>
        <w:sectPr>
          <w:type w:val="nextPage"/>
          <w:pgSz w:w="11906" w:h="16838"/>
          <w:pgMar w:top="1134" w:right="1134" w:bottom="1134" w:left="1418" w:header="851" w:footer="992" w:gutter="0"/>
          <w:pgNumType w:fmt="decimal" w:start="12"/>
          <w:cols w:num="1" w:space="425"/>
          <w:titlePg w:val="0"/>
          <w:docGrid w:type="lines" w:linePitch="312" w:charSpace="0"/>
        </w:sectPr>
      </w:pPr>
    </w:p>
    <w:p>
      <w:pPr>
        <w:spacing w:line="500" w:lineRule="auto"/>
        <w:rPr>
          <w:rFonts w:hint="eastAsia"/>
        </w:rPr>
      </w:pPr>
      <w:r>
        <w:rPr>
          <w:rFonts w:hint="eastAsia"/>
        </w:rPr>
        <w:t>1、本边坡开挖安全专项方案由掌握该工程概况（涉及该边坡工程的相关数据、水文地质状况、周边环境等一手资料），并由熟悉安全生产法律法规、规范、标准等的技术人员编制；</w:t>
      </w:r>
    </w:p>
    <w:p>
      <w:pPr>
        <w:spacing w:line="500" w:lineRule="auto"/>
        <w:rPr>
          <w:rFonts w:hint="eastAsia"/>
        </w:rPr>
      </w:pPr>
      <w:r>
        <w:rPr>
          <w:rFonts w:hint="eastAsia"/>
          <w:lang w:val="zh-CN"/>
        </w:rPr>
        <w:t>2、</w:t>
      </w:r>
      <w:r>
        <w:rPr>
          <w:rFonts w:hint="eastAsia"/>
        </w:rPr>
        <w:t>边坡开挖各项技术参数必须满足现行标准、规范、规程及设计图纸的规定；</w:t>
      </w:r>
    </w:p>
    <w:p>
      <w:pPr>
        <w:spacing w:line="500" w:lineRule="auto"/>
        <w:rPr>
          <w:rFonts w:hint="eastAsia"/>
        </w:rPr>
      </w:pPr>
      <w:r>
        <w:rPr>
          <w:rFonts w:hint="eastAsia"/>
        </w:rPr>
        <w:t>3、土石方开挖的各项参数必须符合</w:t>
      </w:r>
      <w:r>
        <w:rPr>
          <w:rFonts w:hint="eastAsia"/>
          <w:lang w:val="zh-CN"/>
        </w:rPr>
        <w:t>JGJ180-2023</w:t>
      </w:r>
      <w:r>
        <w:rPr>
          <w:rFonts w:hint="eastAsia"/>
        </w:rPr>
        <w:t>的规定规定，并结合施工现场实际细化具体。根据沿线岩土类别、物理力学特性、水文地质条件、地形地貌以及对沿线已建道路</w:t>
      </w:r>
      <w:r>
        <w:rPr>
          <w:rFonts w:hint="eastAsia"/>
          <w:lang w:eastAsia="zh-CN"/>
        </w:rPr>
        <w:t>土两路</w:t>
      </w:r>
      <w:r>
        <w:rPr>
          <w:rFonts w:hint="eastAsia"/>
        </w:rPr>
        <w:t>挖方边坡及其稳定状况的调查，结合本路段挖方边坡高度，拟定挖方边坡坡度取值，</w:t>
      </w:r>
      <w:r>
        <w:rPr>
          <w:rFonts w:hint="eastAsia"/>
          <w:lang w:val="en-US" w:eastAsia="zh-CN"/>
        </w:rPr>
        <w:t>1:1.5（土层）、1:1（强风化基岩）、1:1（中风化基岩）</w:t>
      </w:r>
      <w:r>
        <w:rPr>
          <w:rFonts w:hint="eastAsia"/>
        </w:rPr>
        <w:t>。</w:t>
      </w:r>
    </w:p>
    <w:p>
      <w:pPr>
        <w:spacing w:line="500" w:lineRule="auto"/>
        <w:rPr>
          <w:rFonts w:hint="eastAsia"/>
        </w:rPr>
        <w:sectPr>
          <w:type w:val="nextPage"/>
          <w:pgSz w:w="11906" w:h="16838"/>
          <w:pgMar w:top="1134" w:right="1134" w:bottom="1134" w:left="1418" w:header="851" w:footer="992" w:gutter="0"/>
          <w:pgNumType w:fmt="decimal" w:start="13"/>
          <w:cols w:num="1" w:space="425"/>
          <w:titlePg w:val="0"/>
          <w:docGrid w:type="lines" w:linePitch="312" w:charSpace="0"/>
        </w:sectPr>
      </w:pPr>
      <w:r>
        <w:rPr>
          <w:rFonts w:hint="eastAsia"/>
        </w:rPr>
        <w:t>4、边坡每阶高度为8m，马道宽度为2m。</w:t>
      </w:r>
    </w:p>
    <w:p>
      <w:pPr>
        <w:spacing w:line="500" w:lineRule="auto"/>
        <w:jc w:val="center"/>
        <w:rPr>
          <w:rFonts w:hint="eastAsia"/>
          <w:b/>
          <w:bCs/>
          <w:sz w:val="22"/>
        </w:rPr>
      </w:pPr>
      <w:r>
        <w:rPr>
          <w:rFonts w:hint="eastAsia"/>
          <w:b/>
          <w:bCs/>
          <w:sz w:val="22"/>
          <w:szCs w:val="22"/>
          <w:lang w:val="en-US" w:eastAsia="zh-CN"/>
        </w:rPr>
        <w:t>边坡支护</w:t>
      </w:r>
      <w:r>
        <w:rPr>
          <w:rFonts w:ascii="仿宋" w:eastAsia="仿宋" w:hAnsi="仿宋" w:cs="仿宋" w:hint="eastAsia"/>
          <w:b/>
          <w:bCs/>
          <w:i w:val="0"/>
          <w:color w:val="000000"/>
          <w:kern w:val="0"/>
          <w:sz w:val="22"/>
          <w:szCs w:val="22"/>
          <w:u w:val="none"/>
          <w:lang w:val="en-US" w:eastAsia="zh-CN" w:bidi="ar"/>
        </w:rPr>
        <w:t>技术</w:t>
      </w:r>
      <w:r>
        <w:rPr>
          <w:rFonts w:hint="eastAsia"/>
          <w:b/>
          <w:bCs/>
          <w:sz w:val="22"/>
          <w:szCs w:val="22"/>
          <w:lang w:val="en-US" w:eastAsia="zh-CN"/>
        </w:rPr>
        <w:t>参数</w:t>
      </w:r>
    </w:p>
    <w:tbl>
      <w:tblPr>
        <w:tblStyle w:val="TableNormal"/>
        <w:tblW w:w="14364" w:type="dxa"/>
        <w:jc w:val="center"/>
        <w:tblInd w:w="-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
      <w:tblGrid>
        <w:gridCol w:w="785"/>
        <w:gridCol w:w="817"/>
        <w:gridCol w:w="817"/>
        <w:gridCol w:w="817"/>
        <w:gridCol w:w="818"/>
        <w:gridCol w:w="810"/>
        <w:gridCol w:w="8"/>
        <w:gridCol w:w="822"/>
        <w:gridCol w:w="818"/>
        <w:gridCol w:w="1137"/>
        <w:gridCol w:w="720"/>
        <w:gridCol w:w="597"/>
        <w:gridCol w:w="818"/>
        <w:gridCol w:w="1190"/>
        <w:gridCol w:w="1024"/>
        <w:gridCol w:w="766"/>
        <w:gridCol w:w="690"/>
        <w:gridCol w:w="910"/>
      </w:tblGrid>
      <w:tr>
        <w:tblPrEx>
          <w:tblW w:w="14364" w:type="dxa"/>
          <w:jc w:val="center"/>
          <w:tblInd w:w="-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Ex>
        <w:trPr>
          <w:trHeight w:val="394"/>
          <w:jc w:val="center"/>
        </w:trPr>
        <w:tc>
          <w:tcPr>
            <w:tcW w:w="786" w:type="dxa"/>
            <w:vMerge w:val="restart"/>
            <w:tcBorders>
              <w:top w:val="single" w:sz="4" w:space="0" w:color="000000"/>
              <w:left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sz w:val="20"/>
                <w:szCs w:val="20"/>
                <w:u w:val="none"/>
              </w:rPr>
            </w:pPr>
            <w:r>
              <w:rPr>
                <w:rFonts w:ascii="仿宋" w:hAnsi="仿宋" w:cs="仿宋" w:hint="eastAsia"/>
                <w:i w:val="0"/>
                <w:color w:val="000000"/>
                <w:sz w:val="20"/>
                <w:szCs w:val="20"/>
                <w:u w:val="none"/>
                <w:lang w:val="en-US" w:eastAsia="zh-CN"/>
              </w:rPr>
              <w:t>P6#墩</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sz w:val="20"/>
                <w:szCs w:val="20"/>
                <w:u w:val="none"/>
              </w:rPr>
            </w:pPr>
            <w:r>
              <w:rPr>
                <w:rFonts w:ascii="仿宋" w:hAnsi="仿宋" w:cs="仿宋" w:hint="eastAsia"/>
                <w:i w:val="0"/>
                <w:color w:val="000000"/>
                <w:sz w:val="20"/>
                <w:szCs w:val="20"/>
                <w:u w:val="none"/>
                <w:lang w:val="en-US" w:eastAsia="zh-CN"/>
              </w:rPr>
              <w:t>上游</w:t>
            </w:r>
          </w:p>
        </w:tc>
        <w:tc>
          <w:tcPr>
            <w:tcW w:w="13578" w:type="dxa"/>
            <w:gridSpan w:val="17"/>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抗滑桩</w:t>
            </w:r>
          </w:p>
        </w:tc>
      </w:tr>
      <w:tr>
        <w:tblPrEx>
          <w:tblW w:w="14364" w:type="dxa"/>
          <w:jc w:val="center"/>
          <w:tblInd w:w="-226" w:type="dxa"/>
          <w:tblLayout w:type="fixed"/>
          <w:tblCellMar>
            <w:top w:w="15" w:type="dxa"/>
            <w:left w:w="15" w:type="dxa"/>
            <w:bottom w:w="15" w:type="dxa"/>
            <w:right w:w="15" w:type="dxa"/>
          </w:tblCellMar>
        </w:tblPrEx>
        <w:trPr>
          <w:trHeight w:val="389"/>
          <w:jc w:val="center"/>
        </w:trPr>
        <w:tc>
          <w:tcPr>
            <w:tcW w:w="786" w:type="dxa"/>
            <w:vMerge/>
            <w:tcBorders>
              <w:left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5726" w:type="dxa"/>
            <w:gridSpan w:val="8"/>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桩基</w:t>
            </w:r>
          </w:p>
        </w:tc>
        <w:tc>
          <w:tcPr>
            <w:tcW w:w="4462" w:type="dxa"/>
            <w:gridSpan w:val="5"/>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挡土板</w:t>
            </w:r>
          </w:p>
        </w:tc>
        <w:tc>
          <w:tcPr>
            <w:tcW w:w="3390" w:type="dxa"/>
            <w:gridSpan w:val="4"/>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顶梁</w:t>
            </w:r>
          </w:p>
        </w:tc>
      </w:tr>
      <w:tr>
        <w:tblPrEx>
          <w:tblW w:w="14364" w:type="dxa"/>
          <w:jc w:val="center"/>
          <w:tblInd w:w="-226" w:type="dxa"/>
          <w:tblLayout w:type="fixed"/>
          <w:tblCellMar>
            <w:top w:w="15" w:type="dxa"/>
            <w:left w:w="15" w:type="dxa"/>
            <w:bottom w:w="15" w:type="dxa"/>
            <w:right w:w="15" w:type="dxa"/>
          </w:tblCellMar>
        </w:tblPrEx>
        <w:trPr>
          <w:trHeight w:val="454"/>
          <w:jc w:val="center"/>
        </w:trPr>
        <w:tc>
          <w:tcPr>
            <w:tcW w:w="786" w:type="dxa"/>
            <w:vMerge/>
            <w:tcBorders>
              <w:left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桩径</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桩长</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间距</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总根数</w:t>
            </w:r>
          </w:p>
        </w:tc>
        <w:tc>
          <w:tcPr>
            <w:tcW w:w="818"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重要</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钢筋</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混凝土</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规定</w:t>
            </w:r>
          </w:p>
        </w:tc>
        <w:tc>
          <w:tcPr>
            <w:tcW w:w="113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尺寸参数</w:t>
            </w:r>
          </w:p>
        </w:tc>
        <w:tc>
          <w:tcPr>
            <w:tcW w:w="72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重要</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钢筋</w:t>
            </w:r>
          </w:p>
        </w:tc>
        <w:tc>
          <w:tcPr>
            <w:tcW w:w="5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混凝土</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泄水孔</w:t>
            </w:r>
          </w:p>
        </w:tc>
        <w:tc>
          <w:tcPr>
            <w:tcW w:w="11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规定</w:t>
            </w:r>
          </w:p>
        </w:tc>
        <w:tc>
          <w:tcPr>
            <w:tcW w:w="10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尺寸参数</w:t>
            </w:r>
          </w:p>
        </w:tc>
        <w:tc>
          <w:tcPr>
            <w:tcW w:w="766"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重要</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钢筋</w:t>
            </w:r>
          </w:p>
        </w:tc>
        <w:tc>
          <w:tcPr>
            <w:tcW w:w="6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混凝土</w:t>
            </w:r>
          </w:p>
        </w:tc>
        <w:tc>
          <w:tcPr>
            <w:tcW w:w="9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规定</w:t>
            </w:r>
          </w:p>
        </w:tc>
      </w:tr>
      <w:tr>
        <w:tblPrEx>
          <w:tblW w:w="14364" w:type="dxa"/>
          <w:jc w:val="center"/>
          <w:tblInd w:w="-226" w:type="dxa"/>
          <w:tblLayout w:type="fixed"/>
          <w:tblCellMar>
            <w:top w:w="15" w:type="dxa"/>
            <w:left w:w="15" w:type="dxa"/>
            <w:bottom w:w="15" w:type="dxa"/>
            <w:right w:w="15" w:type="dxa"/>
          </w:tblCellMar>
        </w:tblPrEx>
        <w:trPr>
          <w:trHeight w:val="810"/>
          <w:jc w:val="center"/>
        </w:trPr>
        <w:tc>
          <w:tcPr>
            <w:tcW w:w="786" w:type="dxa"/>
            <w:vMerge/>
            <w:tcBorders>
              <w:left w:val="single" w:sz="4" w:space="0" w:color="000000"/>
              <w:bottom w:val="single" w:sz="4" w:space="0" w:color="auto"/>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1.5m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12.45m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15.54m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4m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8根</w:t>
            </w:r>
          </w:p>
        </w:tc>
        <w:tc>
          <w:tcPr>
            <w:tcW w:w="818"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32mm</w:t>
            </w: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20mm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10mm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C30</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设立于坡脚</w:t>
            </w:r>
          </w:p>
        </w:tc>
        <w:tc>
          <w:tcPr>
            <w:tcW w:w="113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长：2.5m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宽：0.3m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高：3.8m～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5.8m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72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14mm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8mm</w:t>
            </w:r>
          </w:p>
        </w:tc>
        <w:tc>
          <w:tcPr>
            <w:tcW w:w="5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C30</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4m*2m</w:t>
            </w:r>
          </w:p>
        </w:tc>
        <w:tc>
          <w:tcPr>
            <w:tcW w:w="11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设立于桩基外露面，需埋入原地面0.5m</w:t>
            </w:r>
          </w:p>
        </w:tc>
        <w:tc>
          <w:tcPr>
            <w:tcW w:w="10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长：29.5m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宽：1.5m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高：0.8m</w:t>
            </w:r>
          </w:p>
        </w:tc>
        <w:tc>
          <w:tcPr>
            <w:tcW w:w="766"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20mm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16mm</w:t>
            </w: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10mm</w:t>
            </w:r>
          </w:p>
        </w:tc>
        <w:tc>
          <w:tcPr>
            <w:tcW w:w="6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C30</w:t>
            </w:r>
          </w:p>
        </w:tc>
        <w:tc>
          <w:tcPr>
            <w:tcW w:w="9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设立于桩顶</w:t>
            </w:r>
          </w:p>
        </w:tc>
      </w:tr>
      <w:tr>
        <w:tblPrEx>
          <w:tblW w:w="14364" w:type="dxa"/>
          <w:jc w:val="center"/>
          <w:tblInd w:w="-226" w:type="dxa"/>
          <w:tblLayout w:type="fixed"/>
          <w:tblCellMar>
            <w:top w:w="15" w:type="dxa"/>
            <w:left w:w="15" w:type="dxa"/>
            <w:bottom w:w="15" w:type="dxa"/>
            <w:right w:w="15" w:type="dxa"/>
          </w:tblCellMar>
        </w:tblPrEx>
        <w:trPr>
          <w:trHeight w:val="414"/>
          <w:jc w:val="center"/>
        </w:trPr>
        <w:tc>
          <w:tcPr>
            <w:tcW w:w="786" w:type="dxa"/>
            <w:vMerge w:val="restart"/>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sz w:val="20"/>
                <w:szCs w:val="20"/>
                <w:u w:val="none"/>
              </w:rPr>
            </w:pPr>
            <w:r>
              <w:rPr>
                <w:rFonts w:ascii="仿宋" w:hAnsi="仿宋" w:cs="仿宋" w:hint="eastAsia"/>
                <w:i w:val="0"/>
                <w:color w:val="000000"/>
                <w:sz w:val="20"/>
                <w:szCs w:val="20"/>
                <w:u w:val="none"/>
                <w:lang w:val="en-US" w:eastAsia="zh-CN"/>
              </w:rPr>
              <w:t>P6#墩</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下游</w:t>
            </w:r>
          </w:p>
        </w:tc>
        <w:tc>
          <w:tcPr>
            <w:tcW w:w="13578" w:type="dxa"/>
            <w:gridSpan w:val="17"/>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抗滑桩</w:t>
            </w:r>
          </w:p>
        </w:tc>
      </w:tr>
      <w:tr>
        <w:tblPrEx>
          <w:tblW w:w="14364" w:type="dxa"/>
          <w:jc w:val="center"/>
          <w:tblInd w:w="-226" w:type="dxa"/>
          <w:tblLayout w:type="fixed"/>
          <w:tblCellMar>
            <w:top w:w="15" w:type="dxa"/>
            <w:left w:w="15" w:type="dxa"/>
            <w:bottom w:w="15" w:type="dxa"/>
            <w:right w:w="15" w:type="dxa"/>
          </w:tblCellMar>
        </w:tblPrEx>
        <w:trPr>
          <w:trHeight w:val="414"/>
          <w:jc w:val="center"/>
        </w:trPr>
        <w:tc>
          <w:tcPr>
            <w:tcW w:w="786"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5726" w:type="dxa"/>
            <w:gridSpan w:val="8"/>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桩基</w:t>
            </w:r>
          </w:p>
        </w:tc>
        <w:tc>
          <w:tcPr>
            <w:tcW w:w="4462" w:type="dxa"/>
            <w:gridSpan w:val="5"/>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挡土板</w:t>
            </w:r>
          </w:p>
        </w:tc>
        <w:tc>
          <w:tcPr>
            <w:tcW w:w="3390" w:type="dxa"/>
            <w:gridSpan w:val="4"/>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顶梁</w:t>
            </w:r>
          </w:p>
        </w:tc>
      </w:tr>
      <w:tr>
        <w:tblPrEx>
          <w:tblW w:w="14364" w:type="dxa"/>
          <w:jc w:val="center"/>
          <w:tblInd w:w="-226" w:type="dxa"/>
          <w:tblLayout w:type="fixed"/>
          <w:tblCellMar>
            <w:top w:w="15" w:type="dxa"/>
            <w:left w:w="15" w:type="dxa"/>
            <w:bottom w:w="15" w:type="dxa"/>
            <w:right w:w="15" w:type="dxa"/>
          </w:tblCellMar>
        </w:tblPrEx>
        <w:trPr>
          <w:trHeight w:val="454"/>
          <w:jc w:val="center"/>
        </w:trPr>
        <w:tc>
          <w:tcPr>
            <w:tcW w:w="786"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818" w:type="dxa"/>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桩径</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桩长</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间距</w:t>
            </w:r>
          </w:p>
        </w:tc>
        <w:tc>
          <w:tcPr>
            <w:tcW w:w="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总根数</w:t>
            </w:r>
          </w:p>
        </w:tc>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重要</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钢筋</w:t>
            </w:r>
          </w:p>
        </w:tc>
        <w:tc>
          <w:tcPr>
            <w:tcW w:w="830"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混凝土</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规定</w:t>
            </w:r>
          </w:p>
        </w:tc>
        <w:tc>
          <w:tcPr>
            <w:tcW w:w="113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尺寸参数</w:t>
            </w:r>
          </w:p>
        </w:tc>
        <w:tc>
          <w:tcPr>
            <w:tcW w:w="72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重要</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钢筋</w:t>
            </w:r>
          </w:p>
        </w:tc>
        <w:tc>
          <w:tcPr>
            <w:tcW w:w="5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混凝土</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泄水孔</w:t>
            </w:r>
          </w:p>
        </w:tc>
        <w:tc>
          <w:tcPr>
            <w:tcW w:w="11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规定</w:t>
            </w:r>
          </w:p>
        </w:tc>
        <w:tc>
          <w:tcPr>
            <w:tcW w:w="10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尺寸参数</w:t>
            </w:r>
          </w:p>
        </w:tc>
        <w:tc>
          <w:tcPr>
            <w:tcW w:w="766"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重要</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钢筋</w:t>
            </w:r>
          </w:p>
        </w:tc>
        <w:tc>
          <w:tcPr>
            <w:tcW w:w="6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混凝土</w:t>
            </w:r>
          </w:p>
        </w:tc>
        <w:tc>
          <w:tcPr>
            <w:tcW w:w="9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规定</w:t>
            </w:r>
          </w:p>
        </w:tc>
      </w:tr>
      <w:tr>
        <w:tblPrEx>
          <w:tblW w:w="14364" w:type="dxa"/>
          <w:jc w:val="center"/>
          <w:tblInd w:w="-226" w:type="dxa"/>
          <w:tblLayout w:type="fixed"/>
          <w:tblCellMar>
            <w:top w:w="15" w:type="dxa"/>
            <w:left w:w="15" w:type="dxa"/>
            <w:bottom w:w="15" w:type="dxa"/>
            <w:right w:w="15" w:type="dxa"/>
          </w:tblCellMar>
        </w:tblPrEx>
        <w:trPr>
          <w:trHeight w:val="1065"/>
          <w:jc w:val="center"/>
        </w:trPr>
        <w:tc>
          <w:tcPr>
            <w:tcW w:w="786"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818" w:type="dxa"/>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1m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9.6m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8.8m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4m</w:t>
            </w:r>
          </w:p>
        </w:tc>
        <w:tc>
          <w:tcPr>
            <w:tcW w:w="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17根</w:t>
            </w:r>
          </w:p>
        </w:tc>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32</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20</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10</w:t>
            </w:r>
          </w:p>
        </w:tc>
        <w:tc>
          <w:tcPr>
            <w:tcW w:w="830"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C30</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设立于坡顶</w:t>
            </w:r>
          </w:p>
        </w:tc>
        <w:tc>
          <w:tcPr>
            <w:tcW w:w="113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长：3m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宽：0.3m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高：0.7m～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3.7m</w:t>
            </w:r>
          </w:p>
        </w:tc>
        <w:tc>
          <w:tcPr>
            <w:tcW w:w="72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14mm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8mm</w:t>
            </w:r>
          </w:p>
        </w:tc>
        <w:tc>
          <w:tcPr>
            <w:tcW w:w="5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C30</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4m*2m</w:t>
            </w:r>
          </w:p>
        </w:tc>
        <w:tc>
          <w:tcPr>
            <w:tcW w:w="11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设立于桩基外露面，需埋入原地面0.5m</w:t>
            </w:r>
          </w:p>
        </w:tc>
        <w:tc>
          <w:tcPr>
            <w:tcW w:w="10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长：41m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宽：1m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高：0.8m</w:t>
            </w:r>
          </w:p>
        </w:tc>
        <w:tc>
          <w:tcPr>
            <w:tcW w:w="766"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20mm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16mm</w:t>
            </w: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10mm</w:t>
            </w:r>
          </w:p>
        </w:tc>
        <w:tc>
          <w:tcPr>
            <w:tcW w:w="6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C30</w:t>
            </w:r>
          </w:p>
        </w:tc>
        <w:tc>
          <w:tcPr>
            <w:tcW w:w="9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设立于桩顶</w:t>
            </w:r>
          </w:p>
        </w:tc>
      </w:tr>
    </w:tbl>
    <w:p>
      <w:pPr>
        <w:sectPr>
          <w:pgSz w:w="16838" w:h="11906" w:orient="landscape"/>
          <w:pgMar w:top="1418" w:right="1134" w:bottom="1134" w:left="1134" w:header="851" w:footer="992" w:gutter="0"/>
          <w:pgNumType w:fmt="decimal" w:start="14"/>
          <w:cols w:num="1" w:space="425"/>
          <w:docGrid w:type="lines" w:linePitch="312" w:charSpace="0"/>
        </w:sectPr>
      </w:pPr>
    </w:p>
    <w:tbl>
      <w:tblPr>
        <w:tblStyle w:val="TableNormal"/>
        <w:tblW w:w="14364" w:type="dxa"/>
        <w:jc w:val="center"/>
        <w:tblInd w:w="-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
      <w:tblGrid>
        <w:gridCol w:w="786"/>
        <w:gridCol w:w="818"/>
        <w:gridCol w:w="818"/>
        <w:gridCol w:w="818"/>
        <w:gridCol w:w="814"/>
        <w:gridCol w:w="810"/>
        <w:gridCol w:w="830"/>
        <w:gridCol w:w="818"/>
        <w:gridCol w:w="1077"/>
        <w:gridCol w:w="60"/>
        <w:gridCol w:w="720"/>
        <w:gridCol w:w="597"/>
        <w:gridCol w:w="818"/>
        <w:gridCol w:w="1190"/>
        <w:gridCol w:w="1024"/>
        <w:gridCol w:w="766"/>
        <w:gridCol w:w="690"/>
        <w:gridCol w:w="910"/>
      </w:tblGrid>
      <w:tr>
        <w:tblPrEx>
          <w:tblW w:w="14364" w:type="dxa"/>
          <w:jc w:val="center"/>
          <w:tblInd w:w="-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Ex>
        <w:trPr>
          <w:trHeight w:val="1065"/>
          <w:jc w:val="center"/>
        </w:trPr>
        <w:tc>
          <w:tcPr>
            <w:tcW w:w="786" w:type="dxa"/>
            <w:vMerge w:val="restart"/>
            <w:tcBorders>
              <w:top w:val="single" w:sz="4" w:space="0" w:color="auto"/>
              <w:left w:val="single" w:sz="4" w:space="0" w:color="auto"/>
              <w:bottom w:val="single" w:sz="4" w:space="0" w:color="auto"/>
              <w:right w:val="single" w:sz="4" w:space="0" w:color="auto"/>
            </w:tcBorders>
            <w:vAlign w:val="center"/>
          </w:tcPr>
          <w:p/>
        </w:tc>
        <w:tc>
          <w:tcPr>
            <w:tcW w:w="818" w:type="dxa"/>
            <w:tcBorders>
              <w:top w:val="single" w:sz="4" w:space="0" w:color="000000"/>
              <w:left w:val="single" w:sz="4" w:space="0" w:color="auto"/>
              <w:bottom w:val="single" w:sz="4" w:space="0" w:color="000000"/>
              <w:right w:val="single" w:sz="4" w:space="0" w:color="000000"/>
            </w:tcBorders>
            <w:vAlign w:val="center"/>
          </w:tcPr>
          <w:p/>
        </w:tc>
        <w:tc>
          <w:tcPr>
            <w:tcW w:w="818" w:type="dxa"/>
            <w:tcBorders>
              <w:top w:val="single" w:sz="4" w:space="0" w:color="000000"/>
              <w:left w:val="single" w:sz="4" w:space="0" w:color="000000"/>
              <w:bottom w:val="single" w:sz="4" w:space="0" w:color="000000"/>
              <w:right w:val="single" w:sz="4" w:space="0" w:color="000000"/>
            </w:tcBorders>
            <w:vAlign w:val="center"/>
          </w:tcPr>
          <w:p/>
        </w:tc>
        <w:tc>
          <w:tcPr>
            <w:tcW w:w="818" w:type="dxa"/>
            <w:tcBorders>
              <w:top w:val="single" w:sz="4" w:space="0" w:color="000000"/>
              <w:left w:val="single" w:sz="4" w:space="0" w:color="000000"/>
              <w:bottom w:val="single" w:sz="4" w:space="0" w:color="000000"/>
              <w:right w:val="single" w:sz="4" w:space="0" w:color="000000"/>
            </w:tcBorders>
            <w:vAlign w:val="center"/>
          </w:tcPr>
          <w:p/>
        </w:tc>
        <w:tc>
          <w:tcPr>
            <w:tcW w:w="814" w:type="dxa"/>
            <w:tcBorders>
              <w:top w:val="single" w:sz="4" w:space="0" w:color="000000"/>
              <w:left w:val="single" w:sz="4" w:space="0" w:color="000000"/>
              <w:bottom w:val="single" w:sz="4" w:space="0" w:color="000000"/>
              <w:right w:val="single" w:sz="4" w:space="0" w:color="000000"/>
            </w:tcBorders>
            <w:vAlign w:val="center"/>
          </w:tcPr>
          <w:p/>
        </w:tc>
        <w:tc>
          <w:tcPr>
            <w:tcW w:w="810" w:type="dxa"/>
            <w:tcBorders>
              <w:top w:val="single" w:sz="4" w:space="0" w:color="000000"/>
              <w:left w:val="single" w:sz="4" w:space="0" w:color="000000"/>
              <w:bottom w:val="single" w:sz="4" w:space="0" w:color="000000"/>
              <w:right w:val="single" w:sz="4" w:space="0" w:color="000000"/>
            </w:tcBorders>
            <w:vAlign w:val="center"/>
          </w:tcPr>
          <w:p/>
        </w:tc>
        <w:tc>
          <w:tcPr>
            <w:tcW w:w="830" w:type="dxa"/>
            <w:tcBorders>
              <w:top w:val="single" w:sz="4" w:space="0" w:color="000000"/>
              <w:left w:val="single" w:sz="4" w:space="0" w:color="000000"/>
              <w:bottom w:val="single" w:sz="4" w:space="0" w:color="000000"/>
              <w:right w:val="single" w:sz="4" w:space="0" w:color="000000"/>
            </w:tcBorders>
            <w:vAlign w:val="center"/>
          </w:tcPr>
          <w:p/>
        </w:tc>
        <w:tc>
          <w:tcPr>
            <w:tcW w:w="818" w:type="dxa"/>
            <w:tcBorders>
              <w:top w:val="single" w:sz="4" w:space="0" w:color="000000"/>
              <w:left w:val="single" w:sz="4" w:space="0" w:color="000000"/>
              <w:bottom w:val="single" w:sz="4" w:space="0" w:color="000000"/>
              <w:right w:val="single" w:sz="4" w:space="0" w:color="000000"/>
            </w:tcBorders>
            <w:vAlign w:val="center"/>
          </w:tcPr>
          <w:p/>
        </w:tc>
        <w:tc>
          <w:tcPr>
            <w:tcW w:w="1137"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720" w:type="dxa"/>
            <w:tcBorders>
              <w:top w:val="single" w:sz="4" w:space="0" w:color="000000"/>
              <w:left w:val="single" w:sz="4" w:space="0" w:color="000000"/>
              <w:bottom w:val="single" w:sz="4" w:space="0" w:color="000000"/>
              <w:right w:val="single" w:sz="4" w:space="0" w:color="000000"/>
            </w:tcBorders>
            <w:vAlign w:val="center"/>
          </w:tcPr>
          <w:p/>
        </w:tc>
        <w:tc>
          <w:tcPr>
            <w:tcW w:w="597" w:type="dxa"/>
            <w:tcBorders>
              <w:top w:val="single" w:sz="4" w:space="0" w:color="000000"/>
              <w:left w:val="single" w:sz="4" w:space="0" w:color="000000"/>
              <w:bottom w:val="single" w:sz="4" w:space="0" w:color="000000"/>
              <w:right w:val="single" w:sz="4" w:space="0" w:color="000000"/>
            </w:tcBorders>
            <w:vAlign w:val="center"/>
          </w:tcPr>
          <w:p/>
        </w:tc>
        <w:tc>
          <w:tcPr>
            <w:tcW w:w="818" w:type="dxa"/>
            <w:tcBorders>
              <w:top w:val="single" w:sz="4" w:space="0" w:color="000000"/>
              <w:left w:val="single" w:sz="4" w:space="0" w:color="000000"/>
              <w:bottom w:val="single" w:sz="4" w:space="0" w:color="000000"/>
              <w:right w:val="single" w:sz="4" w:space="0" w:color="000000"/>
            </w:tcBorders>
            <w:vAlign w:val="center"/>
          </w:tcPr>
          <w:p/>
        </w:tc>
        <w:tc>
          <w:tcPr>
            <w:tcW w:w="1190" w:type="dxa"/>
            <w:tcBorders>
              <w:top w:val="single" w:sz="4" w:space="0" w:color="000000"/>
              <w:left w:val="single" w:sz="4" w:space="0" w:color="000000"/>
              <w:bottom w:val="single" w:sz="4" w:space="0" w:color="000000"/>
              <w:right w:val="single" w:sz="4" w:space="0" w:color="000000"/>
            </w:tcBorders>
            <w:vAlign w:val="center"/>
          </w:tcPr>
          <w:p/>
        </w:tc>
        <w:tc>
          <w:tcPr>
            <w:tcW w:w="1024" w:type="dxa"/>
            <w:tcBorders>
              <w:top w:val="single" w:sz="4" w:space="0" w:color="000000"/>
              <w:left w:val="single" w:sz="4" w:space="0" w:color="000000"/>
              <w:bottom w:val="single" w:sz="4" w:space="0" w:color="000000"/>
              <w:right w:val="single" w:sz="4" w:space="0" w:color="000000"/>
            </w:tcBorders>
            <w:vAlign w:val="center"/>
          </w:tcPr>
          <w:p/>
        </w:tc>
        <w:tc>
          <w:tcPr>
            <w:tcW w:w="766" w:type="dxa"/>
            <w:tcBorders>
              <w:top w:val="single" w:sz="4" w:space="0" w:color="000000"/>
              <w:left w:val="single" w:sz="4" w:space="0" w:color="000000"/>
              <w:bottom w:val="single" w:sz="4" w:space="0" w:color="000000"/>
              <w:right w:val="single" w:sz="4" w:space="0" w:color="000000"/>
            </w:tcBorders>
            <w:vAlign w:val="center"/>
          </w:tcPr>
          <w:p/>
        </w:tc>
        <w:tc>
          <w:tcPr>
            <w:tcW w:w="690" w:type="dxa"/>
            <w:tcBorders>
              <w:top w:val="single" w:sz="4" w:space="0" w:color="000000"/>
              <w:left w:val="single" w:sz="4" w:space="0" w:color="000000"/>
              <w:bottom w:val="single" w:sz="4" w:space="0" w:color="000000"/>
              <w:right w:val="single" w:sz="4" w:space="0" w:color="000000"/>
            </w:tcBorders>
            <w:vAlign w:val="center"/>
          </w:tcPr>
          <w:p/>
        </w:tc>
        <w:tc>
          <w:tcPr>
            <w:tcW w:w="910" w:type="dxa"/>
            <w:tcBorders>
              <w:top w:val="single" w:sz="4" w:space="0" w:color="000000"/>
              <w:left w:val="single" w:sz="4" w:space="0" w:color="000000"/>
              <w:bottom w:val="single" w:sz="4" w:space="0" w:color="000000"/>
              <w:right w:val="single" w:sz="4" w:space="0" w:color="000000"/>
            </w:tcBorders>
            <w:vAlign w:val="center"/>
          </w:tcPr>
          <w:p/>
        </w:tc>
      </w:tr>
      <w:tr>
        <w:tblPrEx>
          <w:tblW w:w="14364" w:type="dxa"/>
          <w:jc w:val="center"/>
          <w:tblInd w:w="-226" w:type="dxa"/>
          <w:tblLayout w:type="fixed"/>
          <w:tblCellMar>
            <w:top w:w="15" w:type="dxa"/>
            <w:left w:w="15" w:type="dxa"/>
            <w:bottom w:w="15" w:type="dxa"/>
            <w:right w:w="15" w:type="dxa"/>
          </w:tblCellMar>
        </w:tblPrEx>
        <w:trPr>
          <w:trHeight w:val="454"/>
          <w:jc w:val="center"/>
        </w:trPr>
        <w:tc>
          <w:tcPr>
            <w:tcW w:w="786" w:type="dxa"/>
            <w:vMerge w:val="restart"/>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sz w:val="20"/>
                <w:szCs w:val="20"/>
                <w:u w:val="none"/>
              </w:rPr>
            </w:pPr>
            <w:r>
              <w:rPr>
                <w:rFonts w:ascii="仿宋" w:hAnsi="仿宋" w:cs="仿宋" w:hint="eastAsia"/>
                <w:i w:val="0"/>
                <w:color w:val="000000"/>
                <w:sz w:val="20"/>
                <w:szCs w:val="20"/>
                <w:u w:val="none"/>
                <w:lang w:val="en-US" w:eastAsia="zh-CN"/>
              </w:rPr>
              <w:t>P6#墩</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上下游</w:t>
            </w:r>
          </w:p>
        </w:tc>
        <w:tc>
          <w:tcPr>
            <w:tcW w:w="13578" w:type="dxa"/>
            <w:gridSpan w:val="17"/>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格架式锚杆支护</w:t>
            </w:r>
          </w:p>
        </w:tc>
      </w:tr>
      <w:tr>
        <w:tblPrEx>
          <w:tblW w:w="14364" w:type="dxa"/>
          <w:jc w:val="center"/>
          <w:tblInd w:w="-226" w:type="dxa"/>
          <w:tblLayout w:type="fixed"/>
          <w:tblCellMar>
            <w:top w:w="15" w:type="dxa"/>
            <w:left w:w="15" w:type="dxa"/>
            <w:bottom w:w="15" w:type="dxa"/>
            <w:right w:w="15" w:type="dxa"/>
          </w:tblCellMar>
        </w:tblPrEx>
        <w:trPr>
          <w:trHeight w:val="454"/>
          <w:jc w:val="center"/>
        </w:trPr>
        <w:tc>
          <w:tcPr>
            <w:tcW w:w="786"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5726" w:type="dxa"/>
            <w:gridSpan w:val="7"/>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锚杆</w:t>
            </w:r>
          </w:p>
        </w:tc>
        <w:tc>
          <w:tcPr>
            <w:tcW w:w="7852" w:type="dxa"/>
            <w:gridSpan w:val="10"/>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格架</w:t>
            </w:r>
          </w:p>
        </w:tc>
      </w:tr>
      <w:tr>
        <w:tblPrEx>
          <w:tblW w:w="14364" w:type="dxa"/>
          <w:jc w:val="center"/>
          <w:tblInd w:w="-226" w:type="dxa"/>
          <w:tblLayout w:type="fixed"/>
          <w:tblCellMar>
            <w:top w:w="15" w:type="dxa"/>
            <w:left w:w="15" w:type="dxa"/>
            <w:bottom w:w="15" w:type="dxa"/>
            <w:right w:w="15" w:type="dxa"/>
          </w:tblCellMar>
        </w:tblPrEx>
        <w:trPr>
          <w:trHeight w:val="454"/>
          <w:jc w:val="center"/>
        </w:trPr>
        <w:tc>
          <w:tcPr>
            <w:tcW w:w="786"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818" w:type="dxa"/>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长度</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孔径</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间距</w:t>
            </w:r>
          </w:p>
        </w:tc>
        <w:tc>
          <w:tcPr>
            <w:tcW w:w="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钢筋</w:t>
            </w:r>
          </w:p>
        </w:tc>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斜度</w:t>
            </w:r>
          </w:p>
        </w:tc>
        <w:tc>
          <w:tcPr>
            <w:tcW w:w="83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水泥砂浆</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eastAsia="zh-CN"/>
              </w:rPr>
              <w:t>规定</w:t>
            </w:r>
          </w:p>
        </w:tc>
        <w:tc>
          <w:tcPr>
            <w:tcW w:w="107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尺寸参数</w:t>
            </w:r>
          </w:p>
        </w:tc>
        <w:tc>
          <w:tcPr>
            <w:tcW w:w="780"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重要</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钢筋</w:t>
            </w:r>
          </w:p>
        </w:tc>
        <w:tc>
          <w:tcPr>
            <w:tcW w:w="5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混凝土</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泄水管</w:t>
            </w:r>
          </w:p>
        </w:tc>
        <w:tc>
          <w:tcPr>
            <w:tcW w:w="11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土工网</w:t>
            </w:r>
          </w:p>
        </w:tc>
        <w:tc>
          <w:tcPr>
            <w:tcW w:w="10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短锚杆</w:t>
            </w:r>
          </w:p>
        </w:tc>
        <w:tc>
          <w:tcPr>
            <w:tcW w:w="766"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规定</w:t>
            </w:r>
          </w:p>
        </w:tc>
        <w:tc>
          <w:tcPr>
            <w:tcW w:w="1600"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其他</w:t>
            </w:r>
          </w:p>
        </w:tc>
      </w:tr>
      <w:tr>
        <w:tblPrEx>
          <w:tblW w:w="14364" w:type="dxa"/>
          <w:jc w:val="center"/>
          <w:tblInd w:w="-226" w:type="dxa"/>
          <w:tblLayout w:type="fixed"/>
          <w:tblCellMar>
            <w:top w:w="15" w:type="dxa"/>
            <w:left w:w="15" w:type="dxa"/>
            <w:bottom w:w="15" w:type="dxa"/>
            <w:right w:w="15" w:type="dxa"/>
          </w:tblCellMar>
        </w:tblPrEx>
        <w:trPr>
          <w:trHeight w:val="454"/>
          <w:jc w:val="center"/>
        </w:trPr>
        <w:tc>
          <w:tcPr>
            <w:tcW w:w="786" w:type="dxa"/>
            <w:vMerge/>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p>
        </w:tc>
        <w:tc>
          <w:tcPr>
            <w:tcW w:w="818" w:type="dxa"/>
            <w:tcBorders>
              <w:top w:val="single" w:sz="4" w:space="0" w:color="000000"/>
              <w:left w:val="single" w:sz="4" w:space="0" w:color="auto"/>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3m～8m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90mm</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3m*2m</w:t>
            </w:r>
          </w:p>
        </w:tc>
        <w:tc>
          <w:tcPr>
            <w:tcW w:w="81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25mm</w:t>
            </w:r>
          </w:p>
        </w:tc>
        <w:tc>
          <w:tcPr>
            <w:tcW w:w="81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15°</w:t>
            </w:r>
          </w:p>
        </w:tc>
        <w:tc>
          <w:tcPr>
            <w:tcW w:w="83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M30</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锚入岩层3m</w:t>
            </w:r>
          </w:p>
        </w:tc>
        <w:tc>
          <w:tcPr>
            <w:tcW w:w="107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宽：0.4m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厚：0.3m</w:t>
            </w:r>
          </w:p>
        </w:tc>
        <w:tc>
          <w:tcPr>
            <w:tcW w:w="780"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16mm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12mm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8mm</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6.5mm</w:t>
            </w:r>
          </w:p>
        </w:tc>
        <w:tc>
          <w:tcPr>
            <w:tcW w:w="597"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C30</w:t>
            </w:r>
          </w:p>
        </w:tc>
        <w:tc>
          <w:tcPr>
            <w:tcW w:w="818"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kern w:val="0"/>
                <w:sz w:val="20"/>
                <w:szCs w:val="20"/>
                <w:u w:val="none"/>
                <w:lang w:val="en-US" w:eastAsia="zh-CN" w:bidi="ar"/>
              </w:rPr>
              <w:t>2m*3m</w:t>
            </w:r>
          </w:p>
        </w:tc>
        <w:tc>
          <w:tcPr>
            <w:tcW w:w="1190"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14#镀锌铁丝网</w:t>
            </w:r>
          </w:p>
        </w:tc>
        <w:tc>
          <w:tcPr>
            <w:tcW w:w="1024"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1m</w:t>
            </w:r>
            <w:r>
              <w:rPr>
                <w:rFonts w:ascii="仿宋" w:eastAsia="仿宋" w:hAnsi="仿宋" w:cs="仿宋" w:hint="eastAsia"/>
                <w:i w:val="0"/>
                <w:color w:val="000000"/>
                <w:kern w:val="0"/>
                <w:sz w:val="20"/>
                <w:szCs w:val="20"/>
                <w:u w:val="none"/>
                <w:lang w:val="en-US" w:eastAsia="zh-CN" w:bidi="ar"/>
              </w:rPr>
              <w:t>Φ</w:t>
            </w:r>
            <w:r>
              <w:rPr>
                <w:rFonts w:ascii="仿宋" w:hAnsi="仿宋" w:cs="仿宋" w:hint="eastAsia"/>
                <w:i w:val="0"/>
                <w:color w:val="000000"/>
                <w:kern w:val="0"/>
                <w:sz w:val="20"/>
                <w:szCs w:val="20"/>
                <w:u w:val="none"/>
                <w:lang w:val="en-US" w:eastAsia="zh-CN" w:bidi="ar"/>
              </w:rPr>
              <w:t>16mm</w:t>
            </w:r>
          </w:p>
        </w:tc>
        <w:tc>
          <w:tcPr>
            <w:tcW w:w="766"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kern w:val="0"/>
                <w:sz w:val="20"/>
                <w:szCs w:val="20"/>
                <w:u w:val="none"/>
                <w:lang w:bidi="ar"/>
              </w:rPr>
            </w:pPr>
            <w:r>
              <w:rPr>
                <w:rFonts w:ascii="仿宋" w:hAnsi="仿宋" w:cs="仿宋" w:hint="eastAsia"/>
                <w:i w:val="0"/>
                <w:color w:val="000000"/>
                <w:sz w:val="20"/>
                <w:szCs w:val="20"/>
                <w:u w:val="none"/>
                <w:lang w:val="en-US" w:eastAsia="zh-CN"/>
              </w:rPr>
              <w:t>锚入岩层0.1m</w:t>
            </w:r>
          </w:p>
        </w:tc>
        <w:tc>
          <w:tcPr>
            <w:tcW w:w="1600" w:type="dxa"/>
            <w:gridSpan w:val="2"/>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sz w:val="20"/>
                <w:szCs w:val="20"/>
                <w:u w:val="none"/>
              </w:rPr>
            </w:pPr>
            <w:r>
              <w:rPr>
                <w:rFonts w:ascii="仿宋" w:hAnsi="仿宋" w:cs="仿宋" w:hint="eastAsia"/>
                <w:i w:val="0"/>
                <w:color w:val="000000"/>
                <w:sz w:val="20"/>
                <w:szCs w:val="20"/>
                <w:u w:val="none"/>
                <w:lang w:val="en-US" w:eastAsia="zh-CN"/>
              </w:rPr>
              <w:t>每20m设立2cm变形缝</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right="0" w:firstLine="0" w:leftChars="0" w:rightChars="0" w:firstLineChars="0"/>
              <w:jc w:val="center"/>
              <w:textAlignment w:val="center"/>
              <w:outlineLvl w:val="9"/>
              <w:rPr>
                <w:rFonts w:ascii="仿宋" w:hAnsi="仿宋" w:cs="仿宋" w:hint="eastAsia"/>
                <w:i w:val="0"/>
                <w:color w:val="000000"/>
                <w:sz w:val="20"/>
                <w:szCs w:val="20"/>
                <w:u w:val="none"/>
              </w:rPr>
            </w:pPr>
            <w:r>
              <w:rPr>
                <w:rFonts w:ascii="仿宋" w:hAnsi="仿宋" w:cs="仿宋" w:hint="eastAsia"/>
                <w:i w:val="0"/>
                <w:color w:val="000000"/>
                <w:sz w:val="20"/>
                <w:szCs w:val="20"/>
                <w:u w:val="none"/>
                <w:lang w:val="en-US" w:eastAsia="zh-CN"/>
              </w:rPr>
              <w:t>上游抗滑桩坡脚6cm厚C20封面</w:t>
            </w:r>
          </w:p>
        </w:tc>
      </w:tr>
    </w:tbl>
    <w:p>
      <w:pPr>
        <w:pStyle w:val="BodyText"/>
        <w:rPr>
          <w:rFonts w:hint="eastAsia"/>
        </w:rPr>
        <w:sectPr>
          <w:type w:val="nextPage"/>
          <w:pgSz w:w="16838" w:h="11906" w:orient="landscape"/>
          <w:pgMar w:top="1418" w:right="1134" w:bottom="1134" w:left="1134" w:header="851" w:footer="992" w:gutter="0"/>
          <w:pgNumType w:fmt="decimal" w:start="15"/>
          <w:cols w:num="1" w:space="425"/>
          <w:titlePg w:val="0"/>
          <w:docGrid w:type="lines" w:linePitch="312" w:charSpace="0"/>
        </w:sectPr>
      </w:pPr>
    </w:p>
    <w:p>
      <w:pPr>
        <w:pStyle w:val="Heading2"/>
        <w:numPr>
          <w:ilvl w:val="0"/>
          <w:numId w:val="9"/>
        </w:numPr>
        <w:spacing w:line="500" w:lineRule="auto"/>
        <w:ind w:left="0" w:firstLine="420" w:leftChars="0" w:firstLineChars="0"/>
      </w:pPr>
      <w:bookmarkStart w:id="33" w:name="_Toc8837"/>
      <w:r>
        <w:rPr>
          <w:rFonts w:hint="eastAsia"/>
        </w:rPr>
        <w:t>工艺流程</w:t>
      </w:r>
      <w:bookmarkEnd w:id="33"/>
    </w:p>
    <w:p>
      <w:pPr>
        <w:spacing w:line="500" w:lineRule="auto"/>
        <w:rPr>
          <w:rFonts w:hint="eastAsia"/>
        </w:rPr>
      </w:pPr>
      <w:r>
        <w:rPr>
          <w:rFonts w:hint="eastAsia"/>
        </w:rPr>
        <w:t>施工准备→施工放样→</w:t>
      </w:r>
      <w:r>
        <w:rPr>
          <w:rFonts w:hint="eastAsia"/>
          <w:lang w:eastAsia="zh-CN"/>
        </w:rPr>
        <w:t>桩板墙施工</w:t>
      </w:r>
      <w:r>
        <w:rPr>
          <w:rFonts w:hint="eastAsia"/>
        </w:rPr>
        <w:t>→</w:t>
      </w:r>
      <w:r>
        <w:rPr>
          <w:rFonts w:hint="eastAsia"/>
          <w:lang w:eastAsia="zh-CN"/>
        </w:rPr>
        <w:t>坡面高切坡施工</w:t>
      </w:r>
      <w:r>
        <w:rPr>
          <w:rFonts w:hint="eastAsia"/>
        </w:rPr>
        <w:t>→</w:t>
      </w:r>
      <w:r>
        <w:rPr>
          <w:rFonts w:hint="eastAsia"/>
          <w:lang w:eastAsia="zh-CN"/>
        </w:rPr>
        <w:t>边坡支架搭设</w:t>
      </w:r>
      <w:r>
        <w:rPr>
          <w:rFonts w:hint="eastAsia"/>
        </w:rPr>
        <w:t>→</w:t>
      </w:r>
      <w:r>
        <w:rPr>
          <w:rFonts w:hint="eastAsia"/>
          <w:lang w:eastAsia="zh-CN"/>
        </w:rPr>
        <w:t>锚杆及格架梁施工</w:t>
      </w:r>
      <w:r>
        <w:rPr>
          <w:rFonts w:hint="eastAsia"/>
        </w:rPr>
        <w:t>→</w:t>
      </w:r>
      <w:r>
        <w:rPr>
          <w:rFonts w:hint="eastAsia"/>
          <w:lang w:eastAsia="zh-CN"/>
        </w:rPr>
        <w:t>坡面绿化</w:t>
      </w:r>
    </w:p>
    <w:p>
      <w:pPr>
        <w:pStyle w:val="Heading2"/>
        <w:numPr>
          <w:ilvl w:val="0"/>
          <w:numId w:val="9"/>
        </w:numPr>
        <w:spacing w:line="500" w:lineRule="auto"/>
        <w:ind w:left="0" w:firstLine="420" w:leftChars="0" w:firstLineChars="0"/>
      </w:pPr>
      <w:bookmarkStart w:id="34" w:name="_Toc933"/>
      <w:r>
        <w:rPr>
          <w:rFonts w:hint="eastAsia"/>
        </w:rPr>
        <w:t>施工方法</w:t>
      </w:r>
      <w:bookmarkEnd w:id="34"/>
    </w:p>
    <w:p>
      <w:pPr>
        <w:spacing w:line="500" w:lineRule="auto"/>
      </w:pPr>
      <w:r>
        <w:rPr>
          <w:rFonts w:hint="eastAsia"/>
        </w:rPr>
        <w:t>施工时采用信息施工法，根据</w:t>
      </w:r>
      <w:hyperlink w:tgtFrame="_blank" w:history="1">
        <w:r>
          <w:rPr>
            <w:rFonts w:hint="eastAsia"/>
          </w:rPr>
          <w:t>施工现场</w:t>
        </w:r>
      </w:hyperlink>
      <w:r>
        <w:rPr>
          <w:rFonts w:hint="eastAsia"/>
        </w:rPr>
        <w:t>的地质情况和监测数据，对地质结论、设计参数进行验证，对施工安全性进行判断并及时修正施工方法的施工方法。</w:t>
      </w:r>
    </w:p>
    <w:p>
      <w:pPr>
        <w:pStyle w:val="Heading3"/>
        <w:spacing w:line="500" w:lineRule="auto"/>
      </w:pPr>
      <w:bookmarkStart w:id="35" w:name="_Toc12734"/>
      <w:r>
        <w:rPr>
          <w:rFonts w:hint="eastAsia"/>
        </w:rPr>
        <w:t>施工准备</w:t>
      </w:r>
      <w:bookmarkEnd w:id="35"/>
    </w:p>
    <w:p>
      <w:pPr>
        <w:spacing w:line="500" w:lineRule="auto"/>
        <w:rPr>
          <w:rFonts w:hint="eastAsia"/>
        </w:rPr>
      </w:pPr>
      <w:r>
        <w:rPr>
          <w:rFonts w:hint="eastAsia"/>
        </w:rPr>
        <w:t>在施工前具体复查高切坡地段的工程地质资料，涉及土石界线、岩层风化厚度及破碎限度，岩层的构造特性等。 根据本工程的具体情况，进行现场勘查机械进场路线规划</w:t>
      </w:r>
      <w:r>
        <w:rPr>
          <w:rFonts w:hint="eastAsia"/>
          <w:lang w:eastAsia="zh-CN"/>
        </w:rPr>
        <w:t>；</w:t>
      </w:r>
      <w:r>
        <w:rPr>
          <w:rFonts w:hint="eastAsia"/>
        </w:rPr>
        <w:t> 查明</w:t>
      </w:r>
      <w:r>
        <w:rPr>
          <w:rFonts w:hint="eastAsia"/>
          <w:lang w:eastAsia="zh-CN"/>
        </w:rPr>
        <w:t>边坡处</w:t>
      </w:r>
      <w:r>
        <w:rPr>
          <w:rFonts w:hint="eastAsia"/>
        </w:rPr>
        <w:t>地形地物和地上地下的管线情况，地上地下构筑物和管线需迁移后进行开挖。</w:t>
      </w:r>
    </w:p>
    <w:p>
      <w:pPr>
        <w:spacing w:line="500" w:lineRule="auto"/>
        <w:rPr>
          <w:rFonts w:hint="eastAsia"/>
        </w:rPr>
      </w:pPr>
      <w:r>
        <w:rPr>
          <w:rFonts w:hint="eastAsia"/>
        </w:rPr>
        <w:t>在坡顶</w:t>
      </w:r>
      <w:r>
        <w:rPr>
          <w:rFonts w:hint="eastAsia"/>
          <w:lang w:eastAsia="zh-CN"/>
        </w:rPr>
        <w:t>、坡底</w:t>
      </w:r>
      <w:r>
        <w:rPr>
          <w:rFonts w:hint="eastAsia"/>
        </w:rPr>
        <w:t>处做好截</w:t>
      </w:r>
      <w:r>
        <w:rPr>
          <w:rFonts w:hint="eastAsia"/>
          <w:lang w:eastAsia="zh-CN"/>
        </w:rPr>
        <w:t>、排</w:t>
      </w:r>
      <w:r>
        <w:rPr>
          <w:rFonts w:hint="eastAsia"/>
        </w:rPr>
        <w:t>水沟，防止坡面浸水坍塌。 密切关注天气</w:t>
      </w:r>
      <w:r>
        <w:rPr>
          <w:rFonts w:hint="eastAsia"/>
          <w:lang w:eastAsia="zh-CN"/>
        </w:rPr>
        <w:t>，随时</w:t>
      </w:r>
      <w:r>
        <w:rPr>
          <w:rFonts w:hint="eastAsia"/>
        </w:rPr>
        <w:t>准备好彩条布，</w:t>
      </w:r>
      <w:r>
        <w:rPr>
          <w:rFonts w:hint="eastAsia"/>
          <w:lang w:eastAsia="zh-CN"/>
        </w:rPr>
        <w:t>遇</w:t>
      </w:r>
      <w:r>
        <w:rPr>
          <w:rFonts w:hint="eastAsia"/>
        </w:rPr>
        <w:t>雨</w:t>
      </w:r>
      <w:r>
        <w:rPr>
          <w:rFonts w:hint="eastAsia"/>
          <w:lang w:eastAsia="zh-CN"/>
        </w:rPr>
        <w:t>天应及时运用</w:t>
      </w:r>
      <w:r>
        <w:rPr>
          <w:rFonts w:hint="eastAsia"/>
        </w:rPr>
        <w:t>彩条布对坡面覆盖进行覆盖</w:t>
      </w:r>
      <w:r>
        <w:rPr>
          <w:rFonts w:hint="eastAsia"/>
          <w:lang w:eastAsia="zh-CN"/>
        </w:rPr>
        <w:t>，防止土体因侵蚀雨水导致滑坡。</w:t>
      </w:r>
    </w:p>
    <w:p>
      <w:pPr>
        <w:pStyle w:val="Heading3"/>
        <w:spacing w:line="500" w:lineRule="auto"/>
      </w:pPr>
      <w:bookmarkStart w:id="36" w:name="_Toc8246"/>
      <w:r>
        <w:rPr>
          <w:rFonts w:hint="eastAsia"/>
        </w:rPr>
        <w:t>施工放样</w:t>
      </w:r>
      <w:bookmarkEnd w:id="36"/>
    </w:p>
    <w:p>
      <w:pPr>
        <w:spacing w:line="500" w:lineRule="auto"/>
        <w:rPr>
          <w:rFonts w:hint="eastAsia"/>
        </w:rPr>
        <w:sectPr>
          <w:pgSz w:w="11906" w:h="16838"/>
          <w:pgMar w:top="1134" w:right="1134" w:bottom="1134" w:left="1418" w:header="851" w:footer="992" w:gutter="0"/>
          <w:pgNumType w:fmt="decimal" w:start="16"/>
          <w:cols w:num="1" w:space="425"/>
          <w:docGrid w:type="lines" w:linePitch="312" w:charSpace="0"/>
        </w:sectPr>
      </w:pPr>
      <w:r>
        <w:rPr>
          <w:rFonts w:hint="eastAsia"/>
        </w:rPr>
        <w:t>根据设计横断面的边坡坡率、台阶宽度，精确计算切坡顶面的开挖线。采用GPS放样，根据现场坡口标高放出护坡坡口桩。 </w:t>
      </w:r>
    </w:p>
    <w:p>
      <w:pPr>
        <w:pStyle w:val="Heading3"/>
        <w:spacing w:line="500" w:lineRule="auto"/>
        <w:rPr>
          <w:rFonts w:hint="eastAsia"/>
          <w:lang w:val="en-US" w:eastAsia="zh-CN"/>
        </w:rPr>
      </w:pPr>
      <w:bookmarkStart w:id="37" w:name="_Toc22187"/>
      <w:r>
        <w:rPr>
          <w:rFonts w:hint="eastAsia"/>
          <w:lang w:val="en-US" w:eastAsia="zh-CN"/>
        </w:rPr>
        <w:t>抗滑桩（干桩）施工</w:t>
      </w:r>
      <w:bookmarkEnd w:id="37"/>
    </w:p>
    <w:p>
      <w:pPr>
        <w:pStyle w:val="Heading4"/>
        <w:spacing w:line="500" w:lineRule="auto"/>
        <w:ind w:left="425" w:hanging="425" w:leftChars="0" w:firstLineChars="0"/>
        <w:rPr>
          <w:rFonts w:hint="eastAsia"/>
          <w:lang w:val="en-US" w:eastAsia="zh-CN"/>
        </w:rPr>
      </w:pPr>
      <w:bookmarkStart w:id="38" w:name="_Toc16379"/>
      <w:bookmarkStart w:id="39" w:name="_Toc25508"/>
      <w:bookmarkStart w:id="40" w:name="_Toc15139"/>
      <w:r>
        <w:rPr>
          <w:rFonts w:hint="eastAsia"/>
          <w:lang w:val="en-US" w:eastAsia="zh-CN"/>
        </w:rPr>
        <w:t>桩基简介</w:t>
      </w:r>
      <w:bookmarkEnd w:id="38"/>
    </w:p>
    <w:p>
      <w:pPr>
        <w:spacing w:line="500" w:lineRule="auto"/>
        <w:rPr>
          <w:rFonts w:hint="eastAsia"/>
        </w:rPr>
      </w:pPr>
      <w:r>
        <w:rPr>
          <w:rFonts w:hint="eastAsia"/>
          <w:lang w:val="en-US" w:eastAsia="zh-CN"/>
        </w:rPr>
        <w:t>P6#墩上游坡底共设计8根，</w:t>
      </w:r>
      <w:r>
        <w:rPr>
          <w:rFonts w:ascii="宋体" w:hAnsi="宋体" w:hint="eastAsia"/>
          <w:szCs w:val="20"/>
        </w:rPr>
        <w:t>桩基尺寸为Φ</w:t>
      </w:r>
      <w:r>
        <w:rPr>
          <w:rFonts w:ascii="宋体" w:hAnsi="宋体" w:hint="eastAsia"/>
          <w:szCs w:val="20"/>
          <w:lang w:val="en-US" w:eastAsia="zh-CN"/>
        </w:rPr>
        <w:t>1.5</w:t>
      </w:r>
      <w:r>
        <w:rPr>
          <w:rFonts w:ascii="宋体" w:hAnsi="宋体" w:hint="eastAsia"/>
          <w:szCs w:val="20"/>
        </w:rPr>
        <w:t>m，中心距为</w:t>
      </w:r>
      <w:r>
        <w:rPr>
          <w:rFonts w:ascii="宋体" w:hAnsi="宋体" w:hint="eastAsia"/>
          <w:szCs w:val="20"/>
          <w:lang w:val="en-US" w:eastAsia="zh-CN"/>
        </w:rPr>
        <w:t>4</w:t>
      </w:r>
      <w:r>
        <w:rPr>
          <w:rFonts w:ascii="宋体" w:hAnsi="宋体" w:hint="eastAsia"/>
          <w:szCs w:val="20"/>
        </w:rPr>
        <w:t>.0m</w:t>
      </w:r>
      <w:r>
        <w:rPr>
          <w:rFonts w:ascii="宋体" w:hAnsi="宋体" w:hint="eastAsia"/>
          <w:szCs w:val="20"/>
          <w:lang w:eastAsia="zh-CN"/>
        </w:rPr>
        <w:t>。</w:t>
      </w:r>
      <w:r>
        <w:rPr>
          <w:rFonts w:hint="eastAsia"/>
          <w:lang w:val="en-US" w:eastAsia="zh-CN"/>
        </w:rPr>
        <w:t>P6#墩下游坡顶共设计17根，</w:t>
      </w:r>
      <w:r>
        <w:rPr>
          <w:rFonts w:ascii="宋体" w:hAnsi="宋体" w:hint="eastAsia"/>
          <w:szCs w:val="20"/>
        </w:rPr>
        <w:t>桩基尺寸为Φ</w:t>
      </w:r>
      <w:r>
        <w:rPr>
          <w:rFonts w:ascii="宋体" w:hAnsi="宋体" w:hint="eastAsia"/>
          <w:szCs w:val="20"/>
          <w:lang w:val="en-US" w:eastAsia="zh-CN"/>
        </w:rPr>
        <w:t>1</w:t>
      </w:r>
      <w:r>
        <w:rPr>
          <w:rFonts w:ascii="宋体" w:hAnsi="宋体" w:hint="eastAsia"/>
          <w:szCs w:val="20"/>
        </w:rPr>
        <w:t>m，中心距为</w:t>
      </w:r>
      <w:r>
        <w:rPr>
          <w:rFonts w:ascii="宋体" w:hAnsi="宋体" w:hint="eastAsia"/>
          <w:szCs w:val="20"/>
          <w:lang w:val="en-US" w:eastAsia="zh-CN"/>
        </w:rPr>
        <w:t>4</w:t>
      </w:r>
      <w:r>
        <w:rPr>
          <w:rFonts w:ascii="宋体" w:hAnsi="宋体" w:hint="eastAsia"/>
          <w:szCs w:val="20"/>
        </w:rPr>
        <w:t>.0m</w:t>
      </w:r>
      <w:r>
        <w:rPr>
          <w:rFonts w:ascii="宋体" w:hAnsi="宋体" w:hint="eastAsia"/>
          <w:szCs w:val="20"/>
          <w:lang w:eastAsia="zh-CN"/>
        </w:rPr>
        <w:t>。</w:t>
      </w:r>
      <w:r>
        <w:rPr>
          <w:rFonts w:ascii="宋体" w:hAnsi="宋体" w:hint="eastAsia"/>
          <w:sz w:val="28"/>
          <w:szCs w:val="28"/>
        </w:rPr>
        <w:t>桩身混凝土强度采用</w:t>
      </w:r>
      <w:r>
        <w:rPr>
          <w:rFonts w:ascii="Times New Roman" w:hAnsi="Times New Roman" w:cs="Times New Roman"/>
          <w:sz w:val="28"/>
          <w:szCs w:val="28"/>
        </w:rPr>
        <w:t>C30</w:t>
      </w:r>
      <w:r>
        <w:rPr>
          <w:rFonts w:ascii="Times New Roman" w:hAnsi="Times New Roman" w:cs="Times New Roman" w:hint="eastAsia"/>
          <w:sz w:val="28"/>
          <w:szCs w:val="28"/>
          <w:lang w:eastAsia="zh-CN"/>
        </w:rPr>
        <w:t>，抗滑桩悬臂段长度为桩身满足襟边宽度5m条件下嵌入中风化基岩的长度。桩身嵌固段长度不小于悬臂段长度的一半且不小于上游</w:t>
      </w:r>
      <w:r>
        <w:rPr>
          <w:rFonts w:ascii="Times New Roman" w:hAnsi="Times New Roman" w:cs="Times New Roman" w:hint="eastAsia"/>
          <w:sz w:val="28"/>
          <w:szCs w:val="28"/>
          <w:lang w:val="en-US" w:eastAsia="zh-CN"/>
        </w:rPr>
        <w:t>5m、下游3</w:t>
      </w:r>
      <w:r>
        <w:rPr>
          <w:rFonts w:ascii="Times New Roman" w:hAnsi="Times New Roman" w:cs="Times New Roman" w:hint="eastAsia"/>
          <w:sz w:val="28"/>
          <w:szCs w:val="28"/>
          <w:lang w:eastAsia="zh-CN"/>
        </w:rPr>
        <w:t>m。</w:t>
      </w:r>
      <w:r>
        <w:rPr>
          <w:rFonts w:ascii="宋体" w:hAnsi="宋体" w:hint="eastAsia"/>
          <w:sz w:val="28"/>
          <w:szCs w:val="28"/>
        </w:rPr>
        <w:t>挖孔桩采用跳桩开挖的施工方法</w:t>
      </w:r>
      <w:r>
        <w:rPr>
          <w:rFonts w:ascii="宋体" w:hAnsi="宋体" w:hint="eastAsia"/>
          <w:sz w:val="28"/>
          <w:szCs w:val="28"/>
          <w:lang w:eastAsia="zh-CN"/>
        </w:rPr>
        <w:t>。</w:t>
      </w:r>
      <w:r>
        <w:rPr>
          <w:rFonts w:hint="eastAsia"/>
          <w:lang w:eastAsia="zh-CN"/>
        </w:rPr>
        <w:t>见下图所示。</w:t>
      </w:r>
    </w:p>
    <w:p>
      <w:pPr>
        <w:spacing w:line="500" w:lineRule="auto"/>
        <w:jc w:val="center"/>
        <w:rPr>
          <w:rFonts w:hint="eastAsia"/>
        </w:rPr>
      </w:pPr>
      <w:r>
        <w:rPr>
          <w:rFonts w:hint="eastAsia"/>
          <w:lang w:eastAsia="zh-C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66.95pt;height:190.05pt" o:oleicon="f" o:ole="" coordsize="21600,21600" o:preferrelative="t" filled="f" stroked="f">
            <v:imagedata r:id="rId7" o:title=""/>
            <o:lock v:ext="edit" aspectratio="f"/>
            <w10:anchorlock/>
          </v:shape>
          <o:OLEObject Type="Embed" ProgID="AutoCAD.Drawing.21" ShapeID="_x0000_i1027" DrawAspect="Content" ObjectID="_1468075725" r:id="rId8"/>
        </w:object>
      </w:r>
      <w:r>
        <w:rPr>
          <w:rFonts w:hint="eastAsia"/>
          <w:lang w:eastAsia="zh-CN"/>
        </w:rPr>
        <w:t>抗滑桩施工示意图</w:t>
      </w:r>
    </w:p>
    <w:p>
      <w:pPr>
        <w:pStyle w:val="Heading4"/>
        <w:spacing w:line="500" w:lineRule="auto"/>
        <w:ind w:left="425" w:hanging="425" w:leftChars="0" w:firstLineChars="0"/>
        <w:rPr>
          <w:rFonts w:hint="eastAsia"/>
          <w:lang w:val="en-US" w:eastAsia="zh-CN"/>
        </w:rPr>
      </w:pPr>
      <w:bookmarkStart w:id="41" w:name="_Toc9382"/>
      <w:r>
        <w:rPr>
          <w:rFonts w:hint="eastAsia"/>
          <w:lang w:val="en-US" w:eastAsia="zh-CN"/>
        </w:rPr>
        <w:t>施工工序</w:t>
      </w:r>
      <w:bookmarkEnd w:id="39"/>
      <w:bookmarkEnd w:id="40"/>
      <w:bookmarkEnd w:id="41"/>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施工准备→测量放线拟定桩孔范围→场地平整→测量放线及埋设桩位→埋设钢护筒→检查桩中心轴线→钻机就位及钻进→成孔检查→清孔→吊放钢筋笼→安装砼导管→灌筑砼→桩成品检测、验收</w:t>
      </w:r>
    </w:p>
    <w:p>
      <w:pPr>
        <w:pStyle w:val="Heading4"/>
        <w:spacing w:line="500" w:lineRule="auto"/>
        <w:ind w:left="425" w:hanging="425" w:leftChars="0" w:firstLineChars="0"/>
        <w:rPr>
          <w:rFonts w:hint="eastAsia"/>
          <w:lang w:val="en-US" w:eastAsia="zh-CN"/>
        </w:rPr>
      </w:pPr>
      <w:bookmarkStart w:id="42" w:name="_Toc21313"/>
      <w:bookmarkStart w:id="43" w:name="_Toc14594"/>
      <w:bookmarkStart w:id="44" w:name="_Toc24220"/>
      <w:r>
        <w:rPr>
          <w:rFonts w:hint="eastAsia"/>
          <w:lang w:val="en-US" w:eastAsia="zh-CN"/>
        </w:rPr>
        <w:t>施工准备</w:t>
      </w:r>
      <w:bookmarkEnd w:id="42"/>
      <w:r>
        <w:rPr>
          <w:rFonts w:hint="eastAsia"/>
          <w:lang w:val="en-US" w:eastAsia="zh-CN"/>
        </w:rPr>
        <w:t>及场平</w:t>
      </w:r>
      <w:bookmarkEnd w:id="43"/>
      <w:bookmarkEnd w:id="44"/>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sectPr>
          <w:type w:val="nextPage"/>
          <w:pgSz w:w="11906" w:h="16838"/>
          <w:pgMar w:top="1134" w:right="1134" w:bottom="1134" w:left="1418" w:header="851" w:footer="992" w:gutter="0"/>
          <w:pgNumType w:fmt="decimal"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在桩基施工前要先调查钻孔桩施工范围内地上、地下管线和构筑物，施工时，先清除设计桩位范围内场地的杂物、障碍物，平整施工场地和施工便道。</w:t>
      </w:r>
      <w:r>
        <w:rPr>
          <w:rFonts w:ascii="仿宋" w:hAnsi="仿宋" w:cs="仿宋" w:hint="eastAsia"/>
          <w:sz w:val="28"/>
          <w:szCs w:val="28"/>
          <w:lang w:val="en-US" w:eastAsia="zh-CN"/>
        </w:rPr>
        <w:t>P6#墩上游桩位位于坡脚，故采用施工便道作为旋挖钻机平台，必须碾压密实。而P6#墩下游桩位位于坡顶，故运用现有土两路作为旋挖钻机平台，施工时不能对公路路面导致破坏。</w:t>
      </w:r>
    </w:p>
    <w:p>
      <w:pPr>
        <w:pStyle w:val="Heading4"/>
        <w:spacing w:line="500" w:lineRule="auto"/>
        <w:ind w:left="425" w:hanging="425" w:leftChars="0" w:firstLineChars="0"/>
        <w:rPr>
          <w:rFonts w:hint="eastAsia"/>
          <w:lang w:val="en-US" w:eastAsia="zh-CN"/>
        </w:rPr>
      </w:pPr>
      <w:bookmarkStart w:id="45" w:name="_Toc2116"/>
      <w:bookmarkStart w:id="46" w:name="_Toc6268"/>
      <w:bookmarkStart w:id="47" w:name="_Toc28794"/>
      <w:r>
        <w:rPr>
          <w:rFonts w:hint="eastAsia"/>
          <w:lang w:val="en-US" w:eastAsia="zh-CN"/>
        </w:rPr>
        <w:t>定位放线</w:t>
      </w:r>
      <w:bookmarkEnd w:id="45"/>
      <w:bookmarkEnd w:id="46"/>
      <w:bookmarkEnd w:id="47"/>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依据设计图纸计算各桩位坐标，并拟定每个桩孔与相邻控制点的位置关系，经复核无误后在场内实地放出。同时以桩中心为交点，在纵向和横向方向埋设好副桩，桩位经</w:t>
      </w:r>
      <w:r>
        <w:rPr>
          <w:rFonts w:ascii="仿宋" w:hAnsi="仿宋" w:cs="仿宋" w:hint="eastAsia"/>
          <w:sz w:val="28"/>
          <w:szCs w:val="28"/>
          <w:lang w:val="en-US" w:eastAsia="zh-CN"/>
        </w:rPr>
        <w:t>测量专业</w:t>
      </w:r>
      <w:r>
        <w:rPr>
          <w:rFonts w:ascii="仿宋" w:eastAsia="仿宋" w:hAnsi="仿宋" w:cs="仿宋" w:hint="eastAsia"/>
          <w:sz w:val="28"/>
          <w:szCs w:val="28"/>
          <w:lang w:val="en-US" w:eastAsia="zh-CN"/>
        </w:rPr>
        <w:t>监理工程师复核并签字批准后可进行下一步施工。</w:t>
      </w:r>
    </w:p>
    <w:p>
      <w:pPr>
        <w:pStyle w:val="Heading4"/>
        <w:spacing w:line="500" w:lineRule="auto"/>
        <w:ind w:left="425" w:hanging="425" w:leftChars="0" w:firstLineChars="0"/>
        <w:rPr>
          <w:rFonts w:hint="eastAsia"/>
          <w:lang w:val="en-US" w:eastAsia="zh-CN"/>
        </w:rPr>
      </w:pPr>
      <w:bookmarkStart w:id="48" w:name="_Toc15149"/>
      <w:bookmarkStart w:id="49" w:name="_Toc11654"/>
      <w:bookmarkStart w:id="50" w:name="_Toc3378"/>
      <w:r>
        <w:rPr>
          <w:rFonts w:hint="eastAsia"/>
          <w:lang w:val="en-US" w:eastAsia="zh-CN"/>
        </w:rPr>
        <w:t>护筒埋设</w:t>
      </w:r>
      <w:bookmarkEnd w:id="48"/>
      <w:bookmarkEnd w:id="49"/>
      <w:bookmarkEnd w:id="50"/>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埋设护筒采用挖坑法，由吊车安放。测量队对要埋设护筒的桩位进行放样，现场技术人员复核，旋挖钻机钻头中心对准桩位中心挖孔扩孔，所挖孔直径为护筒直径加20cm-40cm，护筒埋置深度根据地质条件及水文资料拟定，一般不得小于2m。加长的护筒可采用全钢护筒随钻孔跟进至岩层，每钻进1m-2m用吊机协助将钢护筒接长，然后用振动桩锤将接长钢护筒嵌入孔内，直至岩层。亦可采用混凝土护壁形式保证土层稳定。混凝土护壁采用先钻进一定深度(扩孔直径为D+2H，H为护壁厚度)，然后将钻进后的土层部分用混凝土浇灌，待强度达成75%之后，再次从混凝土面钻进，钻进后扩孔的部分被混凝土填满即形成混凝土护壁。护筒顶须高出地面30cm，且顶标高大于桩顶标高50cm以上。</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sectPr>
          <w:type w:val="nextPage"/>
          <w:pgSz w:w="11906" w:h="16838"/>
          <w:pgMar w:top="1134" w:right="1134" w:bottom="1134" w:left="1418" w:header="851" w:footer="992" w:gutter="0"/>
          <w:pgNumType w:fmt="decimal"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护筒位置拟定后，吊垂线，用钢卷尺量测护筒顶部、中部、底部距离垂线的距离，检查护筒的竖直度。护筒斜度不大于1％。</w:t>
      </w:r>
    </w:p>
    <w:p>
      <w:pPr>
        <w:pStyle w:val="Heading4"/>
        <w:spacing w:line="500" w:lineRule="auto"/>
        <w:ind w:left="425" w:hanging="425" w:leftChars="0" w:firstLineChars="0"/>
        <w:rPr>
          <w:rFonts w:hint="eastAsia"/>
          <w:lang w:val="en-US" w:eastAsia="zh-CN"/>
        </w:rPr>
      </w:pPr>
      <w:bookmarkStart w:id="51" w:name="_Toc12117"/>
      <w:bookmarkStart w:id="52" w:name="_Toc10219"/>
      <w:bookmarkStart w:id="53" w:name="_Toc19701"/>
      <w:r>
        <w:rPr>
          <w:rFonts w:hint="eastAsia"/>
          <w:lang w:val="en-US" w:eastAsia="zh-CN"/>
        </w:rPr>
        <w:t>钻机就位及钻孔</w:t>
      </w:r>
      <w:bookmarkEnd w:id="51"/>
      <w:bookmarkEnd w:id="52"/>
      <w:bookmarkEnd w:id="53"/>
    </w:p>
    <w:p>
      <w:pPr>
        <w:keepNext w:val="0"/>
        <w:keepLines w:val="0"/>
        <w:pageBreakBefore w:val="0"/>
        <w:widowControl w:val="0"/>
        <w:numPr>
          <w:ilvl w:val="0"/>
          <w:numId w:val="31"/>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拟定钻机位置，在钻机位置四周洒白灰线标记。</w:t>
      </w:r>
    </w:p>
    <w:p>
      <w:pPr>
        <w:keepNext w:val="0"/>
        <w:keepLines w:val="0"/>
        <w:pageBreakBefore w:val="0"/>
        <w:widowControl w:val="0"/>
        <w:numPr>
          <w:ilvl w:val="0"/>
          <w:numId w:val="31"/>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标记位置，定位。将旋挖钻机开至白灰线标记位置，不再挪动。</w:t>
      </w:r>
    </w:p>
    <w:p>
      <w:pPr>
        <w:keepNext w:val="0"/>
        <w:keepLines w:val="0"/>
        <w:pageBreakBefore w:val="0"/>
        <w:widowControl w:val="0"/>
        <w:numPr>
          <w:ilvl w:val="0"/>
          <w:numId w:val="31"/>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连接副桩、拉十字线调整钻头中心对准桩位中心，然后再由测量复测一次桩中心(同时也复测了副桩)。通过钻机自身的仪器设备调整好钻杆、桅杆的竖直度并锁定。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ascii="宋体" w:hAnsi="宋体" w:hint="eastAsia"/>
          <w:kern w:val="6"/>
          <w:szCs w:val="21"/>
        </w:rPr>
      </w:pPr>
      <w:r>
        <w:rPr>
          <w:rFonts w:ascii="宋体" w:hAnsi="宋体" w:hint="eastAsia"/>
          <w:kern w:val="6"/>
          <w:szCs w:val="21"/>
        </w:rPr>
        <w:drawing>
          <wp:inline distT="0" distB="0" distL="114300" distR="114300">
            <wp:extent cx="3314065" cy="2173605"/>
            <wp:effectExtent l="0" t="0" r="635" b="17145"/>
            <wp:docPr id="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
                    <pic:cNvPicPr>
                      <a:picLocks noChangeAspect="1"/>
                    </pic:cNvPicPr>
                  </pic:nvPicPr>
                  <pic:blipFill>
                    <a:blip xmlns:r="http://schemas.openxmlformats.org/officeDocument/2006/relationships" r:embed="rId9"/>
                    <a:stretch>
                      <a:fillRect/>
                    </a:stretch>
                  </pic:blipFill>
                  <pic:spPr>
                    <a:xfrm>
                      <a:off x="0" y="0"/>
                      <a:ext cx="3314065" cy="2173605"/>
                    </a:xfrm>
                    <a:prstGeom prst="rect">
                      <a:avLst/>
                    </a:prstGeom>
                    <a:noFill/>
                    <a:ln w="9525">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00" w:lineRule="auto"/>
        <w:ind w:right="0" w:rightChars="0"/>
        <w:jc w:val="center"/>
        <w:textAlignment w:val="auto"/>
        <w:outlineLvl w:val="9"/>
        <w:rPr>
          <w:rFonts w:ascii="仿宋" w:hAnsi="仿宋" w:cs="仿宋" w:hint="eastAsia"/>
          <w:kern w:val="6"/>
          <w:szCs w:val="28"/>
          <w:u w:val="double"/>
        </w:rPr>
      </w:pPr>
      <w:r>
        <w:rPr>
          <w:rFonts w:ascii="仿宋" w:eastAsia="仿宋" w:hAnsi="仿宋" w:cs="仿宋" w:hint="eastAsia"/>
          <w:kern w:val="6"/>
          <w:sz w:val="28"/>
          <w:szCs w:val="28"/>
          <w:u w:val="double"/>
          <w:lang w:val="en-US" w:eastAsia="zh-CN"/>
        </w:rPr>
        <w:t>副桩定位示意图</w:t>
      </w:r>
    </w:p>
    <w:p>
      <w:pPr>
        <w:numPr>
          <w:ilvl w:val="0"/>
          <w:numId w:val="31"/>
        </w:numPr>
        <w:spacing w:line="500" w:lineRule="auto"/>
        <w:ind w:left="0" w:firstLine="400" w:leftChars="0" w:firstLineChars="0"/>
        <w:rPr>
          <w:rFonts w:hint="eastAsia"/>
        </w:rPr>
        <w:sectPr>
          <w:type w:val="nextPage"/>
          <w:pgSz w:w="11906" w:h="16838"/>
          <w:pgMar w:top="1134" w:right="1134" w:bottom="1134" w:left="1418" w:header="851" w:footer="992" w:gutter="0"/>
          <w:pgNumType w:fmt="decimal" w:start="19"/>
          <w:cols w:num="1" w:space="425"/>
          <w:titlePg w:val="0"/>
          <w:docGrid w:type="lines" w:linePitch="312" w:charSpace="0"/>
        </w:sectPr>
      </w:pPr>
    </w:p>
    <w:p>
      <w:pPr>
        <w:numPr>
          <w:ilvl w:val="0"/>
          <w:numId w:val="0"/>
        </w:numPr>
        <w:spacing w:line="500" w:lineRule="auto"/>
        <w:ind w:left="0" w:firstLine="400" w:firstLineChars="0"/>
        <w:rPr>
          <w:rFonts w:hint="eastAsia"/>
        </w:rPr>
      </w:pPr>
      <w:r>
        <w:rPr>
          <w:rFonts w:hint="eastAsia"/>
          <w:lang w:val="en-US" w:eastAsia="zh-CN"/>
        </w:rPr>
        <w:t>开始钻孔作业，钻进时应先慢后快，开始每次进尺为40-50cm，确认地下是否不利地层，进尺5米后如钻进正常，可适当加大进尺，每次控制在70-90cm。通过钻斗的旋转、削土、提身、缷土和泥浆支撑护孔壁，反复循环成孔。钻孔作业采用分班工作连续进行，钻进的过程中须经常用泥浆检测仪检查泥浆比重、粘度、含砂率等，同时复测桩位中心及深度。钻孔过程中还应经常注意地层变化，根椐不同地层采用不同的钻进速度。在地层变化处捞取渣样，判明后记入钻孔登记表中，并对照设计资料绘制地质剖面图。旋挖钻孔在钻进过程中带出的孔渣用挖掘机装车，自缷汽车运往指定弃渣场。</w:t>
      </w:r>
    </w:p>
    <w:p>
      <w:pPr>
        <w:numPr>
          <w:ilvl w:val="0"/>
          <w:numId w:val="10"/>
        </w:numPr>
        <w:spacing w:line="500" w:lineRule="auto"/>
        <w:ind w:left="0" w:firstLine="400" w:leftChars="0" w:firstLineChars="0"/>
        <w:rPr>
          <w:rFonts w:hint="eastAsia"/>
        </w:rPr>
      </w:pPr>
      <w:r>
        <w:rPr>
          <w:rFonts w:hint="eastAsia"/>
          <w:lang w:val="en-US" w:eastAsia="zh-CN"/>
        </w:rPr>
        <w:t>成孔、成孔检查</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成孔达成设计标高后，对孔深、孔径、孔壁垂直度、沉淀厚度等进行检查，检测前准备好检测工具，测绳、检孔器等。检孔器应按如下规定制作：</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检孔器的外径D不小于设计桩径，长度为4-6D(D为桩孔直径)；</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 xml:space="preserve">标定测绳，测绳采用钢丝测绳，20米以内测锤重2Kg，20米以上测锤重3Kg。   </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测量护筒顶标高，根据桩顶设计标高计算孔深。以护筒顶面为基准面，用测绳测量孔深并记录，测量时测量五处（中心一处，四周相应副桩各测量一处）孔深按最小测量值，当最小测量值小于设计孔深时继续钻进。现场技术人员应严格控制孔深，不得用超钻代替钻渣沉淀。</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用检孔器检测孔径和孔的竖直度，检孔器对中后在孔内靠自重下沉，不借助其他外力顺利下至孔底，不断顿，证明钻孔符合规范及设计规定，如不能顺利下至孔底时，用钻机进行扩孔解决。</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检测标准：孔深、孔径不小于设计规定；钻孔倾斜度误差不大于1％；</w:t>
      </w:r>
    </w:p>
    <w:p>
      <w:pPr>
        <w:numPr>
          <w:ilvl w:val="0"/>
          <w:numId w:val="10"/>
        </w:numPr>
        <w:spacing w:line="500" w:lineRule="auto"/>
        <w:ind w:left="0" w:firstLine="400" w:leftChars="0" w:firstLineChars="0"/>
        <w:rPr>
          <w:rFonts w:hint="eastAsia"/>
        </w:rPr>
      </w:pPr>
      <w:r>
        <w:rPr>
          <w:rFonts w:hint="eastAsia"/>
          <w:lang w:val="en-US" w:eastAsia="zh-CN"/>
        </w:rPr>
        <w:t>清孔</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sectPr>
          <w:type w:val="nextPage"/>
          <w:pgSz w:w="11906" w:h="16838"/>
          <w:pgMar w:top="1134" w:right="1134" w:bottom="1134" w:left="1418" w:header="851" w:footer="992" w:gutter="0"/>
          <w:pgNumType w:fmt="decimal"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孔底清理紧接终孔检查后进行。钻到预定孔深后，换成捞渣钻，在原深处进行旋转清渣（10转/分钟），停止转动，提起钻杆，清孔后，用测绳检测孔深。测量孔底沉碴厚度符合技术规范规定。</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清孔结束后，孔底沉碴厚度不得大于50mm。如测出清孔的沉渣厚度不符合规定就可立即安排再次清孔，直至测出的沉渣厚度符合规定。</w:t>
      </w:r>
    </w:p>
    <w:p>
      <w:pPr>
        <w:numPr>
          <w:ilvl w:val="0"/>
          <w:numId w:val="10"/>
        </w:numPr>
        <w:spacing w:line="500" w:lineRule="auto"/>
        <w:ind w:left="0" w:firstLine="400" w:leftChars="0" w:firstLineChars="0"/>
        <w:rPr>
          <w:rFonts w:hint="eastAsia"/>
        </w:rPr>
      </w:pPr>
      <w:r>
        <w:rPr>
          <w:rFonts w:hint="eastAsia"/>
          <w:lang w:val="en-US" w:eastAsia="zh-CN"/>
        </w:rPr>
        <w:t>钻孔过程中钻机操作要领和注意事项：</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①、在钻进过程中应时刻注意钻机仪表，如仪表显示竖直度有变化，应及时进行调整，调整后钻进。</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②、钻进时记录每次的进尺深度并及时填写钻孔施工记录，交接班时应交待钻进情况及下一班的注意事项。</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③、因故停钻时，严禁钻头留在孔内，提钻后孔口加盖防护。</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④、旋挖钻孔应超挖30cm，以保证桩长，同排桩超挖深度应基本一致。</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⑤、在钻进过程中，设专人对地质状况进行检查。</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⑥、在钻进过程中，要根据地质情况调整钻机的钻进速度。在粘土层内，钻机的进尺控制在80-90cm/次旋挖，在砂土层中，钻机的进尺控制在40-50cm/次旋挖。</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⑦、在钻进过程中，钻杆的提高速度控制在0.4米/s。</w:t>
      </w:r>
    </w:p>
    <w:p>
      <w:pPr>
        <w:pStyle w:val="Heading4"/>
        <w:spacing w:line="500" w:lineRule="auto"/>
        <w:ind w:left="425" w:hanging="425" w:leftChars="0" w:firstLineChars="0"/>
        <w:rPr>
          <w:rFonts w:hint="eastAsia"/>
          <w:lang w:val="en-US" w:eastAsia="zh-CN"/>
        </w:rPr>
      </w:pPr>
      <w:bookmarkStart w:id="54" w:name="_Toc11626"/>
      <w:bookmarkStart w:id="55" w:name="_Toc5396"/>
      <w:bookmarkStart w:id="56" w:name="_Toc8035"/>
      <w:r>
        <w:rPr>
          <w:rFonts w:hint="eastAsia"/>
          <w:lang w:val="en-US" w:eastAsia="zh-CN"/>
        </w:rPr>
        <w:t>钢筋笼的制安</w:t>
      </w:r>
      <w:bookmarkEnd w:id="54"/>
      <w:bookmarkEnd w:id="55"/>
      <w:bookmarkEnd w:id="56"/>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sectPr>
          <w:type w:val="nextPage"/>
          <w:pgSz w:w="11906" w:h="16838"/>
          <w:pgMar w:top="1134" w:right="1134" w:bottom="1134" w:left="1418" w:header="851" w:footer="992" w:gutter="0"/>
          <w:pgNumType w:fmt="decimal"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钢筋笼采用场地制作(根据桩长和运送能力可分段制作)，板车运送，25t吊车结合人工安装。钢筋笼制作采用常规方法，先制作定型箍，然后在箍筋上按间距放样出主筋位置，再逐根将主筋按规定位置焊接在定型箍筋上，最后缠绕外层箍筋及定位筋。钢筋笼竖向主筋连接采用直螺纹机械连接(特别注意：由于防雷接地需要，每根桩基至少有1根竖向主筋在节段连接处必须采用双面搭接焊)，内箍筋采用焊接连接，外箍筋采用绑扎或焊接搭接，钢筋的焊接或机械连接质量必须满足相关规范规定。对于钢筋笼的吊装程序如下：</w:t>
      </w:r>
    </w:p>
    <w:p>
      <w:pPr>
        <w:spacing w:line="500" w:lineRule="auto"/>
        <w:rPr>
          <w:rFonts w:hint="eastAsia"/>
        </w:rPr>
      </w:pPr>
      <w:r>
        <w:rPr>
          <w:rFonts w:hint="eastAsia"/>
          <w:lang w:val="en-US" w:eastAsia="zh-CN"/>
        </w:rPr>
        <w:t>对钢筋笼加焊加强筋，防止在运送安装过程中钢筋笼变形。</w:t>
      </w:r>
    </w:p>
    <w:p>
      <w:pPr>
        <w:spacing w:line="500" w:lineRule="auto"/>
        <w:rPr>
          <w:rFonts w:hint="eastAsia"/>
        </w:rPr>
      </w:pPr>
      <w:r>
        <w:rPr>
          <w:rFonts w:hint="eastAsia"/>
          <w:lang w:val="en-US" w:eastAsia="zh-CN"/>
        </w:rPr>
        <w:t>钢筋笼采用吊车安放，起吊钢筋笼时，吊钩处用滑轮和钢丝绳连接钢扁担，勾挂钢筋笼。起吊用双吊点，第一吊点设在骨架的上部，使用主钩起吊。第二吊点设在骨架的中点到三分点之间。起吊时，先起吊第一吊点，将骨架稍提起，再与第二吊点同时起吊。待骨架离开地面后，第二吊点停止起吊并松钢丝绳，直到骨架与地面垂直后第一吊点停止起吊，解除第二吊点钢丝绳。</w:t>
      </w:r>
    </w:p>
    <w:p>
      <w:pPr>
        <w:spacing w:line="500" w:lineRule="auto"/>
        <w:rPr>
          <w:rFonts w:hint="eastAsia"/>
        </w:rPr>
      </w:pPr>
      <w:r>
        <w:rPr>
          <w:rFonts w:hint="eastAsia"/>
          <w:lang w:val="en-US" w:eastAsia="zh-CN"/>
        </w:rPr>
        <w:t>缓慢移动钢筋笼，将钢筋笼吊到孔位上方，对准孔位、扶稳，缓慢下放，依靠第一吊点的滑轮和钢筋笼自重，眼观使钢筋笼中心和钻孔的中心一致。</w:t>
      </w:r>
    </w:p>
    <w:p>
      <w:pPr>
        <w:spacing w:line="500" w:lineRule="auto"/>
        <w:rPr>
          <w:rFonts w:hint="eastAsia"/>
        </w:rPr>
      </w:pPr>
      <w:r>
        <w:rPr>
          <w:rFonts w:hint="eastAsia"/>
          <w:lang w:val="en-US" w:eastAsia="zh-CN"/>
        </w:rPr>
        <w:t>以护筒顶面为基准面，量测钢筋笼，当钢筋笼到达设计位置时，焊吊筋固定。当钢筋笼需接长时，先将第一节钢筋笼运用架立筋临时固定在护筒部位，然后吊起第二节钢筋笼，对准位置用焊接或套筒连接。焊接时可以使用多台电焊机同时焊接。</w:t>
      </w:r>
    </w:p>
    <w:p>
      <w:pPr>
        <w:spacing w:line="500" w:lineRule="auto"/>
        <w:rPr>
          <w:rFonts w:hint="eastAsia"/>
        </w:rPr>
      </w:pPr>
      <w:r>
        <w:rPr>
          <w:rFonts w:hint="eastAsia"/>
          <w:lang w:val="en-US" w:eastAsia="zh-CN"/>
        </w:rPr>
        <w:t>钢筋笼固定，可以采用在钢筋笼主筋上焊定四根吊筋，吊筋圈内穿穿杠，将钢筋笼固定。</w:t>
      </w:r>
    </w:p>
    <w:p>
      <w:pPr>
        <w:spacing w:line="500" w:lineRule="auto"/>
        <w:rPr>
          <w:rFonts w:hint="eastAsia"/>
        </w:rPr>
        <w:sectPr>
          <w:type w:val="nextPage"/>
          <w:pgSz w:w="11906" w:h="16838"/>
          <w:pgMar w:top="1134" w:right="1134" w:bottom="1134" w:left="1418" w:header="851" w:footer="992" w:gutter="0"/>
          <w:pgNumType w:fmt="decimal" w:start="22"/>
          <w:cols w:num="1" w:space="425"/>
          <w:titlePg w:val="0"/>
          <w:docGrid w:type="lines" w:linePitch="312" w:charSpace="0"/>
        </w:sectPr>
      </w:pPr>
    </w:p>
    <w:p>
      <w:pPr>
        <w:spacing w:line="500" w:lineRule="auto"/>
        <w:rPr>
          <w:rFonts w:hint="eastAsia"/>
        </w:rPr>
      </w:pPr>
      <w:r>
        <w:rPr>
          <w:rFonts w:hint="eastAsia"/>
          <w:lang w:val="en-US" w:eastAsia="zh-CN"/>
        </w:rPr>
        <w:t>钢筋笼安放完毕后，在钢筋笼对称钢筋上帮十字线，连接单桩护桩，拉十字线，用吊垂检查两十字交叉点是否重合。不符合规定期，应调整穿杠上的钢筋笼吊筋,使之重合。</w:t>
      </w:r>
    </w:p>
    <w:p>
      <w:pPr>
        <w:spacing w:line="500" w:lineRule="auto"/>
        <w:rPr>
          <w:rFonts w:hint="eastAsia"/>
        </w:rPr>
      </w:pPr>
      <w:r>
        <w:rPr>
          <w:rFonts w:hint="eastAsia"/>
          <w:lang w:val="en-US" w:eastAsia="zh-CN"/>
        </w:rPr>
        <w:t>钢筋骨架的制作和吊放的允许偏差为：</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主筋间距±10mm；螺旋筋间距±10mm；骨架外径±l0mm；骨架倾斜度±0.5％；骨架保护层厚度±20mm；骨架中心平面位置20mm；骨架顶端高程+20mm，骨架底面高程±50mm。</w:t>
      </w:r>
    </w:p>
    <w:p>
      <w:pPr>
        <w:pStyle w:val="Heading4"/>
        <w:spacing w:line="500" w:lineRule="auto"/>
        <w:ind w:left="425" w:hanging="425" w:leftChars="0" w:firstLineChars="0"/>
        <w:rPr>
          <w:rFonts w:hint="eastAsia"/>
          <w:lang w:val="en-US" w:eastAsia="zh-CN"/>
        </w:rPr>
      </w:pPr>
      <w:bookmarkStart w:id="57" w:name="_Toc20501"/>
      <w:bookmarkStart w:id="58" w:name="_Toc28801"/>
      <w:bookmarkStart w:id="59" w:name="_Toc9659"/>
      <w:r>
        <w:rPr>
          <w:rFonts w:hint="eastAsia"/>
          <w:lang w:val="en-US" w:eastAsia="zh-CN"/>
        </w:rPr>
        <w:t>灌注混凝土</w:t>
      </w:r>
      <w:bookmarkEnd w:id="57"/>
      <w:bookmarkEnd w:id="58"/>
      <w:bookmarkEnd w:id="59"/>
    </w:p>
    <w:p>
      <w:pPr>
        <w:spacing w:line="500" w:lineRule="auto"/>
        <w:rPr>
          <w:rFonts w:hint="eastAsia"/>
        </w:rPr>
      </w:pPr>
      <w:r>
        <w:rPr>
          <w:rFonts w:hint="eastAsia"/>
          <w:lang w:val="en-US" w:eastAsia="zh-CN"/>
        </w:rPr>
        <w:t>钢筋笼安放完毕及时进行砼灌注，减少成孔的停置时间，干法成孔的桩基采用垂直导管灌注砼，靠砼反压出导管形成的扰动产生振捣作用。 </w:t>
      </w:r>
    </w:p>
    <w:p>
      <w:pPr>
        <w:spacing w:line="500" w:lineRule="auto"/>
        <w:rPr>
          <w:rFonts w:ascii="仿宋" w:hAnsi="仿宋" w:cs="仿宋" w:hint="eastAsia"/>
          <w:szCs w:val="28"/>
        </w:rPr>
      </w:pPr>
      <w:r>
        <w:rPr>
          <w:rFonts w:ascii="仿宋" w:eastAsia="仿宋" w:hAnsi="仿宋" w:cs="仿宋" w:hint="eastAsia"/>
          <w:sz w:val="28"/>
          <w:szCs w:val="28"/>
          <w:lang w:val="en-US" w:eastAsia="zh-CN"/>
        </w:rPr>
        <w:t>导管及料斗安装：针对本桥大桩径的砼灌注的特点，本工程灌注砼的导管选择直径为Φ300mm、壁厚10mm无缝钢管（丝扣式连接），底节长度4m，标节长度3m，短接0.5m、1.0m和1.5m，并配备1个3.5m</w:t>
      </w:r>
      <w:r>
        <w:rPr>
          <w:rFonts w:ascii="仿宋" w:eastAsia="仿宋" w:hAnsi="仿宋" w:cs="仿宋" w:hint="eastAsia"/>
          <w:sz w:val="28"/>
          <w:szCs w:val="28"/>
          <w:vertAlign w:val="superscript"/>
          <w:lang w:val="en-US" w:eastAsia="zh-CN"/>
        </w:rPr>
        <w:t>3</w:t>
      </w:r>
      <w:r>
        <w:rPr>
          <w:rFonts w:ascii="仿宋" w:eastAsia="仿宋" w:hAnsi="仿宋" w:cs="仿宋" w:hint="eastAsia"/>
          <w:sz w:val="28"/>
          <w:szCs w:val="28"/>
          <w:lang w:val="en-US" w:eastAsia="zh-CN"/>
        </w:rPr>
        <w:t>的漏斗。混凝土导管必须事前试拼，并进行了水密实验和接头抗拉实验(厂家厂内实验)，然后分段尺寸编号，依次摆好，以便吊装。导管支撑架用型钢制作，支撑架支垫在护筒两侧的方木上，方木放置要平稳。严禁将支撑架放在护筒上。导管所有下入孔内后，应放到孔底，以便核对导管长度及孔深，然后提起30cm～40cm，开始浇注混凝土。 </w:t>
      </w:r>
    </w:p>
    <w:p>
      <w:pPr>
        <w:spacing w:line="500" w:lineRule="auto"/>
        <w:rPr>
          <w:rFonts w:hint="eastAsia"/>
        </w:rPr>
        <w:sectPr>
          <w:type w:val="nextPage"/>
          <w:pgSz w:w="11906" w:h="16838"/>
          <w:pgMar w:top="1134" w:right="1134" w:bottom="1134" w:left="1418" w:header="851" w:footer="992" w:gutter="0"/>
          <w:pgNumType w:fmt="decimal" w:start="23"/>
          <w:cols w:num="1" w:space="425"/>
          <w:titlePg w:val="0"/>
          <w:docGrid w:type="lines" w:linePitch="312" w:charSpace="0"/>
        </w:sectPr>
      </w:pPr>
    </w:p>
    <w:p>
      <w:pPr>
        <w:spacing w:line="500" w:lineRule="auto"/>
        <w:rPr>
          <w:rFonts w:hint="eastAsia"/>
        </w:rPr>
      </w:pPr>
      <w:r>
        <w:rPr>
          <w:rFonts w:hint="eastAsia"/>
          <w:lang w:val="en-US" w:eastAsia="zh-CN"/>
        </w:rPr>
        <w:t>采用无水砼灌注法施工，在砼通过导管进入桩孔底部时，由于落差过大会对桩基底部产生强大的冲力产生振动，诱使桩孔局部砂层、砾石层脱落，容易出现塌孔现象，故此在第一料斗砼灌注前在导管内安放一直径为300mm空心橡胶球（即水下灌注砼时用的避水球），球内充气，致使砼下落时起到缓冲作用，减少砼下落的速度。 </w:t>
      </w:r>
    </w:p>
    <w:p>
      <w:pPr>
        <w:spacing w:line="500" w:lineRule="auto"/>
        <w:rPr>
          <w:rFonts w:hint="eastAsia"/>
        </w:rPr>
      </w:pPr>
      <w:r>
        <w:rPr>
          <w:rFonts w:hint="eastAsia"/>
          <w:lang w:val="en-US" w:eastAsia="zh-CN"/>
        </w:rPr>
        <w:t>每车混凝土灌注前检测混凝土出场、入模的坍落度和出场、入模温度，坍落度应在180-200mm之间，温度应在5℃度以上。 混凝土由罐车运至现场后，采用吊车吊储料斗运进行灌注。</w:t>
      </w:r>
    </w:p>
    <w:p>
      <w:pPr>
        <w:spacing w:line="500" w:lineRule="auto"/>
        <w:rPr>
          <w:rFonts w:hint="eastAsia"/>
        </w:rPr>
      </w:pPr>
      <w:r>
        <w:rPr>
          <w:rFonts w:hint="eastAsia"/>
          <w:lang w:val="en-US" w:eastAsia="zh-CN"/>
        </w:rPr>
        <w:t>控制要点：</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①、灌注开始后，应连续地进行，准备好导管拆卸机具，缩短拆除导管的时间间隔，防止塌孔。</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②、开始灌注时，砼面高度将至钢筋笼底部时要放慢灌注速度，当孔内混凝土顶面距钢筋笼底部1m时，混凝土灌注速度应控制在0.2 m/min左右，并仔细量测砼表面高度，以防钢筋笼上浮，当混凝土拌和物上升到钢筋笼底口4m以上时，提高、拆除导管，使混凝土灌注导管底口高于钢筋笼底部2m以上，恢复0.5m/min左右的正常灌注速度。</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③、钻孔灌注桩施工全过程中，现场技术员应真实可靠地做好记录，记录结果应经监理工程师认可，如钻孔记录、终孔检查记录、砼灌注记录。</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④、桩基混凝土强度达成设计强度且龄期不小于14天采用超声波检测法进行桩基质量检测；桩基检测管待桩基质量检测后压注水泥浆封闭。</w:t>
      </w:r>
    </w:p>
    <w:p>
      <w:pPr>
        <w:pStyle w:val="Heading4"/>
        <w:spacing w:line="500" w:lineRule="auto"/>
        <w:ind w:left="425" w:hanging="425" w:leftChars="0" w:firstLineChars="0"/>
        <w:rPr>
          <w:rFonts w:hint="eastAsia"/>
          <w:lang w:val="en-US" w:eastAsia="zh-CN"/>
        </w:rPr>
      </w:pPr>
      <w:bookmarkStart w:id="60" w:name="_Toc18461"/>
      <w:bookmarkStart w:id="61" w:name="_Toc15900"/>
      <w:r>
        <w:rPr>
          <w:rFonts w:hint="eastAsia"/>
          <w:lang w:val="en-US" w:eastAsia="zh-CN"/>
        </w:rPr>
        <w:t>砼灌注事故的防止及解决</w:t>
      </w:r>
      <w:bookmarkEnd w:id="60"/>
      <w:bookmarkEnd w:id="61"/>
    </w:p>
    <w:p>
      <w:pPr>
        <w:spacing w:line="500" w:lineRule="auto"/>
        <w:rPr>
          <w:rFonts w:hint="eastAsia"/>
        </w:rPr>
        <w:sectPr>
          <w:type w:val="nextPage"/>
          <w:pgSz w:w="11906" w:h="16838"/>
          <w:pgMar w:top="1134" w:right="1134" w:bottom="1134" w:left="1418" w:header="851" w:footer="992" w:gutter="0"/>
          <w:pgNumType w:fmt="decimal" w:start="24"/>
          <w:cols w:num="1" w:space="425"/>
          <w:titlePg w:val="0"/>
          <w:docGrid w:type="lines" w:linePitch="312" w:charSpace="0"/>
        </w:sectPr>
      </w:pPr>
      <w:bookmarkStart w:id="62" w:name="_Toc12340"/>
      <w:r>
        <w:rPr>
          <w:rFonts w:hint="eastAsia"/>
          <w:lang w:val="en-US" w:eastAsia="zh-CN"/>
        </w:rPr>
        <w:t>导管</w:t>
      </w:r>
      <w:bookmarkEnd w:id="62"/>
      <w:r>
        <w:rPr>
          <w:rFonts w:hint="eastAsia"/>
          <w:lang w:val="en-US" w:eastAsia="zh-CN"/>
        </w:rPr>
        <w:t>卡管、坍孔、埋管、钢筋笼上升、灌注桩补强方法等问题详见《重庆水土嘉陵江大桥工程---桩基础施工技术方案》。</w:t>
      </w:r>
    </w:p>
    <w:p>
      <w:pPr>
        <w:pStyle w:val="Heading3"/>
        <w:spacing w:line="500" w:lineRule="auto"/>
        <w:rPr>
          <w:rFonts w:hint="eastAsia"/>
          <w:lang w:val="en-US" w:eastAsia="zh-CN"/>
        </w:rPr>
      </w:pPr>
      <w:bookmarkStart w:id="63" w:name="_Toc23453"/>
      <w:r>
        <w:rPr>
          <w:rFonts w:hint="eastAsia"/>
          <w:lang w:val="en-US" w:eastAsia="zh-CN"/>
        </w:rPr>
        <w:t>挡土板施工</w:t>
      </w:r>
      <w:bookmarkEnd w:id="63"/>
    </w:p>
    <w:p>
      <w:pPr>
        <w:pStyle w:val="Heading4"/>
        <w:numPr>
          <w:ilvl w:val="0"/>
          <w:numId w:val="32"/>
        </w:numPr>
        <w:spacing w:line="500" w:lineRule="auto"/>
        <w:ind w:left="425" w:firstLine="0" w:leftChars="0" w:firstLineChars="0"/>
        <w:rPr>
          <w:rFonts w:hint="eastAsia"/>
          <w:lang w:val="en-US" w:eastAsia="zh-CN"/>
        </w:rPr>
      </w:pPr>
      <w:bookmarkStart w:id="64" w:name="_Toc8328"/>
      <w:r>
        <w:rPr>
          <w:rFonts w:hint="eastAsia"/>
          <w:lang w:val="en-US" w:eastAsia="zh-CN"/>
        </w:rPr>
        <w:t>施工准备 </w:t>
      </w:r>
      <w:bookmarkEnd w:id="64"/>
    </w:p>
    <w:p>
      <w:pPr>
        <w:spacing w:line="500" w:lineRule="auto"/>
        <w:rPr>
          <w:rFonts w:hint="eastAsia"/>
        </w:rPr>
      </w:pPr>
      <w:r>
        <w:rPr>
          <w:rFonts w:hint="eastAsia"/>
          <w:lang w:val="en-US" w:eastAsia="zh-CN"/>
        </w:rPr>
        <w:t>挡土板工程开工前，对各岗位工作人员要进行全面的技术、质量和安全交底。凡没有通过技术交底和安全交底的工程项目不得开工。一方面要组织有关技术人员认真了解、熟悉施工设计图纸以及国家和地方强制执行的安全规范、规程，制定具体的实行性施工组织设计和安全专项方案，使每个技术人员充足理解工程技术规定和质量规定，在施工过程中做到心中有数。 </w:t>
      </w:r>
    </w:p>
    <w:p>
      <w:pPr>
        <w:spacing w:line="500" w:lineRule="auto"/>
        <w:rPr>
          <w:rFonts w:hint="eastAsia"/>
          <w:b w:val="0"/>
        </w:rPr>
      </w:pPr>
      <w:r>
        <w:rPr>
          <w:rFonts w:eastAsia="仿宋" w:hint="eastAsia"/>
          <w:b w:val="0"/>
          <w:sz w:val="28"/>
          <w:lang w:val="en-US" w:eastAsia="zh-CN"/>
        </w:rPr>
        <w:t>1</w:t>
      </w:r>
      <w:r>
        <w:rPr>
          <w:rFonts w:hint="eastAsia"/>
          <w:b w:val="0"/>
          <w:sz w:val="28"/>
          <w:lang w:val="en-US" w:eastAsia="zh-CN"/>
        </w:rPr>
        <w:t>.</w:t>
      </w:r>
      <w:r>
        <w:rPr>
          <w:rFonts w:eastAsia="仿宋" w:hint="eastAsia"/>
          <w:b w:val="0"/>
          <w:sz w:val="28"/>
          <w:lang w:val="en-US" w:eastAsia="zh-CN"/>
        </w:rPr>
        <w:t>技术交底均应有记录，技术交底在开工之前进行。技术交底力求要准确详尽，内容涉及设计技术标准、施工方案、施工方法、工艺规定、工期安排、技术措施和操作规程等，以及安全、质量、进度、环保、水保、文明施工等措施。 </w:t>
      </w:r>
    </w:p>
    <w:p>
      <w:pPr>
        <w:spacing w:line="500" w:lineRule="auto"/>
        <w:rPr>
          <w:rFonts w:hint="eastAsia"/>
          <w:b w:val="0"/>
        </w:rPr>
      </w:pPr>
      <w:r>
        <w:rPr>
          <w:rFonts w:eastAsia="仿宋" w:hint="eastAsia"/>
          <w:b w:val="0"/>
          <w:sz w:val="28"/>
          <w:lang w:val="en-US" w:eastAsia="zh-CN"/>
        </w:rPr>
        <w:t>2</w:t>
      </w:r>
      <w:r>
        <w:rPr>
          <w:rFonts w:hint="eastAsia"/>
          <w:b w:val="0"/>
          <w:sz w:val="28"/>
          <w:lang w:val="en-US" w:eastAsia="zh-CN"/>
        </w:rPr>
        <w:t>.</w:t>
      </w:r>
      <w:r>
        <w:rPr>
          <w:rFonts w:eastAsia="仿宋" w:hint="eastAsia"/>
          <w:b w:val="0"/>
          <w:sz w:val="28"/>
          <w:lang w:val="en-US" w:eastAsia="zh-CN"/>
        </w:rPr>
        <w:t>安全交底应按照逐级、全面、具体的原则，要涉及具体施工和技术管理的全体人员，内容要涵盖施工工艺流程的各个环节，使参与施工的员工能更好地熟悉和了解所承担工作的各项安全注意事项，把“安全第一，防止为主”的方针贯彻到实处。 </w:t>
      </w:r>
    </w:p>
    <w:p>
      <w:pPr>
        <w:spacing w:line="500" w:lineRule="auto"/>
        <w:rPr>
          <w:rFonts w:hint="eastAsia"/>
          <w:b w:val="0"/>
        </w:rPr>
        <w:sectPr>
          <w:type w:val="nextPage"/>
          <w:pgSz w:w="11906" w:h="16838"/>
          <w:pgMar w:top="1134" w:right="1134" w:bottom="1134" w:left="1418" w:header="851" w:footer="992" w:gutter="0"/>
          <w:pgNumType w:fmt="decimal" w:start="25"/>
          <w:cols w:num="1" w:space="425"/>
          <w:titlePg w:val="0"/>
          <w:docGrid w:type="lines" w:linePitch="312" w:charSpace="0"/>
        </w:sectPr>
      </w:pPr>
      <w:r>
        <w:rPr>
          <w:rFonts w:eastAsia="仿宋" w:hint="eastAsia"/>
          <w:b w:val="0"/>
          <w:sz w:val="28"/>
          <w:lang w:val="en-US" w:eastAsia="zh-CN"/>
        </w:rPr>
        <w:t>3</w:t>
      </w:r>
      <w:r>
        <w:rPr>
          <w:rFonts w:hint="eastAsia"/>
          <w:b w:val="0"/>
          <w:sz w:val="28"/>
          <w:lang w:val="en-US" w:eastAsia="zh-CN"/>
        </w:rPr>
        <w:t>.</w:t>
      </w:r>
      <w:r>
        <w:rPr>
          <w:rFonts w:eastAsia="仿宋" w:hint="eastAsia"/>
          <w:b w:val="0"/>
          <w:sz w:val="28"/>
          <w:lang w:val="en-US" w:eastAsia="zh-CN"/>
        </w:rPr>
        <w:t>做好有关</w:t>
      </w:r>
      <w:r>
        <w:rPr>
          <w:rFonts w:hint="eastAsia"/>
          <w:b w:val="0"/>
          <w:sz w:val="28"/>
          <w:lang w:val="en-US" w:eastAsia="zh-CN"/>
        </w:rPr>
        <w:t>混凝土</w:t>
      </w:r>
    </w:p>
    <w:p>
      <w:pPr>
        <w:spacing w:line="500" w:lineRule="auto"/>
        <w:rPr>
          <w:rFonts w:hint="eastAsia"/>
          <w:b w:val="0"/>
        </w:rPr>
      </w:pPr>
      <w:r>
        <w:rPr>
          <w:rFonts w:eastAsia="仿宋" w:hint="eastAsia"/>
          <w:b w:val="0"/>
          <w:sz w:val="28"/>
          <w:lang w:val="en-US" w:eastAsia="zh-CN"/>
        </w:rPr>
        <w:t>实验检测工作，材料部及时告知实验室及质安部，实验、质检人员进行抽检，保证用于工程施工的材料均为合格品。由控制点直接测放出挡土墙的中心轴线，再复测它的地面高程及断面，经监理工程师签认后，放出桩间挡板开挖线。挡板开挖用机械分段作业，人工辅助配合到位，桩间挡板的成型宽度应符合设计规定，用人工清理不平整的挡土面；保证挡土板施工的宽度。桩间挡土板面局部位于岩石基础上时，应清除不平整的岩石，不平部分用C30混凝土填平。 </w:t>
      </w:r>
    </w:p>
    <w:p>
      <w:pPr>
        <w:pStyle w:val="Heading4"/>
        <w:numPr>
          <w:ilvl w:val="0"/>
          <w:numId w:val="11"/>
        </w:numPr>
        <w:spacing w:line="500" w:lineRule="auto"/>
        <w:ind w:left="425" w:hanging="425" w:leftChars="0" w:firstLineChars="0"/>
        <w:rPr>
          <w:rFonts w:hint="eastAsia"/>
          <w:lang w:val="en-US" w:eastAsia="zh-CN"/>
        </w:rPr>
      </w:pPr>
      <w:bookmarkStart w:id="65" w:name="_Toc15605"/>
      <w:r>
        <w:rPr>
          <w:rFonts w:hint="eastAsia"/>
          <w:lang w:val="en-US" w:eastAsia="zh-CN"/>
        </w:rPr>
        <w:t> 工艺流程 </w:t>
      </w:r>
      <w:bookmarkEnd w:id="65"/>
    </w:p>
    <w:p>
      <w:pPr>
        <w:spacing w:line="500" w:lineRule="auto"/>
        <w:rPr>
          <w:rFonts w:hint="eastAsia"/>
          <w:b w:val="0"/>
        </w:rPr>
      </w:pPr>
      <w:r>
        <w:rPr>
          <w:rFonts w:eastAsia="仿宋" w:hint="eastAsia"/>
          <w:b w:val="0"/>
          <w:sz w:val="28"/>
          <w:lang w:val="en-US" w:eastAsia="zh-CN"/>
        </w:rPr>
        <w:t>施工准备→测量放线→桩间挡土板墙开挖→桩间板面宽度复测→植筋、钢筋绑扎→支模→桩间挡墙砼浇筑→养护→反复以上工艺流程直至竣工→墙背回填→验收 </w:t>
      </w:r>
    </w:p>
    <w:p>
      <w:pPr>
        <w:pStyle w:val="Heading4"/>
        <w:numPr>
          <w:ilvl w:val="0"/>
          <w:numId w:val="11"/>
        </w:numPr>
        <w:spacing w:line="500" w:lineRule="auto"/>
        <w:ind w:left="425" w:hanging="425" w:leftChars="0" w:firstLineChars="0"/>
        <w:rPr>
          <w:rFonts w:hint="eastAsia"/>
          <w:lang w:val="en-US" w:eastAsia="zh-CN"/>
        </w:rPr>
      </w:pPr>
      <w:bookmarkStart w:id="66" w:name="_Toc10710"/>
      <w:r>
        <w:rPr>
          <w:rFonts w:hint="eastAsia"/>
          <w:lang w:val="en-US" w:eastAsia="zh-CN"/>
        </w:rPr>
        <w:t>桩间挡土板墙及基槽开挖 </w:t>
      </w:r>
      <w:bookmarkEnd w:id="66"/>
    </w:p>
    <w:p>
      <w:pPr>
        <w:spacing w:line="500" w:lineRule="auto"/>
        <w:rPr>
          <w:rFonts w:hint="eastAsia"/>
          <w:b w:val="0"/>
        </w:rPr>
      </w:pPr>
      <w:r>
        <w:rPr>
          <w:rFonts w:hint="eastAsia"/>
          <w:b w:val="0"/>
          <w:sz w:val="28"/>
          <w:lang w:val="en-US" w:eastAsia="zh-CN"/>
        </w:rPr>
        <w:t>因挡土板背有0.3m*0.3m*0.3m的砂卵石反滤包，开挖挡土板土方时，开挖尺寸不小于墙体厚度+0.3m滤水层，施工时，尽量选少雨的期间进行施工。土方</w:t>
      </w:r>
      <w:r>
        <w:rPr>
          <w:rFonts w:eastAsia="仿宋" w:hint="eastAsia"/>
          <w:b w:val="0"/>
          <w:sz w:val="28"/>
          <w:lang w:val="en-US" w:eastAsia="zh-CN"/>
        </w:rPr>
        <w:t>采用挖掘机、破碎机及人工配合进行桩间挡土板开挖，开挖高度根据现场地质情况以2米为宜进行分段分层开挖，并根据现场情况调整，施工时需采用有效措施保证开挖安全。机械开挖至挡土板面设计标高以上30cm时，重新进行测量放样，拟定开挖对的不偏位的情况下改用人工进行板面宽度清理，保证桩间</w:t>
      </w:r>
      <w:r>
        <w:rPr>
          <w:rFonts w:hint="eastAsia"/>
          <w:b w:val="0"/>
          <w:sz w:val="28"/>
          <w:lang w:val="en-US" w:eastAsia="zh-CN"/>
        </w:rPr>
        <w:t>挡土板</w:t>
      </w:r>
      <w:r>
        <w:rPr>
          <w:rFonts w:eastAsia="仿宋" w:hint="eastAsia"/>
          <w:b w:val="0"/>
          <w:sz w:val="28"/>
          <w:lang w:val="en-US" w:eastAsia="zh-CN"/>
        </w:rPr>
        <w:t>厚度符合设计及相关规范规定。  </w:t>
      </w:r>
    </w:p>
    <w:p>
      <w:pPr>
        <w:spacing w:line="500" w:lineRule="auto"/>
        <w:rPr>
          <w:rFonts w:hint="eastAsia"/>
          <w:b w:val="0"/>
        </w:rPr>
      </w:pPr>
      <w:r>
        <w:rPr>
          <w:rFonts w:hint="eastAsia"/>
          <w:lang w:val="en-US" w:eastAsia="zh-CN"/>
        </w:rPr>
        <w:t>根据设计规定，</w:t>
      </w:r>
      <w:r>
        <w:rPr>
          <w:rFonts w:eastAsia="仿宋" w:hint="eastAsia"/>
          <w:b w:val="0"/>
          <w:sz w:val="28"/>
          <w:lang w:val="en-US" w:eastAsia="zh-CN"/>
        </w:rPr>
        <w:t>桩间挡</w:t>
      </w:r>
      <w:r>
        <w:rPr>
          <w:rFonts w:hint="eastAsia"/>
          <w:b w:val="0"/>
          <w:sz w:val="28"/>
          <w:lang w:val="en-US" w:eastAsia="zh-CN"/>
        </w:rPr>
        <w:t>土板需嵌入岩石50cm，</w:t>
      </w:r>
      <w:r>
        <w:rPr>
          <w:rFonts w:eastAsia="仿宋" w:hint="eastAsia"/>
          <w:b w:val="0"/>
          <w:sz w:val="28"/>
          <w:lang w:val="en-US" w:eastAsia="zh-CN"/>
        </w:rPr>
        <w:t>挖机</w:t>
      </w:r>
      <w:r>
        <w:rPr>
          <w:rFonts w:hint="eastAsia"/>
          <w:b w:val="0"/>
          <w:sz w:val="28"/>
          <w:lang w:val="en-US" w:eastAsia="zh-CN"/>
        </w:rPr>
        <w:t>挖至岩土分界线后改用炮击</w:t>
      </w:r>
      <w:r>
        <w:rPr>
          <w:rFonts w:eastAsia="仿宋" w:hint="eastAsia"/>
          <w:b w:val="0"/>
          <w:sz w:val="28"/>
          <w:lang w:val="en-US" w:eastAsia="zh-CN"/>
        </w:rPr>
        <w:t>破碎</w:t>
      </w:r>
      <w:r>
        <w:rPr>
          <w:rFonts w:hint="eastAsia"/>
          <w:b w:val="0"/>
          <w:sz w:val="28"/>
          <w:lang w:val="en-US" w:eastAsia="zh-CN"/>
        </w:rPr>
        <w:t>基槽</w:t>
      </w:r>
      <w:r>
        <w:rPr>
          <w:rFonts w:eastAsia="仿宋" w:hint="eastAsia"/>
          <w:b w:val="0"/>
          <w:sz w:val="28"/>
          <w:lang w:val="en-US" w:eastAsia="zh-CN"/>
        </w:rPr>
        <w:t>，挖机配合</w:t>
      </w:r>
      <w:r>
        <w:rPr>
          <w:rFonts w:hint="eastAsia"/>
          <w:b w:val="0"/>
          <w:sz w:val="28"/>
          <w:lang w:val="en-US" w:eastAsia="zh-CN"/>
        </w:rPr>
        <w:t>人工</w:t>
      </w:r>
      <w:r>
        <w:rPr>
          <w:rFonts w:eastAsia="仿宋" w:hint="eastAsia"/>
          <w:b w:val="0"/>
          <w:sz w:val="28"/>
          <w:lang w:val="en-US" w:eastAsia="zh-CN"/>
        </w:rPr>
        <w:t>清渣的方法进行施工，开挖过程中密切灌注边坡稳定性，如发现坑边沿顶面土有裂纹情况出现，应及时予以可靠的支撑。</w:t>
      </w:r>
    </w:p>
    <w:p>
      <w:pPr>
        <w:spacing w:line="500" w:lineRule="auto"/>
        <w:rPr>
          <w:rFonts w:hint="eastAsia"/>
          <w:b w:val="0"/>
        </w:rPr>
        <w:sectPr>
          <w:type w:val="nextPage"/>
          <w:pgSz w:w="11906" w:h="16838"/>
          <w:pgMar w:top="1134" w:right="1134" w:bottom="1134" w:left="1418" w:header="851" w:footer="992" w:gutter="0"/>
          <w:pgNumType w:fmt="decimal" w:start="26"/>
          <w:cols w:num="1" w:space="425"/>
          <w:titlePg w:val="0"/>
          <w:docGrid w:type="lines" w:linePitch="312" w:charSpace="0"/>
        </w:sectPr>
      </w:pPr>
      <w:r>
        <w:rPr>
          <w:rFonts w:eastAsia="仿宋" w:hint="eastAsia"/>
          <w:b w:val="0"/>
          <w:sz w:val="28"/>
          <w:lang w:val="en-US" w:eastAsia="zh-CN"/>
        </w:rPr>
        <w:t>在开挖基槽时，应准备塑料薄膜，以便下雨时在边坡上铺塑料薄膜，在坡顶及坡脚用砖压住薄膜，并在周边基槽外挖一定的小沟，以防边槽外的雨水流进基槽内。在基槽底部做一小沟，在一定的距离内特别在有地下水处做一小集水井，用潜水泵将水排出。 </w:t>
      </w:r>
    </w:p>
    <w:p>
      <w:pPr>
        <w:spacing w:line="500" w:lineRule="auto"/>
        <w:rPr>
          <w:rFonts w:hint="eastAsia"/>
          <w:b w:val="0"/>
        </w:rPr>
      </w:pPr>
      <w:r>
        <w:rPr>
          <w:rFonts w:hint="eastAsia"/>
          <w:b w:val="0"/>
          <w:sz w:val="28"/>
          <w:lang w:val="en-US" w:eastAsia="zh-CN"/>
        </w:rPr>
        <w:t>挡土板土方及基槽开挖完毕后，报监理工程师检查墙低地质，符合设计规定后，才干进行下一步施工。假如挡土板基底地质与设计不符，地基承载力不满足设计规定，必须联系设计单位进行现场查看解决。</w:t>
      </w:r>
    </w:p>
    <w:p>
      <w:pPr>
        <w:pStyle w:val="Heading4"/>
        <w:numPr>
          <w:ilvl w:val="0"/>
          <w:numId w:val="11"/>
        </w:numPr>
        <w:spacing w:line="500" w:lineRule="auto"/>
        <w:ind w:left="425" w:hanging="425" w:leftChars="0" w:firstLineChars="0"/>
        <w:rPr>
          <w:rFonts w:hint="eastAsia"/>
          <w:lang w:val="en-US" w:eastAsia="zh-CN"/>
        </w:rPr>
      </w:pPr>
      <w:bookmarkStart w:id="67" w:name="_Toc20905"/>
      <w:r>
        <w:rPr>
          <w:rFonts w:hint="eastAsia"/>
          <w:lang w:val="en-US" w:eastAsia="zh-CN"/>
        </w:rPr>
        <w:t>钢筋工程 </w:t>
      </w:r>
      <w:bookmarkEnd w:id="67"/>
    </w:p>
    <w:p>
      <w:pPr>
        <w:spacing w:line="500" w:lineRule="auto"/>
        <w:rPr>
          <w:rFonts w:hint="eastAsia"/>
          <w:b w:val="0"/>
        </w:rPr>
      </w:pPr>
      <w:r>
        <w:rPr>
          <w:rFonts w:eastAsia="仿宋" w:hint="eastAsia"/>
          <w:b w:val="0"/>
          <w:sz w:val="28"/>
          <w:lang w:val="en-US" w:eastAsia="zh-CN"/>
        </w:rPr>
        <w:t>挡土板水平</w:t>
      </w:r>
      <w:r>
        <w:rPr>
          <w:rFonts w:hint="eastAsia"/>
          <w:b w:val="0"/>
          <w:sz w:val="28"/>
          <w:lang w:val="en-US" w:eastAsia="zh-CN"/>
        </w:rPr>
        <w:t>、竖向</w:t>
      </w:r>
      <w:r>
        <w:rPr>
          <w:rFonts w:eastAsia="仿宋" w:hint="eastAsia"/>
          <w:b w:val="0"/>
          <w:sz w:val="28"/>
          <w:lang w:val="en-US" w:eastAsia="zh-CN"/>
        </w:rPr>
        <w:t>筋</w:t>
      </w:r>
      <w:r>
        <w:rPr>
          <w:rFonts w:hint="eastAsia"/>
          <w:b w:val="0"/>
          <w:sz w:val="28"/>
          <w:lang w:val="en-US" w:eastAsia="zh-CN"/>
        </w:rPr>
        <w:t>都</w:t>
      </w:r>
      <w:r>
        <w:rPr>
          <w:rFonts w:eastAsia="仿宋" w:hint="eastAsia"/>
          <w:b w:val="0"/>
          <w:sz w:val="28"/>
          <w:lang w:val="en-US" w:eastAsia="zh-CN"/>
        </w:rPr>
        <w:t>为HRB</w:t>
      </w:r>
      <w:r>
        <w:rPr>
          <w:rFonts w:hint="eastAsia"/>
          <w:b w:val="0"/>
          <w:sz w:val="28"/>
          <w:lang w:val="en-US" w:eastAsia="zh-CN"/>
        </w:rPr>
        <w:t>400Φ14</w:t>
      </w:r>
      <w:r>
        <w:rPr>
          <w:rFonts w:eastAsia="仿宋" w:hint="eastAsia"/>
          <w:b w:val="0"/>
          <w:sz w:val="28"/>
          <w:lang w:val="en-US" w:eastAsia="zh-CN"/>
        </w:rPr>
        <w:t>,拉结筋为HPB</w:t>
      </w:r>
      <w:r>
        <w:rPr>
          <w:rFonts w:hint="eastAsia"/>
          <w:b w:val="0"/>
          <w:sz w:val="28"/>
          <w:lang w:val="en-US" w:eastAsia="zh-CN"/>
        </w:rPr>
        <w:t>300Φ8</w:t>
      </w:r>
      <w:r>
        <w:rPr>
          <w:rFonts w:eastAsia="仿宋" w:hint="eastAsia"/>
          <w:b w:val="0"/>
          <w:sz w:val="28"/>
          <w:lang w:val="en-US" w:eastAsia="zh-CN"/>
        </w:rPr>
        <w:t>。挡土板竖向采用分段施工方法，每2米为一个施工段。顶部钢筋进一步连梁内的锚固长度为20d，其余各施工段之间竖向钢筋通过绑扎搭接进行连接，搭接长度按11G101图集施工。 </w:t>
      </w:r>
    </w:p>
    <w:p>
      <w:pPr>
        <w:spacing w:line="500" w:lineRule="auto"/>
        <w:rPr>
          <w:rFonts w:hint="eastAsia"/>
          <w:b w:val="0"/>
        </w:rPr>
      </w:pPr>
      <w:r>
        <w:rPr>
          <w:rFonts w:eastAsia="仿宋" w:hint="eastAsia"/>
          <w:b w:val="0"/>
          <w:sz w:val="28"/>
          <w:lang w:val="en-US" w:eastAsia="zh-CN"/>
        </w:rPr>
        <w:t>挡土板水平筋桩连接采用植筋方式，植筋锚固长度为</w:t>
      </w:r>
      <w:r>
        <w:rPr>
          <w:rFonts w:hint="eastAsia"/>
          <w:b w:val="0"/>
          <w:sz w:val="28"/>
          <w:lang w:val="en-US" w:eastAsia="zh-CN"/>
        </w:rPr>
        <w:t>15</w:t>
      </w:r>
      <w:r>
        <w:rPr>
          <w:rFonts w:eastAsia="仿宋" w:hint="eastAsia"/>
          <w:b w:val="0"/>
          <w:sz w:val="28"/>
          <w:lang w:val="en-US" w:eastAsia="zh-CN"/>
        </w:rPr>
        <w:t>d，挡土板水平钢筋通过绑扎搭接与所植钢筋进行连接，临空侧搭接接头位于</w:t>
      </w:r>
      <w:r>
        <w:rPr>
          <w:rFonts w:hint="eastAsia"/>
          <w:b w:val="0"/>
          <w:sz w:val="28"/>
          <w:lang w:val="en-US" w:eastAsia="zh-CN"/>
        </w:rPr>
        <w:t>抗滑桩</w:t>
      </w:r>
      <w:r>
        <w:rPr>
          <w:rFonts w:eastAsia="仿宋" w:hint="eastAsia"/>
          <w:b w:val="0"/>
          <w:sz w:val="28"/>
          <w:lang w:val="en-US" w:eastAsia="zh-CN"/>
        </w:rPr>
        <w:t>1/3，靠土侧搭接接头位于跨中1/3。 </w:t>
      </w:r>
    </w:p>
    <w:p>
      <w:pPr>
        <w:spacing w:line="500" w:lineRule="auto"/>
        <w:rPr>
          <w:rFonts w:hint="eastAsia"/>
          <w:b w:val="0"/>
        </w:rPr>
      </w:pPr>
      <w:r>
        <w:rPr>
          <w:rFonts w:eastAsia="仿宋" w:hint="eastAsia"/>
          <w:b w:val="0"/>
          <w:sz w:val="28"/>
          <w:lang w:val="en-US" w:eastAsia="zh-CN"/>
        </w:rPr>
        <w:t>反搭接区段范围内，搭接接头均应互相错开，同一搭接接头面积百分率不应＞50%。 拉结筋间距为</w:t>
      </w:r>
      <w:r>
        <w:rPr>
          <w:rFonts w:hint="eastAsia"/>
          <w:b w:val="0"/>
          <w:sz w:val="28"/>
          <w:lang w:val="en-US" w:eastAsia="zh-CN"/>
        </w:rPr>
        <w:t>2</w:t>
      </w:r>
      <w:r>
        <w:rPr>
          <w:rFonts w:eastAsia="仿宋" w:hint="eastAsia"/>
          <w:b w:val="0"/>
          <w:sz w:val="28"/>
          <w:lang w:val="en-US" w:eastAsia="zh-CN"/>
        </w:rPr>
        <w:t>00*</w:t>
      </w:r>
      <w:r>
        <w:rPr>
          <w:rFonts w:hint="eastAsia"/>
          <w:b w:val="0"/>
          <w:sz w:val="28"/>
          <w:lang w:val="en-US" w:eastAsia="zh-CN"/>
        </w:rPr>
        <w:t>2</w:t>
      </w:r>
      <w:r>
        <w:rPr>
          <w:rFonts w:eastAsia="仿宋" w:hint="eastAsia"/>
          <w:b w:val="0"/>
          <w:sz w:val="28"/>
          <w:lang w:val="en-US" w:eastAsia="zh-CN"/>
        </w:rPr>
        <w:t>00mm，采用梅花形布置，拉结筋必须同时勾住水平和竖向钢筋，并绑扎牢固。 </w:t>
      </w:r>
    </w:p>
    <w:p>
      <w:pPr>
        <w:spacing w:line="500" w:lineRule="auto"/>
        <w:rPr>
          <w:rFonts w:hint="eastAsia"/>
          <w:b w:val="0"/>
        </w:rPr>
      </w:pPr>
      <w:r>
        <w:rPr>
          <w:rFonts w:eastAsia="仿宋" w:hint="eastAsia"/>
          <w:b w:val="0"/>
          <w:sz w:val="28"/>
          <w:lang w:val="en-US" w:eastAsia="zh-CN"/>
        </w:rPr>
        <w:t>钢筋保护层厚度不小于</w:t>
      </w:r>
      <w:r>
        <w:rPr>
          <w:rFonts w:hint="eastAsia"/>
          <w:b w:val="0"/>
          <w:sz w:val="28"/>
          <w:lang w:val="en-US" w:eastAsia="zh-CN"/>
        </w:rPr>
        <w:t>40</w:t>
      </w:r>
      <w:r>
        <w:rPr>
          <w:rFonts w:eastAsia="仿宋" w:hint="eastAsia"/>
          <w:b w:val="0"/>
          <w:sz w:val="28"/>
          <w:lang w:val="en-US" w:eastAsia="zh-CN"/>
        </w:rPr>
        <w:t>mm，采用</w:t>
      </w:r>
      <w:r>
        <w:rPr>
          <w:rFonts w:hint="eastAsia"/>
          <w:b w:val="0"/>
          <w:sz w:val="28"/>
          <w:lang w:val="en-US" w:eastAsia="zh-CN"/>
        </w:rPr>
        <w:t>砼</w:t>
      </w:r>
      <w:r>
        <w:rPr>
          <w:rFonts w:eastAsia="仿宋" w:hint="eastAsia"/>
          <w:b w:val="0"/>
          <w:sz w:val="28"/>
          <w:lang w:val="en-US" w:eastAsia="zh-CN"/>
        </w:rPr>
        <w:t>垫块进行控制，</w:t>
      </w:r>
      <w:r>
        <w:rPr>
          <w:rFonts w:hint="eastAsia"/>
          <w:b w:val="0"/>
          <w:sz w:val="28"/>
          <w:lang w:val="en-US" w:eastAsia="zh-CN"/>
        </w:rPr>
        <w:t>砼</w:t>
      </w:r>
      <w:r>
        <w:rPr>
          <w:rFonts w:eastAsia="仿宋" w:hint="eastAsia"/>
          <w:b w:val="0"/>
          <w:sz w:val="28"/>
          <w:lang w:val="en-US" w:eastAsia="zh-CN"/>
        </w:rPr>
        <w:t>垫块间距600*600mm。 </w:t>
      </w:r>
    </w:p>
    <w:p>
      <w:pPr>
        <w:pStyle w:val="Heading4"/>
        <w:numPr>
          <w:ilvl w:val="0"/>
          <w:numId w:val="11"/>
        </w:numPr>
        <w:spacing w:line="500" w:lineRule="auto"/>
        <w:ind w:left="425" w:hanging="425" w:leftChars="0" w:firstLineChars="0"/>
        <w:rPr>
          <w:rFonts w:hint="eastAsia"/>
          <w:lang w:val="en-US" w:eastAsia="zh-CN"/>
        </w:rPr>
      </w:pPr>
      <w:bookmarkStart w:id="68" w:name="_Toc12284"/>
      <w:r>
        <w:rPr>
          <w:rFonts w:hint="eastAsia"/>
          <w:lang w:val="en-US" w:eastAsia="zh-CN"/>
        </w:rPr>
        <w:t>模板工程 </w:t>
      </w:r>
      <w:bookmarkEnd w:id="68"/>
    </w:p>
    <w:p>
      <w:pPr>
        <w:spacing w:line="500" w:lineRule="auto"/>
        <w:rPr>
          <w:rFonts w:hint="eastAsia"/>
          <w:b w:val="0"/>
        </w:rPr>
      </w:pPr>
      <w:r>
        <w:rPr>
          <w:rFonts w:eastAsia="仿宋" w:hint="eastAsia"/>
          <w:b w:val="0"/>
          <w:sz w:val="28"/>
          <w:lang w:val="en-US" w:eastAsia="zh-CN"/>
        </w:rPr>
        <w:t>①.模板采用竹胶板，具有足够的强度、刚度和稳定性，能承受新浇筑混凝土的重力侧压力及施工中也许产生的各项负荷。  </w:t>
      </w:r>
    </w:p>
    <w:p>
      <w:pPr>
        <w:spacing w:line="500" w:lineRule="auto"/>
        <w:rPr>
          <w:rFonts w:hint="eastAsia"/>
          <w:b w:val="0"/>
        </w:rPr>
        <w:sectPr>
          <w:type w:val="nextPage"/>
          <w:pgSz w:w="11906" w:h="16838"/>
          <w:pgMar w:top="1134" w:right="1134" w:bottom="1134" w:left="1418" w:header="851" w:footer="992" w:gutter="0"/>
          <w:pgNumType w:fmt="decimal" w:start="27"/>
          <w:cols w:num="1" w:space="425"/>
          <w:titlePg w:val="0"/>
          <w:docGrid w:type="lines" w:linePitch="312" w:charSpace="0"/>
        </w:sectPr>
      </w:pPr>
      <w:r>
        <w:rPr>
          <w:rFonts w:eastAsia="仿宋" w:hint="eastAsia"/>
          <w:b w:val="0"/>
          <w:sz w:val="28"/>
          <w:lang w:val="en-US" w:eastAsia="zh-CN"/>
        </w:rPr>
        <w:t>②.保证混凝土结构和构件各部分设计形状尺寸和互相间位置对的。  </w:t>
      </w:r>
    </w:p>
    <w:p>
      <w:pPr>
        <w:spacing w:line="500" w:lineRule="auto"/>
        <w:rPr>
          <w:rFonts w:hint="eastAsia"/>
          <w:b w:val="0"/>
        </w:rPr>
      </w:pPr>
      <w:r>
        <w:rPr>
          <w:rFonts w:eastAsia="仿宋" w:hint="eastAsia"/>
          <w:b w:val="0"/>
          <w:sz w:val="28"/>
          <w:lang w:val="en-US" w:eastAsia="zh-CN"/>
        </w:rPr>
        <w:t>③.模板安装接缝不得漏浆；在浇筑砼前，模板应涂刷脱模剂，模板内不应有积水。  </w:t>
      </w:r>
    </w:p>
    <w:p>
      <w:pPr>
        <w:spacing w:line="500" w:lineRule="auto"/>
        <w:rPr>
          <w:rFonts w:hint="eastAsia"/>
          <w:b w:val="0"/>
        </w:rPr>
      </w:pPr>
      <w:r>
        <w:rPr>
          <w:rFonts w:eastAsia="仿宋" w:hint="eastAsia"/>
          <w:b w:val="0"/>
          <w:sz w:val="28"/>
          <w:lang w:val="en-US" w:eastAsia="zh-CN"/>
        </w:rPr>
        <w:t>④.模板之间粘贴双面不干胶带，以减小模板缝防止漏浆，以保证砼面的观感质量。  </w:t>
      </w:r>
    </w:p>
    <w:p>
      <w:pPr>
        <w:spacing w:line="500" w:lineRule="auto"/>
        <w:rPr>
          <w:rFonts w:hint="eastAsia"/>
          <w:b w:val="0"/>
        </w:rPr>
      </w:pPr>
      <w:r>
        <w:rPr>
          <w:rFonts w:eastAsia="仿宋" w:hint="eastAsia"/>
          <w:b w:val="0"/>
          <w:sz w:val="28"/>
          <w:lang w:val="en-US" w:eastAsia="zh-CN"/>
        </w:rPr>
        <w:t>⑤. 水平、竖向构件模板加固采用双排钢管扣件脚手架，钢管选用</w:t>
      </w:r>
      <w:r>
        <w:rPr>
          <w:rFonts w:hint="eastAsia"/>
          <w:b w:val="0"/>
          <w:sz w:val="28"/>
          <w:lang w:val="en-US" w:eastAsia="zh-CN"/>
        </w:rPr>
        <w:t>Φ</w:t>
      </w:r>
      <w:r>
        <w:rPr>
          <w:rFonts w:eastAsia="仿宋" w:hint="eastAsia"/>
          <w:b w:val="0"/>
          <w:sz w:val="28"/>
          <w:lang w:val="en-US" w:eastAsia="zh-CN"/>
        </w:rPr>
        <w:t>48*</w:t>
      </w:r>
      <w:r>
        <w:rPr>
          <w:rFonts w:hint="eastAsia"/>
          <w:b w:val="0"/>
          <w:sz w:val="28"/>
          <w:lang w:val="en-US" w:eastAsia="zh-CN"/>
        </w:rPr>
        <w:t>3</w:t>
      </w:r>
      <w:r>
        <w:rPr>
          <w:rFonts w:eastAsia="仿宋" w:hint="eastAsia"/>
          <w:b w:val="0"/>
          <w:sz w:val="28"/>
          <w:lang w:val="en-US" w:eastAsia="zh-CN"/>
        </w:rPr>
        <w:t>.</w:t>
      </w:r>
      <w:r>
        <w:rPr>
          <w:rFonts w:hint="eastAsia"/>
          <w:b w:val="0"/>
          <w:sz w:val="28"/>
          <w:lang w:val="en-US" w:eastAsia="zh-CN"/>
        </w:rPr>
        <w:t>5，</w:t>
      </w:r>
      <w:r>
        <w:rPr>
          <w:rFonts w:eastAsia="仿宋" w:hint="eastAsia"/>
          <w:b w:val="0"/>
          <w:sz w:val="28"/>
          <w:lang w:val="en-US" w:eastAsia="zh-CN"/>
        </w:rPr>
        <w:t>木方采用45*95木方，模板背坊净距不宜大于200mm，木方两个平面必须压刨平整，保证与模板紧密贴合。对拉螺栓采用</w:t>
      </w:r>
      <w:r>
        <w:rPr>
          <w:rFonts w:hint="eastAsia"/>
          <w:b w:val="0"/>
          <w:sz w:val="28"/>
          <w:lang w:val="en-US" w:eastAsia="zh-CN"/>
        </w:rPr>
        <w:t>Φ</w:t>
      </w:r>
      <w:r>
        <w:rPr>
          <w:rFonts w:eastAsia="仿宋" w:hint="eastAsia"/>
          <w:b w:val="0"/>
          <w:sz w:val="28"/>
          <w:lang w:val="en-US" w:eastAsia="zh-CN"/>
        </w:rPr>
        <w:t>14高强丝杆，水平及竖向间距不大于450mm。模板采用</w:t>
      </w:r>
      <w:r>
        <w:rPr>
          <w:rFonts w:hint="eastAsia"/>
          <w:b w:val="0"/>
          <w:sz w:val="28"/>
          <w:lang w:val="en-US" w:eastAsia="zh-CN"/>
        </w:rPr>
        <w:t>胶合板</w:t>
      </w:r>
      <w:r>
        <w:rPr>
          <w:rFonts w:eastAsia="仿宋" w:hint="eastAsia"/>
          <w:b w:val="0"/>
          <w:sz w:val="28"/>
          <w:lang w:val="en-US" w:eastAsia="zh-CN"/>
        </w:rPr>
        <w:t>，模板安装时应拼缝严密，不得使用双面胶或者封口胶解决。模板拼缝处外侧模板钉木条拼接，木条间距不大于500mm，且每条缝均不得少于2跟。模板内侧设立混凝土内撑。 </w:t>
      </w:r>
    </w:p>
    <w:p>
      <w:pPr>
        <w:spacing w:line="500" w:lineRule="auto"/>
        <w:rPr>
          <w:rFonts w:hint="eastAsia"/>
          <w:b w:val="0"/>
        </w:rPr>
      </w:pPr>
      <w:r>
        <w:rPr>
          <w:rFonts w:eastAsia="仿宋" w:hint="eastAsia"/>
          <w:b w:val="0"/>
          <w:sz w:val="28"/>
          <w:lang w:val="en-US" w:eastAsia="zh-CN"/>
        </w:rPr>
        <w:t>⑥.模板支撑必须牢固，预埋件、预留洞不得漏设，且必须准确、稳固；模板使用后应按规定修整保存。 </w:t>
      </w:r>
    </w:p>
    <w:p>
      <w:pPr>
        <w:pStyle w:val="Heading4"/>
        <w:numPr>
          <w:ilvl w:val="0"/>
          <w:numId w:val="11"/>
        </w:numPr>
        <w:spacing w:line="500" w:lineRule="auto"/>
        <w:ind w:left="425" w:hanging="425" w:leftChars="0" w:firstLineChars="0"/>
        <w:rPr>
          <w:rFonts w:hint="eastAsia"/>
          <w:lang w:val="en-US" w:eastAsia="zh-CN"/>
        </w:rPr>
      </w:pPr>
      <w:bookmarkStart w:id="69" w:name="_Toc28685"/>
      <w:r>
        <w:rPr>
          <w:rFonts w:hint="eastAsia"/>
          <w:lang w:val="en-US" w:eastAsia="zh-CN"/>
        </w:rPr>
        <w:t>混凝土工程 </w:t>
      </w:r>
      <w:bookmarkEnd w:id="69"/>
    </w:p>
    <w:p>
      <w:pPr>
        <w:spacing w:line="500" w:lineRule="auto"/>
        <w:rPr>
          <w:rFonts w:hint="eastAsia"/>
          <w:b w:val="0"/>
        </w:rPr>
      </w:pPr>
      <w:r>
        <w:rPr>
          <w:rFonts w:eastAsia="仿宋" w:hint="eastAsia"/>
          <w:b w:val="0"/>
          <w:sz w:val="28"/>
          <w:lang w:val="en-US" w:eastAsia="zh-CN"/>
        </w:rPr>
        <w:t>①、混凝土采用C30商品混凝土，混凝土浇筑前应将模板内的杂物清理干净，混凝土必须振捣密实，混凝土浇筑完毕后强度达成</w:t>
      </w:r>
      <w:r>
        <w:rPr>
          <w:rFonts w:hint="eastAsia"/>
          <w:b w:val="0"/>
          <w:sz w:val="28"/>
          <w:lang w:val="en-US" w:eastAsia="zh-CN"/>
        </w:rPr>
        <w:t>2.5</w:t>
      </w:r>
      <w:r>
        <w:rPr>
          <w:rFonts w:eastAsia="仿宋" w:hint="eastAsia"/>
          <w:b w:val="0"/>
          <w:sz w:val="28"/>
          <w:lang w:val="en-US" w:eastAsia="zh-CN"/>
        </w:rPr>
        <w:t>MPa时方能进行模板拆除。模板拆除后应及时对混凝土进行浇水养护。制定浇筑工艺，明确结构分段分块的间隔浇筑顺序，由于墙身较高，因此墙身混凝土分多次浇筑完毕。 </w:t>
      </w:r>
    </w:p>
    <w:p>
      <w:pPr>
        <w:spacing w:line="500" w:lineRule="auto"/>
        <w:rPr>
          <w:rFonts w:hint="eastAsia"/>
          <w:b w:val="0"/>
        </w:rPr>
        <w:sectPr>
          <w:type w:val="nextPage"/>
          <w:pgSz w:w="11906" w:h="16838"/>
          <w:pgMar w:top="1134" w:right="1134" w:bottom="1134" w:left="1418" w:header="851" w:footer="992" w:gutter="0"/>
          <w:pgNumType w:fmt="decimal" w:start="28"/>
          <w:cols w:num="1" w:space="425"/>
          <w:titlePg w:val="0"/>
          <w:docGrid w:type="lines" w:linePitch="312" w:charSpace="0"/>
        </w:sectPr>
      </w:pPr>
    </w:p>
    <w:p>
      <w:pPr>
        <w:spacing w:line="500" w:lineRule="auto"/>
        <w:rPr>
          <w:rFonts w:hint="eastAsia"/>
          <w:b w:val="0"/>
        </w:rPr>
      </w:pPr>
      <w:r>
        <w:rPr>
          <w:rFonts w:eastAsia="仿宋" w:hint="eastAsia"/>
          <w:b w:val="0"/>
          <w:sz w:val="28"/>
          <w:lang w:val="en-US" w:eastAsia="zh-CN"/>
        </w:rPr>
        <w:t>②、采用插入式50型振动棒进行振捣，砼振捣密实，振捣过程中快插慢抽。无漏振，无蜂窝麻面等。浇注砼使用插入式振动器时，移动间距不应超过振动器作用半径的1.5倍；与侧模应保持50-100mm的距离；插入下层砼50-100mm；每一处振动完毕后应边振动边渐渐提出振动棒；应避免振动棒碰撞模板及其他预埋件。对每一振动部位，必须振动到该部位砼密实为止。密实的标志是砼停止下沉，不再冒出气泡，表面呈现平坦、泛浆。  </w:t>
      </w:r>
    </w:p>
    <w:p>
      <w:pPr>
        <w:spacing w:line="500" w:lineRule="auto"/>
        <w:rPr>
          <w:rFonts w:hint="eastAsia"/>
          <w:b w:val="0"/>
        </w:rPr>
      </w:pPr>
      <w:r>
        <w:rPr>
          <w:rFonts w:eastAsia="仿宋" w:hint="eastAsia"/>
          <w:b w:val="0"/>
          <w:sz w:val="28"/>
          <w:lang w:val="en-US" w:eastAsia="zh-CN"/>
        </w:rPr>
        <w:t>③、砼的浇注应连续进行，如因故必须间断时，其间断时间应小于前层砼的初凝时间或能重塑的时间，当需要超过时应预留施工缝。    </w:t>
      </w:r>
    </w:p>
    <w:p>
      <w:pPr>
        <w:spacing w:line="500" w:lineRule="auto"/>
        <w:rPr>
          <w:rFonts w:hint="eastAsia"/>
          <w:b w:val="0"/>
        </w:rPr>
      </w:pPr>
      <w:r>
        <w:rPr>
          <w:rFonts w:eastAsia="仿宋" w:hint="eastAsia"/>
          <w:b w:val="0"/>
          <w:sz w:val="28"/>
          <w:lang w:val="en-US" w:eastAsia="zh-CN"/>
        </w:rPr>
        <w:t>④、施工缝的位置应在砼浇注之前拟定，宜留置在结构受剪力和弯矩较小且便于施工的部位，并应按下列规定进行解决：  </w:t>
      </w:r>
    </w:p>
    <w:p>
      <w:pPr>
        <w:spacing w:line="500" w:lineRule="auto"/>
        <w:rPr>
          <w:rFonts w:hint="eastAsia"/>
          <w:b w:val="0"/>
        </w:rPr>
      </w:pPr>
      <w:r>
        <w:rPr>
          <w:rFonts w:eastAsia="仿宋" w:hint="eastAsia"/>
          <w:b w:val="0"/>
          <w:sz w:val="28"/>
          <w:lang w:val="en-US" w:eastAsia="zh-CN"/>
        </w:rPr>
        <w:t>ⅰ.应凿除解决层砼表面的水泥砂浆和松软层，但凿除时，解决层砼须达成下列强度：  </w:t>
      </w:r>
    </w:p>
    <w:p>
      <w:pPr>
        <w:spacing w:line="500" w:lineRule="auto"/>
        <w:rPr>
          <w:rFonts w:hint="eastAsia"/>
          <w:b w:val="0"/>
        </w:rPr>
      </w:pPr>
      <w:r>
        <w:rPr>
          <w:rFonts w:eastAsia="仿宋" w:hint="eastAsia"/>
          <w:b w:val="0"/>
          <w:sz w:val="28"/>
          <w:lang w:val="en-US" w:eastAsia="zh-CN"/>
        </w:rPr>
        <w:t>*.洗凿毛时，须达成0.5Mpa； </w:t>
      </w:r>
    </w:p>
    <w:p>
      <w:pPr>
        <w:spacing w:line="500" w:lineRule="auto"/>
        <w:rPr>
          <w:rFonts w:hint="eastAsia"/>
          <w:b w:val="0"/>
        </w:rPr>
      </w:pPr>
      <w:r>
        <w:rPr>
          <w:rFonts w:eastAsia="仿宋" w:hint="eastAsia"/>
          <w:b w:val="0"/>
          <w:sz w:val="28"/>
          <w:lang w:val="en-US" w:eastAsia="zh-CN"/>
        </w:rPr>
        <w:t>*.用人工凿除时，须达成2.5Mpa；    *.用风动机凿毛时，须达成10Mpa；  </w:t>
      </w:r>
    </w:p>
    <w:p>
      <w:pPr>
        <w:spacing w:line="500" w:lineRule="auto"/>
        <w:rPr>
          <w:rFonts w:hint="eastAsia"/>
          <w:b w:val="0"/>
        </w:rPr>
      </w:pPr>
      <w:r>
        <w:rPr>
          <w:rFonts w:eastAsia="仿宋" w:hint="eastAsia"/>
          <w:b w:val="0"/>
          <w:sz w:val="28"/>
          <w:lang w:val="en-US" w:eastAsia="zh-CN"/>
        </w:rPr>
        <w:t>ⅱ.经凿毛解决的砼面，应用水冲洗干净，在浇注层次砼前，对垂直施工缝宜刷一层水泥净浆，对水平缝宜铺一层厚度为10-20mm的1：2的水泥砂浆。</w:t>
      </w:r>
    </w:p>
    <w:p>
      <w:pPr>
        <w:pStyle w:val="Heading4"/>
        <w:numPr>
          <w:ilvl w:val="0"/>
          <w:numId w:val="11"/>
        </w:numPr>
        <w:spacing w:line="500" w:lineRule="auto"/>
        <w:ind w:left="425" w:hanging="425" w:leftChars="0" w:firstLineChars="0"/>
        <w:rPr>
          <w:rFonts w:hint="eastAsia"/>
          <w:lang w:val="en-US" w:eastAsia="zh-CN"/>
        </w:rPr>
      </w:pPr>
      <w:bookmarkStart w:id="70" w:name="_Toc18795"/>
      <w:r>
        <w:rPr>
          <w:rFonts w:hint="eastAsia"/>
          <w:lang w:val="en-US" w:eastAsia="zh-CN"/>
        </w:rPr>
        <w:t>反滤包及泄水孔施工 </w:t>
      </w:r>
      <w:bookmarkEnd w:id="70"/>
    </w:p>
    <w:p>
      <w:pPr>
        <w:spacing w:line="500" w:lineRule="auto"/>
        <w:rPr>
          <w:rFonts w:hint="eastAsia"/>
          <w:b w:val="0"/>
        </w:rPr>
        <w:sectPr>
          <w:type w:val="nextPage"/>
          <w:pgSz w:w="11906" w:h="16838"/>
          <w:pgMar w:top="1134" w:right="1134" w:bottom="1134" w:left="1418" w:header="851" w:footer="992" w:gutter="0"/>
          <w:pgNumType w:fmt="decimal" w:start="29"/>
          <w:cols w:num="1" w:space="425"/>
          <w:titlePg w:val="0"/>
          <w:docGrid w:type="lines" w:linePitch="312" w:charSpace="0"/>
        </w:sectPr>
      </w:pPr>
      <w:r>
        <w:rPr>
          <w:rFonts w:hint="eastAsia"/>
          <w:b w:val="0"/>
          <w:sz w:val="28"/>
          <w:lang w:val="en-US" w:eastAsia="zh-CN"/>
        </w:rPr>
        <w:t>挡土板混凝土浇筑前，</w:t>
      </w:r>
      <w:r>
        <w:rPr>
          <w:rFonts w:eastAsia="仿宋" w:hint="eastAsia"/>
          <w:b w:val="0"/>
          <w:sz w:val="28"/>
          <w:lang w:val="en-US" w:eastAsia="zh-CN"/>
        </w:rPr>
        <w:t>支护结构上应设立泄水孔，桩板挡墙中面板上泄水孔安装</w:t>
      </w:r>
      <w:r>
        <w:rPr>
          <w:rFonts w:hint="eastAsia"/>
          <w:b w:val="0"/>
          <w:sz w:val="28"/>
          <w:lang w:val="en-US" w:eastAsia="zh-CN"/>
        </w:rPr>
        <w:t>4</w:t>
      </w:r>
    </w:p>
    <w:p>
      <w:pPr>
        <w:spacing w:line="500" w:lineRule="auto"/>
        <w:rPr>
          <w:rFonts w:hint="eastAsia"/>
          <w:b w:val="0"/>
        </w:rPr>
      </w:pPr>
      <w:r>
        <w:rPr>
          <w:rFonts w:eastAsia="仿宋" w:hint="eastAsia"/>
          <w:b w:val="0"/>
          <w:sz w:val="28"/>
          <w:lang w:val="en-US" w:eastAsia="zh-CN"/>
        </w:rPr>
        <w:t>.0×2.0m，呈梅花形布置φ100mmPVC排水管，向外倾斜i=5%。有裂缝处宜优先布置，严格控制泄水孔位置，保证其位置准确，横平竖直。孔内预埋φ100mmPVC管伸入墙背10cm，孔后侧设立</w:t>
      </w:r>
      <w:r>
        <w:rPr>
          <w:rFonts w:hint="eastAsia"/>
          <w:b w:val="0"/>
          <w:sz w:val="28"/>
          <w:lang w:val="en-US" w:eastAsia="zh-CN"/>
        </w:rPr>
        <w:t>30cm*30cm*30cm</w:t>
      </w:r>
      <w:r>
        <w:rPr>
          <w:rFonts w:eastAsia="仿宋" w:hint="eastAsia"/>
          <w:b w:val="0"/>
          <w:sz w:val="28"/>
          <w:lang w:val="en-US" w:eastAsia="zh-CN"/>
        </w:rPr>
        <w:t>的</w:t>
      </w:r>
      <w:r>
        <w:rPr>
          <w:rFonts w:hint="eastAsia"/>
          <w:b w:val="0"/>
          <w:sz w:val="28"/>
          <w:lang w:val="en-US" w:eastAsia="zh-CN"/>
        </w:rPr>
        <w:t>卵石反</w:t>
      </w:r>
      <w:r>
        <w:rPr>
          <w:rFonts w:eastAsia="仿宋" w:hint="eastAsia"/>
          <w:b w:val="0"/>
          <w:sz w:val="28"/>
          <w:lang w:val="en-US" w:eastAsia="zh-CN"/>
        </w:rPr>
        <w:t>滤包，对中安设。最下排泄水孔口应高出地面（或排水沟顶面）300mm，并保证泄水孔向外排水顺畅。  </w:t>
      </w:r>
      <w:r>
        <w:rPr>
          <w:rFonts w:hint="eastAsia"/>
          <w:b w:val="0"/>
          <w:sz w:val="28"/>
          <w:lang w:val="en-US" w:eastAsia="zh-CN"/>
        </w:rPr>
        <w:t>混凝土浇筑过程中，不得有混凝土堵塞进水口及PVC管。</w:t>
      </w:r>
    </w:p>
    <w:p>
      <w:pPr>
        <w:pStyle w:val="Heading4"/>
        <w:numPr>
          <w:ilvl w:val="0"/>
          <w:numId w:val="11"/>
        </w:numPr>
        <w:spacing w:line="500" w:lineRule="auto"/>
        <w:ind w:left="425" w:hanging="425" w:leftChars="0" w:firstLineChars="0"/>
        <w:rPr>
          <w:rFonts w:hint="eastAsia"/>
          <w:lang w:val="en-US" w:eastAsia="zh-CN"/>
        </w:rPr>
      </w:pPr>
      <w:bookmarkStart w:id="71" w:name="_Toc12434"/>
      <w:r>
        <w:rPr>
          <w:rFonts w:hint="eastAsia"/>
          <w:lang w:val="en-US" w:eastAsia="zh-CN"/>
        </w:rPr>
        <w:t>挡土板施工应注意事宜 </w:t>
      </w:r>
      <w:bookmarkEnd w:id="71"/>
    </w:p>
    <w:p>
      <w:pPr>
        <w:spacing w:line="500" w:lineRule="auto"/>
        <w:rPr>
          <w:rFonts w:hint="eastAsia"/>
          <w:b w:val="0"/>
        </w:rPr>
      </w:pPr>
      <w:r>
        <w:rPr>
          <w:rFonts w:eastAsia="仿宋" w:hint="eastAsia"/>
          <w:b w:val="0"/>
          <w:sz w:val="28"/>
          <w:lang w:val="en-US" w:eastAsia="zh-CN"/>
        </w:rPr>
        <w:t>①、板式挡墙施工应同土石方开挖同步进行，桩周边土方开挖完毕应立即对挡墙进行施工； </w:t>
      </w:r>
    </w:p>
    <w:p>
      <w:pPr>
        <w:spacing w:line="500" w:lineRule="auto"/>
        <w:rPr>
          <w:rFonts w:hint="eastAsia"/>
          <w:b w:val="0"/>
        </w:rPr>
      </w:pPr>
      <w:r>
        <w:rPr>
          <w:rFonts w:eastAsia="仿宋" w:hint="eastAsia"/>
          <w:b w:val="0"/>
          <w:sz w:val="28"/>
          <w:lang w:val="en-US" w:eastAsia="zh-CN"/>
        </w:rPr>
        <w:t>②、挡墙双层双向钢筋采用植筋形式与桩进行连接。植筋胶可采用现质量可靠、耐久性良好、结构安全的国内A级植筋胶。使用方法，植筋深度，AB胶用量以及胶贴方法等，均可参见植筋胶相关的说明书。 </w:t>
      </w:r>
    </w:p>
    <w:p>
      <w:pPr>
        <w:spacing w:line="500" w:lineRule="auto"/>
        <w:rPr>
          <w:rFonts w:hint="eastAsia"/>
          <w:b w:val="0"/>
        </w:rPr>
      </w:pPr>
      <w:r>
        <w:rPr>
          <w:rFonts w:eastAsia="仿宋" w:hint="eastAsia"/>
          <w:b w:val="0"/>
          <w:sz w:val="28"/>
          <w:lang w:val="en-US" w:eastAsia="zh-CN"/>
        </w:rPr>
        <w:t>③、板式挡土墙间钢筋连接采用绑扎搭接，迎土面钢筋搭接接头留设在两桩支座中间，背土面钢筋搭接留设在两桩支座端座。 </w:t>
      </w:r>
    </w:p>
    <w:p>
      <w:pPr>
        <w:spacing w:line="500" w:lineRule="auto"/>
        <w:rPr>
          <w:rFonts w:hint="eastAsia"/>
          <w:b w:val="0"/>
        </w:rPr>
      </w:pPr>
      <w:r>
        <w:rPr>
          <w:rFonts w:eastAsia="仿宋" w:hint="eastAsia"/>
          <w:b w:val="0"/>
          <w:sz w:val="28"/>
          <w:lang w:val="en-US" w:eastAsia="zh-CN"/>
        </w:rPr>
        <w:t>④、背土面桩经边土方开挖后，与抗滑桩间形成一定的空隙。为了更好地保护桩混凝土的质量，应采用空压机将桩两端和靠近抗滑桩边半圆形桩护壁进行清除。 </w:t>
      </w:r>
    </w:p>
    <w:p>
      <w:pPr>
        <w:spacing w:line="500" w:lineRule="auto"/>
        <w:rPr>
          <w:rFonts w:hint="eastAsia"/>
          <w:b w:val="0"/>
        </w:rPr>
      </w:pPr>
      <w:r>
        <w:rPr>
          <w:rFonts w:eastAsia="仿宋" w:hint="eastAsia"/>
          <w:b w:val="0"/>
          <w:sz w:val="28"/>
          <w:lang w:val="en-US" w:eastAsia="zh-CN"/>
        </w:rPr>
        <w:t>⑤、桩端和桩半弧型可用1：2.5水泥砂浆进行抹灰解决，混凝土与水泥砂浆采用塑料玻纤网满铺，防止水泥砂浆的垮塌。 </w:t>
      </w:r>
    </w:p>
    <w:p>
      <w:pPr>
        <w:spacing w:line="500" w:lineRule="auto"/>
        <w:rPr>
          <w:rFonts w:hint="eastAsia"/>
          <w:b w:val="0"/>
        </w:rPr>
        <w:sectPr>
          <w:type w:val="nextPage"/>
          <w:pgSz w:w="11906" w:h="16838"/>
          <w:pgMar w:top="1134" w:right="1134" w:bottom="1134" w:left="1418" w:header="851" w:footer="992" w:gutter="0"/>
          <w:pgNumType w:fmt="decimal" w:start="30"/>
          <w:cols w:num="1" w:space="425"/>
          <w:titlePg w:val="0"/>
          <w:docGrid w:type="lines" w:linePitch="312" w:charSpace="0"/>
        </w:sectPr>
      </w:pPr>
      <w:r>
        <w:rPr>
          <w:rFonts w:eastAsia="仿宋" w:hint="eastAsia"/>
          <w:b w:val="0"/>
          <w:sz w:val="28"/>
          <w:lang w:val="en-US" w:eastAsia="zh-CN"/>
        </w:rPr>
        <w:t>⑥、板式挡土墙和抗滑桩</w:t>
      </w:r>
      <w:r>
        <w:rPr>
          <w:rFonts w:hint="eastAsia"/>
          <w:b w:val="0"/>
          <w:sz w:val="28"/>
          <w:lang w:val="en-US" w:eastAsia="zh-CN"/>
        </w:rPr>
        <w:t>及</w:t>
      </w:r>
    </w:p>
    <w:p>
      <w:pPr>
        <w:spacing w:line="500" w:lineRule="auto"/>
        <w:rPr>
          <w:rFonts w:hint="eastAsia"/>
          <w:b w:val="0"/>
        </w:rPr>
      </w:pPr>
      <w:r>
        <w:rPr>
          <w:rFonts w:eastAsia="仿宋" w:hint="eastAsia"/>
          <w:b w:val="0"/>
          <w:sz w:val="28"/>
          <w:lang w:val="en-US" w:eastAsia="zh-CN"/>
        </w:rPr>
        <w:t>边坡均采用三排钢管落地式脚手架，脚手架立杆间距不得大于1.4m，水平横杆步距不得大于1.6m，立杆与边坡基面间距为200-300mm，每三跨应采用剪力撑相连，具体操作规定可见JGJ1030－2023《建筑施工扣件式钢管脚手架安全技术规范》的相关规定进行施工。</w:t>
      </w:r>
    </w:p>
    <w:p>
      <w:pPr>
        <w:spacing w:line="500" w:lineRule="auto"/>
        <w:rPr>
          <w:rFonts w:hint="eastAsia"/>
          <w:b w:val="0"/>
        </w:rPr>
      </w:pPr>
      <w:r>
        <w:rPr>
          <w:rFonts w:eastAsia="仿宋" w:hint="eastAsia"/>
          <w:b w:val="0"/>
          <w:sz w:val="28"/>
          <w:lang w:val="en-US" w:eastAsia="zh-CN"/>
        </w:rPr>
        <w:t>⑦、</w:t>
      </w:r>
      <w:r>
        <w:rPr>
          <w:rFonts w:hint="eastAsia"/>
          <w:b w:val="0"/>
          <w:sz w:val="28"/>
          <w:lang w:val="en-US" w:eastAsia="zh-CN"/>
        </w:rPr>
        <w:t>挡土板墙身每隔20m设立一道伸缩缝，缝宽2cm，缝内灌注沥青玛蹄脂。</w:t>
      </w:r>
    </w:p>
    <w:p>
      <w:pPr>
        <w:pStyle w:val="Heading3"/>
        <w:spacing w:line="500" w:lineRule="auto"/>
        <w:rPr>
          <w:rFonts w:hint="eastAsia"/>
          <w:lang w:val="en-US" w:eastAsia="zh-CN"/>
        </w:rPr>
      </w:pPr>
      <w:bookmarkStart w:id="72" w:name="_Toc8582"/>
      <w:r>
        <w:rPr>
          <w:rFonts w:hint="eastAsia"/>
          <w:lang w:val="en-US" w:eastAsia="zh-CN"/>
        </w:rPr>
        <w:t>桩顶冠梁施工</w:t>
      </w:r>
      <w:bookmarkEnd w:id="72"/>
    </w:p>
    <w:p>
      <w:pPr>
        <w:pStyle w:val="Heading4"/>
        <w:numPr>
          <w:ilvl w:val="0"/>
          <w:numId w:val="33"/>
        </w:numPr>
        <w:spacing w:line="500" w:lineRule="auto"/>
        <w:ind w:left="425" w:firstLine="0" w:leftChars="0" w:firstLineChars="0"/>
        <w:rPr>
          <w:rFonts w:hint="eastAsia"/>
          <w:lang w:val="en-US" w:eastAsia="zh-CN"/>
        </w:rPr>
      </w:pPr>
      <w:bookmarkStart w:id="73" w:name="_Toc6878"/>
      <w:r>
        <w:rPr>
          <w:rFonts w:hint="eastAsia"/>
          <w:lang w:val="en-US" w:eastAsia="zh-CN"/>
        </w:rPr>
        <w:t>施工流程 </w:t>
      </w:r>
      <w:bookmarkEnd w:id="73"/>
    </w:p>
    <w:p>
      <w:pPr>
        <w:spacing w:line="500" w:lineRule="auto"/>
        <w:rPr>
          <w:rFonts w:hint="eastAsia"/>
          <w:b w:val="0"/>
        </w:rPr>
      </w:pPr>
      <w:r>
        <w:rPr>
          <w:rFonts w:eastAsia="仿宋" w:hint="eastAsia"/>
          <w:b w:val="0"/>
          <w:sz w:val="28"/>
          <w:lang w:val="en-US" w:eastAsia="zh-CN"/>
        </w:rPr>
        <w:t>施工准备→测量放样→凿桩头、整平桩顶→清洗、调直桩顶钢筋→冠梁底模支撑→挡土板竖向钢筋插筋→绑扎冠梁钢筋→冠梁侧模支撑→灌注混凝土→拆模→混凝土养护</w:t>
      </w:r>
    </w:p>
    <w:p>
      <w:pPr>
        <w:pStyle w:val="Heading4"/>
        <w:numPr>
          <w:ilvl w:val="0"/>
          <w:numId w:val="33"/>
        </w:numPr>
        <w:spacing w:line="500" w:lineRule="auto"/>
        <w:ind w:left="425" w:hanging="425" w:leftChars="0" w:firstLineChars="0"/>
        <w:rPr>
          <w:rFonts w:hint="eastAsia"/>
          <w:lang w:val="en-US" w:eastAsia="zh-CN"/>
        </w:rPr>
      </w:pPr>
      <w:bookmarkStart w:id="74" w:name="_Toc19433"/>
      <w:r>
        <w:rPr>
          <w:rFonts w:hint="eastAsia"/>
          <w:lang w:val="en-US" w:eastAsia="zh-CN"/>
        </w:rPr>
        <w:t>桩头凿除、清理 </w:t>
      </w:r>
      <w:bookmarkEnd w:id="74"/>
    </w:p>
    <w:p>
      <w:pPr>
        <w:spacing w:line="500" w:lineRule="auto"/>
        <w:rPr>
          <w:rFonts w:ascii="仿宋_GB2312" w:eastAsia="仿宋_GB2312" w:hAnsi="仿宋" w:cs="仿宋" w:hint="eastAsia"/>
          <w:szCs w:val="28"/>
        </w:rPr>
      </w:pPr>
      <w:r>
        <w:rPr>
          <w:rFonts w:hint="eastAsia"/>
          <w:b w:val="0"/>
          <w:sz w:val="28"/>
          <w:lang w:val="en-US" w:eastAsia="zh-CN"/>
        </w:rPr>
        <w:t>冠梁施工前需将抗滑桩上部的混凝土凿除，桩头凿除采用机械结合人工凿除，为保证凿除过程中不伤到抗滑桩钢筋，主筋外侧部分采用风镐人工凿除，先将桩四周混凝土凿除露出主筋然后将主筋向外侧拉出，拉动范围以凿开部分的钢筋与混凝土分开为宜，切忌拉出角度过大而将设计桩标高以下钢筋保护层剥落。主筋包围的桩头部位，在钢筋与混凝土分离的位置，四周用风镐向桩内水平凿进，将主筋包围的桩头完全截断，然后用起吊设备将桩头吊走。桩芯顶面的混凝土要凿毛解决，清除桩顶浮渣，清洗、调直桩顶钢筋，采用水泥砂浆将桩头找平。</w:t>
      </w:r>
    </w:p>
    <w:p>
      <w:pPr>
        <w:pStyle w:val="Heading4"/>
        <w:numPr>
          <w:ilvl w:val="0"/>
          <w:numId w:val="33"/>
        </w:numPr>
        <w:spacing w:line="500" w:lineRule="auto"/>
        <w:ind w:left="425" w:hanging="425" w:leftChars="0" w:firstLineChars="0"/>
        <w:rPr>
          <w:rFonts w:hint="eastAsia"/>
          <w:lang w:val="en-US" w:eastAsia="zh-CN"/>
        </w:rPr>
      </w:pPr>
      <w:bookmarkStart w:id="75" w:name="_Toc7299"/>
      <w:r>
        <w:rPr>
          <w:rFonts w:hint="eastAsia"/>
          <w:lang w:val="en-US" w:eastAsia="zh-CN"/>
        </w:rPr>
        <w:t>钢筋工程 </w:t>
      </w:r>
      <w:bookmarkEnd w:id="75"/>
    </w:p>
    <w:p>
      <w:pPr>
        <w:spacing w:line="500" w:lineRule="auto"/>
        <w:rPr>
          <w:rFonts w:hint="eastAsia"/>
          <w:b w:val="0"/>
        </w:rPr>
        <w:sectPr>
          <w:type w:val="nextPage"/>
          <w:pgSz w:w="11906" w:h="16838"/>
          <w:pgMar w:top="1134" w:right="1134" w:bottom="1134" w:left="1418" w:header="851" w:footer="992" w:gutter="0"/>
          <w:pgNumType w:fmt="decimal" w:start="31"/>
          <w:cols w:num="1" w:space="425"/>
          <w:titlePg w:val="0"/>
          <w:docGrid w:type="lines" w:linePitch="312" w:charSpace="0"/>
        </w:sectPr>
      </w:pPr>
      <w:r>
        <w:rPr>
          <w:rFonts w:eastAsia="仿宋" w:hint="eastAsia"/>
          <w:b w:val="0"/>
          <w:sz w:val="28"/>
          <w:lang w:val="en-US" w:eastAsia="zh-CN"/>
        </w:rPr>
        <w:t>冠梁纵向主筋为HRB</w:t>
      </w:r>
      <w:r>
        <w:rPr>
          <w:rFonts w:hint="eastAsia"/>
          <w:b w:val="0"/>
          <w:sz w:val="28"/>
          <w:lang w:val="en-US" w:eastAsia="zh-CN"/>
        </w:rPr>
        <w:t>400Φ20</w:t>
      </w:r>
      <w:r>
        <w:rPr>
          <w:rFonts w:eastAsia="仿宋" w:hint="eastAsia"/>
          <w:b w:val="0"/>
          <w:sz w:val="28"/>
          <w:lang w:val="en-US" w:eastAsia="zh-CN"/>
        </w:rPr>
        <w:t>及</w:t>
      </w:r>
      <w:r>
        <w:rPr>
          <w:rFonts w:hint="eastAsia"/>
          <w:b w:val="0"/>
          <w:sz w:val="28"/>
          <w:lang w:val="en-US" w:eastAsia="zh-CN"/>
        </w:rPr>
        <w:t>Φ16</w:t>
      </w:r>
      <w:r>
        <w:rPr>
          <w:rFonts w:eastAsia="仿宋" w:hint="eastAsia"/>
          <w:b w:val="0"/>
          <w:sz w:val="28"/>
          <w:lang w:val="en-US" w:eastAsia="zh-CN"/>
        </w:rPr>
        <w:t>、箍筋为H</w:t>
      </w:r>
      <w:r>
        <w:rPr>
          <w:rFonts w:hint="eastAsia"/>
          <w:b w:val="0"/>
          <w:sz w:val="28"/>
          <w:lang w:val="en-US" w:eastAsia="zh-CN"/>
        </w:rPr>
        <w:t>R</w:t>
      </w:r>
      <w:r>
        <w:rPr>
          <w:rFonts w:eastAsia="仿宋" w:hint="eastAsia"/>
          <w:b w:val="0"/>
          <w:sz w:val="28"/>
          <w:lang w:val="en-US" w:eastAsia="zh-CN"/>
        </w:rPr>
        <w:t>B</w:t>
      </w:r>
      <w:r>
        <w:rPr>
          <w:rFonts w:hint="eastAsia"/>
          <w:b w:val="0"/>
          <w:sz w:val="28"/>
          <w:lang w:val="en-US" w:eastAsia="zh-CN"/>
        </w:rPr>
        <w:t>300Φ10</w:t>
      </w:r>
      <w:r>
        <w:rPr>
          <w:rFonts w:eastAsia="仿宋" w:hint="eastAsia"/>
          <w:b w:val="0"/>
          <w:sz w:val="28"/>
          <w:lang w:val="en-US" w:eastAsia="zh-CN"/>
        </w:rPr>
        <w:t>@</w:t>
      </w:r>
      <w:r>
        <w:rPr>
          <w:rFonts w:hint="eastAsia"/>
          <w:b w:val="0"/>
          <w:sz w:val="28"/>
          <w:lang w:val="en-US" w:eastAsia="zh-CN"/>
        </w:rPr>
        <w:t>15</w:t>
      </w:r>
    </w:p>
    <w:p>
      <w:pPr>
        <w:spacing w:line="500" w:lineRule="auto"/>
        <w:rPr>
          <w:rFonts w:hint="eastAsia"/>
          <w:b w:val="0"/>
        </w:rPr>
      </w:pPr>
      <w:r>
        <w:rPr>
          <w:rFonts w:eastAsia="仿宋" w:hint="eastAsia"/>
          <w:b w:val="0"/>
          <w:sz w:val="28"/>
          <w:lang w:val="en-US" w:eastAsia="zh-CN"/>
        </w:rPr>
        <w:t>0，冠梁主筋直径D≥22mm的须采用机械连接，同一截面接头率不超过50%。箍筋与主筋采用点焊连接，采用搭接焊，单面焊搭接长度为10d。钢筋焊接须做焊接实验，合格后方能进行正式焊接。 </w:t>
      </w:r>
    </w:p>
    <w:p>
      <w:pPr>
        <w:spacing w:line="500" w:lineRule="auto"/>
        <w:rPr>
          <w:rFonts w:hint="eastAsia"/>
          <w:b w:val="0"/>
        </w:rPr>
      </w:pPr>
      <w:r>
        <w:rPr>
          <w:rFonts w:eastAsia="仿宋" w:hint="eastAsia"/>
          <w:b w:val="0"/>
          <w:sz w:val="28"/>
          <w:lang w:val="en-US" w:eastAsia="zh-CN"/>
        </w:rPr>
        <w:t>凡搭接区段范围内，搭接接头均应互相错开，同一搭接接头百分率不应＞50%。 钢筋保护层厚度不小于</w:t>
      </w:r>
      <w:r>
        <w:rPr>
          <w:rFonts w:hint="eastAsia"/>
          <w:b w:val="0"/>
          <w:sz w:val="28"/>
          <w:lang w:val="en-US" w:eastAsia="zh-CN"/>
        </w:rPr>
        <w:t>40</w:t>
      </w:r>
      <w:r>
        <w:rPr>
          <w:rFonts w:eastAsia="仿宋" w:hint="eastAsia"/>
          <w:b w:val="0"/>
          <w:sz w:val="28"/>
          <w:lang w:val="en-US" w:eastAsia="zh-CN"/>
        </w:rPr>
        <w:t>mm，采用</w:t>
      </w:r>
      <w:r>
        <w:rPr>
          <w:rFonts w:hint="eastAsia"/>
          <w:b w:val="0"/>
          <w:sz w:val="28"/>
          <w:lang w:val="en-US" w:eastAsia="zh-CN"/>
        </w:rPr>
        <w:t>预制</w:t>
      </w:r>
      <w:r>
        <w:rPr>
          <w:rFonts w:eastAsia="仿宋" w:hint="eastAsia"/>
          <w:b w:val="0"/>
          <w:sz w:val="28"/>
          <w:lang w:val="en-US" w:eastAsia="zh-CN"/>
        </w:rPr>
        <w:t>垫块进行控制。</w:t>
      </w:r>
    </w:p>
    <w:p>
      <w:pPr>
        <w:pStyle w:val="Heading4"/>
        <w:numPr>
          <w:ilvl w:val="0"/>
          <w:numId w:val="12"/>
        </w:numPr>
        <w:spacing w:line="500" w:lineRule="auto"/>
        <w:ind w:left="425" w:hanging="425" w:leftChars="0" w:firstLineChars="0"/>
        <w:rPr>
          <w:rFonts w:hint="eastAsia"/>
          <w:lang w:val="en-US" w:eastAsia="zh-CN"/>
        </w:rPr>
      </w:pPr>
      <w:bookmarkStart w:id="76" w:name="_Toc3767"/>
      <w:r>
        <w:rPr>
          <w:rFonts w:hint="eastAsia"/>
          <w:lang w:val="en-US" w:eastAsia="zh-CN"/>
        </w:rPr>
        <w:t> 模板工程 </w:t>
      </w:r>
      <w:bookmarkEnd w:id="76"/>
    </w:p>
    <w:p>
      <w:pPr>
        <w:numPr>
          <w:ilvl w:val="0"/>
          <w:numId w:val="13"/>
        </w:numPr>
        <w:spacing w:line="500" w:lineRule="auto"/>
        <w:ind w:left="0" w:firstLine="280" w:leftChars="0" w:firstLineChars="100"/>
        <w:rPr>
          <w:rFonts w:hint="eastAsia"/>
          <w:b w:val="0"/>
        </w:rPr>
      </w:pPr>
      <w:r>
        <w:rPr>
          <w:rFonts w:eastAsia="仿宋" w:hint="eastAsia"/>
          <w:b w:val="0"/>
          <w:sz w:val="28"/>
          <w:lang w:val="en-US" w:eastAsia="zh-CN"/>
        </w:rPr>
        <w:t>.模板和支架能承受钢筋混凝土和各项荷载，模板可以保证结构形状、位置和尺寸准确，构造简朴施工方便，便于搬运。 </w:t>
      </w:r>
    </w:p>
    <w:p>
      <w:pPr>
        <w:numPr>
          <w:ilvl w:val="0"/>
          <w:numId w:val="13"/>
        </w:numPr>
        <w:spacing w:line="500" w:lineRule="auto"/>
        <w:ind w:left="0" w:firstLine="400" w:leftChars="0" w:firstLineChars="0"/>
        <w:rPr>
          <w:rFonts w:hint="eastAsia"/>
          <w:b w:val="0"/>
        </w:rPr>
      </w:pPr>
      <w:r>
        <w:rPr>
          <w:rFonts w:eastAsia="仿宋" w:hint="eastAsia"/>
          <w:b w:val="0"/>
          <w:sz w:val="28"/>
          <w:lang w:val="en-US" w:eastAsia="zh-CN"/>
        </w:rPr>
        <w:t>.模板支立前清理干净并涂刷隔离剂，安装时牢固、平整，接缝严密不漏浆，相邻两块模板接缝高低差不应大于2mm。 </w:t>
      </w:r>
    </w:p>
    <w:p>
      <w:pPr>
        <w:numPr>
          <w:ilvl w:val="0"/>
          <w:numId w:val="13"/>
        </w:numPr>
        <w:spacing w:line="500" w:lineRule="auto"/>
        <w:ind w:left="0" w:firstLine="400" w:leftChars="0" w:firstLineChars="0"/>
        <w:rPr>
          <w:rFonts w:hint="eastAsia"/>
          <w:b w:val="0"/>
        </w:rPr>
      </w:pPr>
      <w:r>
        <w:rPr>
          <w:rFonts w:eastAsia="仿宋" w:hint="eastAsia"/>
          <w:b w:val="0"/>
          <w:sz w:val="28"/>
          <w:lang w:val="en-US" w:eastAsia="zh-CN"/>
        </w:rPr>
        <w:t>.在浇注混凝土前，模板应涂刷脱模剂，模板内的杂物要清理干净。 </w:t>
      </w:r>
    </w:p>
    <w:p>
      <w:pPr>
        <w:numPr>
          <w:ilvl w:val="0"/>
          <w:numId w:val="13"/>
        </w:numPr>
        <w:spacing w:line="500" w:lineRule="auto"/>
        <w:ind w:left="0" w:firstLine="400" w:leftChars="0" w:firstLineChars="0"/>
        <w:rPr>
          <w:rFonts w:hint="eastAsia"/>
          <w:b w:val="0"/>
        </w:rPr>
      </w:pPr>
      <w:r>
        <w:rPr>
          <w:rFonts w:eastAsia="仿宋" w:hint="eastAsia"/>
          <w:b w:val="0"/>
          <w:sz w:val="28"/>
          <w:lang w:val="en-US" w:eastAsia="zh-CN"/>
        </w:rPr>
        <w:t>.模板拆除 </w:t>
      </w:r>
    </w:p>
    <w:p>
      <w:pPr>
        <w:spacing w:line="500" w:lineRule="auto"/>
        <w:rPr>
          <w:rFonts w:hint="eastAsia"/>
          <w:b w:val="0"/>
        </w:rPr>
      </w:pPr>
      <w:r>
        <w:rPr>
          <w:rFonts w:eastAsia="仿宋" w:hint="eastAsia"/>
          <w:b w:val="0"/>
          <w:sz w:val="28"/>
          <w:lang w:val="en-US" w:eastAsia="zh-CN"/>
        </w:rPr>
        <w:t>⑴、拆除顺序：先拆除侧模，后拆除底模。 </w:t>
      </w:r>
    </w:p>
    <w:p>
      <w:pPr>
        <w:spacing w:line="500" w:lineRule="auto"/>
        <w:rPr>
          <w:rFonts w:hint="eastAsia"/>
          <w:b w:val="0"/>
        </w:rPr>
      </w:pPr>
      <w:r>
        <w:rPr>
          <w:rFonts w:eastAsia="仿宋" w:hint="eastAsia"/>
          <w:b w:val="0"/>
          <w:sz w:val="28"/>
          <w:lang w:val="en-US" w:eastAsia="zh-CN"/>
        </w:rPr>
        <w:t>⑵、拆除时间控制：侧模在浇筑24小时后，即可拆除。但不能损坏构件棱角，</w:t>
      </w:r>
      <w:r>
        <w:rPr>
          <w:rFonts w:hint="eastAsia"/>
          <w:b w:val="0"/>
          <w:sz w:val="28"/>
          <w:lang w:val="en-US" w:eastAsia="zh-CN"/>
        </w:rPr>
        <w:t>模板</w:t>
      </w:r>
      <w:r>
        <w:rPr>
          <w:rFonts w:eastAsia="仿宋" w:hint="eastAsia"/>
          <w:b w:val="0"/>
          <w:sz w:val="28"/>
          <w:lang w:val="en-US" w:eastAsia="zh-CN"/>
        </w:rPr>
        <w:t>拆除时强度应达成设计强度的75%。 </w:t>
      </w:r>
    </w:p>
    <w:p>
      <w:pPr>
        <w:spacing w:line="500" w:lineRule="auto"/>
        <w:rPr>
          <w:rFonts w:hint="eastAsia"/>
          <w:b w:val="0"/>
        </w:rPr>
      </w:pPr>
      <w:r>
        <w:rPr>
          <w:rFonts w:eastAsia="仿宋" w:hint="eastAsia"/>
          <w:b w:val="0"/>
          <w:sz w:val="28"/>
          <w:lang w:val="en-US" w:eastAsia="zh-CN"/>
        </w:rPr>
        <w:t>⑶、现场制做同条件养护试块，7天初期强度试件取样，作为</w:t>
      </w:r>
      <w:r>
        <w:rPr>
          <w:rFonts w:hint="eastAsia"/>
          <w:b w:val="0"/>
          <w:sz w:val="28"/>
          <w:lang w:val="en-US" w:eastAsia="zh-CN"/>
        </w:rPr>
        <w:t>模板</w:t>
      </w:r>
      <w:r>
        <w:rPr>
          <w:rFonts w:eastAsia="仿宋" w:hint="eastAsia"/>
          <w:b w:val="0"/>
          <w:sz w:val="28"/>
          <w:lang w:val="en-US" w:eastAsia="zh-CN"/>
        </w:rPr>
        <w:t>的拆除依据。根据实验强度拟定支撑</w:t>
      </w:r>
      <w:r>
        <w:rPr>
          <w:rFonts w:hint="eastAsia"/>
          <w:b w:val="0"/>
          <w:sz w:val="28"/>
          <w:lang w:val="en-US" w:eastAsia="zh-CN"/>
        </w:rPr>
        <w:t>模板</w:t>
      </w:r>
      <w:r>
        <w:rPr>
          <w:rFonts w:eastAsia="仿宋" w:hint="eastAsia"/>
          <w:b w:val="0"/>
          <w:sz w:val="28"/>
          <w:lang w:val="en-US" w:eastAsia="zh-CN"/>
        </w:rPr>
        <w:t>拆出时间，拆除时必须系项目部负责人审批后才可拆除。 </w:t>
      </w:r>
    </w:p>
    <w:p>
      <w:pPr>
        <w:numPr>
          <w:ilvl w:val="0"/>
          <w:numId w:val="13"/>
        </w:numPr>
        <w:spacing w:line="500" w:lineRule="auto"/>
        <w:ind w:left="0" w:firstLine="400" w:leftChars="0" w:firstLineChars="0"/>
        <w:rPr>
          <w:rFonts w:hint="eastAsia"/>
          <w:b w:val="0"/>
        </w:rPr>
      </w:pPr>
      <w:r>
        <w:rPr>
          <w:rFonts w:eastAsia="仿宋" w:hint="eastAsia"/>
          <w:b w:val="0"/>
          <w:sz w:val="28"/>
          <w:lang w:val="en-US" w:eastAsia="zh-CN"/>
        </w:rPr>
        <w:t>.混凝土缺陷解决  </w:t>
      </w:r>
    </w:p>
    <w:p>
      <w:pPr>
        <w:spacing w:line="500" w:lineRule="auto"/>
        <w:rPr>
          <w:rFonts w:hint="eastAsia"/>
          <w:b w:val="0"/>
        </w:rPr>
        <w:sectPr>
          <w:type w:val="nextPage"/>
          <w:pgSz w:w="11906" w:h="16838"/>
          <w:pgMar w:top="1134" w:right="1134" w:bottom="1134" w:left="1418" w:header="851" w:footer="992" w:gutter="0"/>
          <w:pgNumType w:fmt="decimal" w:start="32"/>
          <w:cols w:num="1" w:space="425"/>
          <w:titlePg w:val="0"/>
          <w:docGrid w:type="lines" w:linePitch="312" w:charSpace="0"/>
        </w:sectPr>
      </w:pPr>
    </w:p>
    <w:p>
      <w:pPr>
        <w:spacing w:line="500" w:lineRule="auto"/>
        <w:rPr>
          <w:rFonts w:hint="eastAsia"/>
          <w:b w:val="0"/>
        </w:rPr>
      </w:pPr>
      <w:r>
        <w:rPr>
          <w:rFonts w:eastAsia="仿宋" w:hint="eastAsia"/>
          <w:b w:val="0"/>
          <w:sz w:val="28"/>
          <w:lang w:val="en-US" w:eastAsia="zh-CN"/>
        </w:rPr>
        <w:t>⑴、混凝土拆模后，如表面由粗糙、不平整、蜂窝、孔洞、疏松麻面和却棱角等缺陷或不良外观时，应认真分析缺陷产生的因素，及时报告监理和业主，不得自行解决。  </w:t>
      </w:r>
    </w:p>
    <w:p>
      <w:pPr>
        <w:spacing w:line="500" w:lineRule="auto"/>
        <w:rPr>
          <w:rFonts w:hint="eastAsia"/>
          <w:b w:val="0"/>
        </w:rPr>
      </w:pPr>
      <w:r>
        <w:rPr>
          <w:rFonts w:eastAsia="仿宋" w:hint="eastAsia"/>
          <w:b w:val="0"/>
          <w:sz w:val="28"/>
          <w:lang w:val="en-US" w:eastAsia="zh-CN"/>
        </w:rPr>
        <w:t>⑵、当混凝土表面缺陷修补后，修补或填充的混凝土应与本体混凝土表面紧密结合，在填充、养护、和干燥后，所有填充物应坚固、物收缩缝或产生膨形区，表面平整且与相邻表面平齐，达成工程技术规范规定的相应等级及标准的规定。修补后混凝土的耐久性能应不低于本体混凝土。 </w:t>
      </w:r>
    </w:p>
    <w:p>
      <w:pPr>
        <w:pStyle w:val="Heading4"/>
        <w:numPr>
          <w:ilvl w:val="0"/>
          <w:numId w:val="12"/>
        </w:numPr>
        <w:spacing w:line="500" w:lineRule="auto"/>
        <w:ind w:left="425" w:hanging="425" w:leftChars="0" w:firstLineChars="0"/>
        <w:rPr>
          <w:rFonts w:hint="eastAsia"/>
          <w:lang w:val="en-US" w:eastAsia="zh-CN"/>
        </w:rPr>
      </w:pPr>
      <w:bookmarkStart w:id="77" w:name="_Toc7814"/>
      <w:r>
        <w:rPr>
          <w:rFonts w:hint="eastAsia"/>
          <w:lang w:val="en-US" w:eastAsia="zh-CN"/>
        </w:rPr>
        <w:t>混凝土浇筑 </w:t>
      </w:r>
      <w:bookmarkEnd w:id="77"/>
    </w:p>
    <w:p>
      <w:pPr>
        <w:numPr>
          <w:ilvl w:val="0"/>
          <w:numId w:val="14"/>
        </w:numPr>
        <w:spacing w:line="500" w:lineRule="auto"/>
        <w:ind w:left="0" w:firstLine="280" w:leftChars="0" w:firstLineChars="100"/>
        <w:rPr>
          <w:rFonts w:hint="eastAsia"/>
          <w:b w:val="0"/>
        </w:rPr>
      </w:pPr>
      <w:r>
        <w:rPr>
          <w:rFonts w:eastAsia="仿宋" w:hint="eastAsia"/>
          <w:b w:val="0"/>
          <w:sz w:val="28"/>
          <w:lang w:val="en-US" w:eastAsia="zh-CN"/>
        </w:rPr>
        <w:t>.灌注地点采用防冻、防雨措施，混凝土浇筑前对于模板、钢筋、预埋件进行检查。清除模内杂物，隐检合格后方能灌注混凝土，混凝土浇筑高程初凝前用振捣器振捣好后抹面。 </w:t>
      </w:r>
    </w:p>
    <w:p>
      <w:pPr>
        <w:numPr>
          <w:ilvl w:val="0"/>
          <w:numId w:val="14"/>
        </w:numPr>
        <w:spacing w:line="500" w:lineRule="auto"/>
        <w:ind w:left="0" w:firstLine="400" w:leftChars="0" w:firstLineChars="0"/>
        <w:rPr>
          <w:rFonts w:hint="eastAsia"/>
          <w:b w:val="0"/>
        </w:rPr>
      </w:pPr>
      <w:r>
        <w:rPr>
          <w:rFonts w:eastAsia="仿宋" w:hint="eastAsia"/>
          <w:b w:val="0"/>
          <w:sz w:val="28"/>
          <w:lang w:val="en-US" w:eastAsia="zh-CN"/>
        </w:rPr>
        <w:t>.保证冠梁混凝土质量措施如下</w:t>
      </w:r>
    </w:p>
    <w:p>
      <w:pPr>
        <w:spacing w:line="500" w:lineRule="auto"/>
        <w:rPr>
          <w:rFonts w:hint="eastAsia"/>
          <w:b w:val="0"/>
        </w:rPr>
      </w:pPr>
      <w:r>
        <w:rPr>
          <w:rFonts w:eastAsia="仿宋" w:hint="eastAsia"/>
          <w:b w:val="0"/>
          <w:sz w:val="28"/>
          <w:lang w:val="en-US" w:eastAsia="zh-CN"/>
        </w:rPr>
        <w:t> ⑴、采用的模板均涂抹脱模剂。 </w:t>
      </w:r>
    </w:p>
    <w:p>
      <w:pPr>
        <w:spacing w:line="500" w:lineRule="auto"/>
        <w:rPr>
          <w:rFonts w:hint="eastAsia"/>
          <w:b w:val="0"/>
        </w:rPr>
      </w:pPr>
      <w:r>
        <w:rPr>
          <w:rFonts w:eastAsia="仿宋" w:hint="eastAsia"/>
          <w:b w:val="0"/>
          <w:sz w:val="28"/>
          <w:lang w:val="en-US" w:eastAsia="zh-CN"/>
        </w:rPr>
        <w:t>⑵、凿平桩头，并用清水进行清洗，调直钢筋笼立筋，保护钢筋锚入梁体长度不小于400mm。 </w:t>
      </w:r>
    </w:p>
    <w:p>
      <w:pPr>
        <w:spacing w:line="500" w:lineRule="auto"/>
        <w:rPr>
          <w:rFonts w:hint="eastAsia"/>
          <w:b w:val="0"/>
        </w:rPr>
      </w:pPr>
      <w:r>
        <w:rPr>
          <w:rFonts w:eastAsia="仿宋" w:hint="eastAsia"/>
          <w:b w:val="0"/>
          <w:sz w:val="28"/>
          <w:lang w:val="en-US" w:eastAsia="zh-CN"/>
        </w:rPr>
        <w:t>⑶、混凝土浇筑过程中，快插慢拔、振捣密实。 </w:t>
      </w:r>
    </w:p>
    <w:p>
      <w:pPr>
        <w:spacing w:line="500" w:lineRule="auto"/>
        <w:rPr>
          <w:rFonts w:hint="eastAsia"/>
          <w:b w:val="0"/>
        </w:rPr>
      </w:pPr>
      <w:r>
        <w:rPr>
          <w:rFonts w:eastAsia="仿宋" w:hint="eastAsia"/>
          <w:b w:val="0"/>
          <w:sz w:val="28"/>
          <w:lang w:val="en-US" w:eastAsia="zh-CN"/>
        </w:rPr>
        <w:t>⑷、混凝土浇筑完毕后约三小时，混凝土开始初凝时进行压光作业。 </w:t>
      </w:r>
    </w:p>
    <w:p>
      <w:pPr>
        <w:spacing w:line="500" w:lineRule="auto"/>
        <w:rPr>
          <w:rFonts w:hint="eastAsia"/>
          <w:b w:val="0"/>
        </w:rPr>
      </w:pPr>
      <w:r>
        <w:rPr>
          <w:rFonts w:eastAsia="仿宋" w:hint="eastAsia"/>
          <w:b w:val="0"/>
          <w:sz w:val="28"/>
          <w:lang w:val="en-US" w:eastAsia="zh-CN"/>
        </w:rPr>
        <w:t>⑸、混凝土高度至设计标高。混凝土浇筑完毕12h后采用洒水养护不少于7d。</w:t>
      </w:r>
    </w:p>
    <w:p>
      <w:pPr>
        <w:spacing w:line="500" w:lineRule="auto"/>
        <w:rPr>
          <w:rFonts w:hint="eastAsia"/>
          <w:b w:val="0"/>
        </w:rPr>
        <w:sectPr>
          <w:type w:val="nextPage"/>
          <w:pgSz w:w="11906" w:h="16838"/>
          <w:pgMar w:top="1134" w:right="1134" w:bottom="1134" w:left="1418" w:header="851" w:footer="992" w:gutter="0"/>
          <w:pgNumType w:fmt="decimal" w:start="33"/>
          <w:cols w:num="1" w:space="425"/>
          <w:titlePg w:val="0"/>
          <w:docGrid w:type="lines" w:linePitch="312" w:charSpace="0"/>
        </w:sectPr>
      </w:pPr>
      <w:r>
        <w:rPr>
          <w:rFonts w:eastAsia="仿宋" w:hint="eastAsia"/>
          <w:b w:val="0"/>
          <w:sz w:val="28"/>
          <w:lang w:val="en-US" w:eastAsia="zh-CN"/>
        </w:rPr>
        <w:t> ⑹、混凝土试块按每次浇筑混凝土方量留置，≤100m³时留置2组。 </w:t>
      </w:r>
    </w:p>
    <w:p>
      <w:pPr>
        <w:pStyle w:val="Heading4"/>
        <w:numPr>
          <w:ilvl w:val="0"/>
          <w:numId w:val="12"/>
        </w:numPr>
        <w:spacing w:line="500" w:lineRule="auto"/>
        <w:ind w:left="425" w:hanging="425" w:leftChars="0" w:firstLineChars="0"/>
        <w:rPr>
          <w:rFonts w:hint="eastAsia"/>
          <w:lang w:val="en-US" w:eastAsia="zh-CN"/>
        </w:rPr>
      </w:pPr>
      <w:bookmarkStart w:id="78" w:name="_Toc17546"/>
      <w:r>
        <w:rPr>
          <w:rFonts w:hint="eastAsia"/>
          <w:lang w:val="en-US" w:eastAsia="zh-CN"/>
        </w:rPr>
        <w:t>墙背回填  </w:t>
      </w:r>
      <w:bookmarkEnd w:id="78"/>
    </w:p>
    <w:p>
      <w:pPr>
        <w:numPr>
          <w:ilvl w:val="0"/>
          <w:numId w:val="15"/>
        </w:numPr>
        <w:spacing w:line="500" w:lineRule="auto"/>
        <w:ind w:left="0" w:firstLine="560" w:leftChars="0" w:firstLineChars="200"/>
        <w:rPr>
          <w:rFonts w:hint="eastAsia"/>
          <w:b w:val="0"/>
        </w:rPr>
      </w:pPr>
      <w:r>
        <w:rPr>
          <w:rFonts w:eastAsia="仿宋" w:hint="eastAsia"/>
          <w:b w:val="0"/>
          <w:sz w:val="28"/>
          <w:lang w:val="en-US" w:eastAsia="zh-CN"/>
        </w:rPr>
        <w:t>.墙后填料采用碎石、卵石、砾石、粗砂等透水性好、抗剪强度较高的无粘性土，且满足墙背填料计算内摩擦角不小于35°。  </w:t>
      </w:r>
    </w:p>
    <w:p>
      <w:pPr>
        <w:numPr>
          <w:ilvl w:val="0"/>
          <w:numId w:val="15"/>
        </w:numPr>
        <w:spacing w:line="500" w:lineRule="auto"/>
        <w:ind w:left="0" w:firstLine="400" w:leftChars="0" w:firstLineChars="0"/>
        <w:rPr>
          <w:rFonts w:hint="eastAsia"/>
          <w:b w:val="0"/>
        </w:rPr>
      </w:pPr>
      <w:r>
        <w:rPr>
          <w:rFonts w:eastAsia="仿宋" w:hint="eastAsia"/>
          <w:b w:val="0"/>
          <w:sz w:val="28"/>
          <w:lang w:val="en-US" w:eastAsia="zh-CN"/>
        </w:rPr>
        <w:t>.回填填料须分层摊铺，每层松散摊铺厚度不得大于30cm，回填须逐层夯实，压实度不小于93%，夯实时应注意勿使墙身受较大冲击影响。  </w:t>
      </w:r>
    </w:p>
    <w:p>
      <w:pPr>
        <w:numPr>
          <w:ilvl w:val="0"/>
          <w:numId w:val="15"/>
        </w:numPr>
        <w:spacing w:line="500" w:lineRule="auto"/>
        <w:ind w:left="0" w:firstLine="400" w:leftChars="0" w:firstLineChars="0"/>
        <w:rPr>
          <w:rFonts w:hint="eastAsia"/>
          <w:b w:val="0"/>
        </w:rPr>
      </w:pPr>
      <w:r>
        <w:rPr>
          <w:rFonts w:eastAsia="仿宋" w:hint="eastAsia"/>
          <w:b w:val="0"/>
          <w:sz w:val="28"/>
          <w:lang w:val="en-US" w:eastAsia="zh-CN"/>
        </w:rPr>
        <w:t>.挡墙沉降缝宽20mm，设立位置根据施工图设立，且于地基性状和挡墙高度变化处设立沉降缝，缝中填塞沥青玻璃纤维、沥青麻筋、涂沥青木板等有机弹性的防水材料，填塞深度不小于200mm。</w:t>
      </w:r>
    </w:p>
    <w:p>
      <w:pPr>
        <w:pStyle w:val="Heading3"/>
        <w:spacing w:line="500" w:lineRule="auto"/>
        <w:rPr>
          <w:rFonts w:hint="eastAsia"/>
          <w:lang w:val="en-US" w:eastAsia="zh-CN"/>
        </w:rPr>
      </w:pPr>
      <w:r>
        <w:rPr>
          <w:rFonts w:hint="eastAsia"/>
          <w:lang w:val="en-US" w:eastAsia="zh-CN"/>
        </w:rPr>
        <w:t>高切坡开挖</w:t>
      </w:r>
    </w:p>
    <w:p>
      <w:pPr>
        <w:pStyle w:val="Heading4"/>
        <w:numPr>
          <w:ilvl w:val="0"/>
          <w:numId w:val="16"/>
        </w:numPr>
        <w:spacing w:line="500" w:lineRule="auto"/>
        <w:ind w:left="425" w:hanging="425" w:leftChars="0" w:firstLineChars="0"/>
        <w:rPr>
          <w:rFonts w:hint="eastAsia"/>
          <w:lang w:val="en-US" w:eastAsia="zh-CN"/>
        </w:rPr>
      </w:pPr>
      <w:r>
        <w:rPr>
          <w:rFonts w:hint="eastAsia"/>
          <w:lang w:val="en-US" w:eastAsia="zh-CN"/>
        </w:rPr>
        <w:t>施工流程 </w:t>
      </w:r>
    </w:p>
    <w:p>
      <w:pPr>
        <w:spacing w:line="500" w:lineRule="auto"/>
        <w:rPr>
          <w:rFonts w:hint="eastAsia"/>
        </w:rPr>
      </w:pPr>
      <w:r>
        <w:rPr>
          <w:rFonts w:eastAsia="仿宋" w:hint="eastAsia"/>
          <w:b w:val="0"/>
          <w:sz w:val="28"/>
          <w:lang w:val="en-US" w:eastAsia="zh-CN"/>
        </w:rPr>
        <w:t>施工准备→测量放样→</w:t>
      </w:r>
      <w:r>
        <w:rPr>
          <w:rFonts w:hint="eastAsia"/>
          <w:b w:val="0"/>
          <w:sz w:val="28"/>
          <w:lang w:val="en-US" w:eastAsia="zh-CN"/>
        </w:rPr>
        <w:t>高切坡开挖</w:t>
      </w:r>
      <w:r>
        <w:rPr>
          <w:rFonts w:eastAsia="仿宋" w:hint="eastAsia"/>
          <w:b w:val="0"/>
          <w:sz w:val="28"/>
          <w:lang w:val="en-US" w:eastAsia="zh-CN"/>
        </w:rPr>
        <w:t>→</w:t>
      </w:r>
      <w:r>
        <w:rPr>
          <w:rFonts w:hint="eastAsia"/>
          <w:b w:val="0"/>
          <w:sz w:val="28"/>
          <w:lang w:val="en-US" w:eastAsia="zh-CN"/>
        </w:rPr>
        <w:t>土方清运</w:t>
      </w:r>
      <w:r>
        <w:rPr>
          <w:rFonts w:eastAsia="仿宋" w:hint="eastAsia"/>
          <w:b w:val="0"/>
          <w:sz w:val="28"/>
          <w:lang w:val="en-US" w:eastAsia="zh-CN"/>
        </w:rPr>
        <w:t>→</w:t>
      </w:r>
      <w:r>
        <w:rPr>
          <w:rFonts w:hint="eastAsia"/>
          <w:b w:val="0"/>
          <w:sz w:val="28"/>
          <w:lang w:val="en-US" w:eastAsia="zh-CN"/>
        </w:rPr>
        <w:t>监控监测</w:t>
      </w:r>
    </w:p>
    <w:p>
      <w:pPr>
        <w:pStyle w:val="Heading4"/>
        <w:numPr>
          <w:ilvl w:val="0"/>
          <w:numId w:val="16"/>
        </w:numPr>
        <w:spacing w:line="500" w:lineRule="auto"/>
        <w:ind w:left="425" w:hanging="425" w:leftChars="0" w:firstLineChars="0"/>
        <w:rPr>
          <w:rFonts w:hint="eastAsia"/>
          <w:lang w:val="en-US" w:eastAsia="zh-CN"/>
        </w:rPr>
      </w:pPr>
      <w:bookmarkStart w:id="79" w:name="_Toc12350"/>
      <w:r>
        <w:rPr>
          <w:rFonts w:hint="eastAsia"/>
          <w:lang w:val="en-US" w:eastAsia="zh-CN"/>
        </w:rPr>
        <w:t>高切坡开挖  </w:t>
      </w:r>
      <w:bookmarkEnd w:id="79"/>
    </w:p>
    <w:p>
      <w:pPr>
        <w:spacing w:line="500" w:lineRule="auto"/>
        <w:rPr>
          <w:rFonts w:hint="eastAsia"/>
        </w:rPr>
      </w:pPr>
      <w:r>
        <w:rPr>
          <w:rFonts w:hint="eastAsia"/>
        </w:rPr>
        <w:t>施工前，需先进行</w:t>
      </w:r>
      <w:r>
        <w:rPr>
          <w:rFonts w:hint="eastAsia"/>
          <w:lang w:eastAsia="zh-CN"/>
        </w:rPr>
        <w:t>边坡</w:t>
      </w:r>
      <w:r>
        <w:rPr>
          <w:rFonts w:hint="eastAsia"/>
        </w:rPr>
        <w:t>清理，将坡面上的杂草、树木和杂物所有清理出场，不准杂物与高切坡多余土石方混合在一起。</w:t>
      </w:r>
    </w:p>
    <w:p>
      <w:pPr>
        <w:spacing w:line="500" w:lineRule="auto"/>
        <w:rPr>
          <w:rFonts w:hint="eastAsia"/>
        </w:rPr>
      </w:pPr>
      <w:r>
        <w:rPr>
          <w:rFonts w:hint="eastAsia"/>
        </w:rPr>
        <w:t>削坡整形工程应避免在雨季施工，施工前应做好施工区域内临时</w:t>
      </w:r>
      <w:r>
        <w:rPr>
          <w:rFonts w:hint="eastAsia"/>
          <w:lang w:eastAsia="zh-CN"/>
        </w:rPr>
        <w:t>截水沟、</w:t>
      </w:r>
      <w:r>
        <w:rPr>
          <w:rFonts w:hint="eastAsia"/>
        </w:rPr>
        <w:t>排水沟系统的总体规划，并注意与原天然排水系统相适应</w:t>
      </w:r>
      <w:r>
        <w:rPr>
          <w:rFonts w:hint="eastAsia"/>
          <w:lang w:eastAsia="zh-CN"/>
        </w:rPr>
        <w:t>，</w:t>
      </w:r>
      <w:r>
        <w:rPr>
          <w:rFonts w:hint="eastAsia"/>
        </w:rPr>
        <w:t>以保证边坡土石方顺利施工。施工期碰到降雨时必须采用措施对工作面进行临时封闭保护。 </w:t>
      </w:r>
    </w:p>
    <w:p>
      <w:pPr>
        <w:spacing w:line="500" w:lineRule="auto"/>
        <w:rPr>
          <w:rFonts w:hint="eastAsia"/>
        </w:rPr>
        <w:sectPr>
          <w:type w:val="nextPage"/>
          <w:pgSz w:w="11906" w:h="16838"/>
          <w:pgMar w:top="1134" w:right="1134" w:bottom="1134" w:left="1418" w:header="851" w:footer="992" w:gutter="0"/>
          <w:pgNumType w:fmt="decimal" w:start="34"/>
          <w:cols w:num="1" w:space="425"/>
          <w:titlePg w:val="0"/>
          <w:docGrid w:type="lines" w:linePitch="312" w:charSpace="0"/>
        </w:sectPr>
      </w:pPr>
      <w:r>
        <w:rPr>
          <w:rFonts w:hint="eastAsia"/>
        </w:rPr>
        <w:t>切坡区域</w:t>
      </w:r>
      <w:r>
        <w:rPr>
          <w:rFonts w:hint="eastAsia"/>
          <w:lang w:eastAsia="zh-CN"/>
        </w:rPr>
        <w:t>坡顶即为土两公路</w:t>
      </w:r>
      <w:r>
        <w:rPr>
          <w:rFonts w:hint="eastAsia"/>
        </w:rPr>
        <w:t>，为保证</w:t>
      </w:r>
      <w:r>
        <w:rPr>
          <w:rFonts w:hint="eastAsia"/>
          <w:lang w:eastAsia="zh-CN"/>
        </w:rPr>
        <w:t>既有</w:t>
      </w:r>
      <w:r>
        <w:rPr>
          <w:rFonts w:hint="eastAsia"/>
        </w:rPr>
        <w:t>道路安全，开挖过程中</w:t>
      </w:r>
      <w:r>
        <w:rPr>
          <w:rFonts w:hint="eastAsia"/>
          <w:lang w:eastAsia="zh-CN"/>
        </w:rPr>
        <w:t>土方</w:t>
      </w:r>
      <w:r>
        <w:rPr>
          <w:rFonts w:hint="eastAsia"/>
        </w:rPr>
        <w:t>采用人工配合机械开挖。开挖采用</w:t>
      </w:r>
      <w:r>
        <w:rPr>
          <w:rFonts w:hint="eastAsia"/>
          <w:lang w:eastAsia="zh-CN"/>
        </w:rPr>
        <w:t>顺</w:t>
      </w:r>
    </w:p>
    <w:p>
      <w:pPr>
        <w:spacing w:line="500" w:lineRule="auto"/>
        <w:rPr>
          <w:rFonts w:hint="eastAsia"/>
        </w:rPr>
      </w:pPr>
      <w:r>
        <w:rPr>
          <w:rFonts w:hint="eastAsia"/>
        </w:rPr>
        <w:t>做法，严格按照剖面图纸所示削坡线进行削坡，自上而下的分层分段进行开挖，运用开挖的土做支护平台，一次开挖高度3m，分层开挖</w:t>
      </w:r>
      <w:r>
        <w:rPr>
          <w:rFonts w:hint="eastAsia"/>
          <w:lang w:eastAsia="zh-CN"/>
        </w:rPr>
        <w:t>，每</w:t>
      </w:r>
      <w:r>
        <w:rPr>
          <w:rFonts w:hint="eastAsia"/>
          <w:lang w:val="en-US" w:eastAsia="zh-CN"/>
        </w:rPr>
        <w:t>8米设立一个平台，</w:t>
      </w:r>
      <w:r>
        <w:rPr>
          <w:rFonts w:hint="eastAsia"/>
        </w:rPr>
        <w:t>不能欠挖，也不准超挖。每</w:t>
      </w:r>
      <w:r>
        <w:rPr>
          <w:rFonts w:hint="eastAsia"/>
          <w:lang w:eastAsia="zh-CN"/>
        </w:rPr>
        <w:t>挖</w:t>
      </w:r>
      <w:r>
        <w:rPr>
          <w:rFonts w:hint="eastAsia"/>
        </w:rPr>
        <w:t>一层</w:t>
      </w:r>
      <w:r>
        <w:rPr>
          <w:rFonts w:hint="eastAsia"/>
          <w:lang w:eastAsia="zh-CN"/>
        </w:rPr>
        <w:t>运用平台作为出土</w:t>
      </w:r>
      <w:r>
        <w:rPr>
          <w:rFonts w:hint="eastAsia"/>
        </w:rPr>
        <w:t>通道，对整个坡面进行逐层、逐段向下开挖，直至设计标高</w:t>
      </w:r>
      <w:r>
        <w:rPr>
          <w:rFonts w:hint="eastAsia"/>
          <w:lang w:eastAsia="zh-CN"/>
        </w:rPr>
        <w:t>。为</w:t>
      </w:r>
      <w:r>
        <w:rPr>
          <w:rFonts w:hint="eastAsia"/>
        </w:rPr>
        <w:t>保证坡面平整、无松动岩块</w:t>
      </w:r>
      <w:r>
        <w:rPr>
          <w:rFonts w:hint="eastAsia"/>
          <w:lang w:eastAsia="zh-CN"/>
        </w:rPr>
        <w:t>，在切坡过程中，</w:t>
      </w:r>
      <w:r>
        <w:rPr>
          <w:rFonts w:hint="eastAsia"/>
        </w:rPr>
        <w:t>操作工人系好安全带、戴好安全帽，采用人工从上至下进行边坡清理，清除松散的岩石，并对突出较多的岩石进行凿打，使坡面大体平整。在清理过程中，坡脚</w:t>
      </w:r>
      <w:r>
        <w:rPr>
          <w:rFonts w:hint="eastAsia"/>
          <w:lang w:eastAsia="zh-CN"/>
        </w:rPr>
        <w:t>拉好</w:t>
      </w:r>
      <w:r>
        <w:rPr>
          <w:rFonts w:hint="eastAsia"/>
        </w:rPr>
        <w:t>警戒线</w:t>
      </w:r>
      <w:r>
        <w:rPr>
          <w:rFonts w:hint="eastAsia"/>
          <w:lang w:eastAsia="zh-CN"/>
        </w:rPr>
        <w:t>并采用硬防护措施防止高处坠落石方</w:t>
      </w:r>
      <w:r>
        <w:rPr>
          <w:rFonts w:hint="eastAsia"/>
        </w:rPr>
        <w:t>，并派专人看守。</w:t>
      </w:r>
    </w:p>
    <w:p>
      <w:pPr>
        <w:spacing w:line="500" w:lineRule="auto"/>
        <w:rPr>
          <w:rFonts w:hint="eastAsia"/>
        </w:rPr>
      </w:pPr>
      <w:r>
        <w:rPr>
          <w:rFonts w:hint="eastAsia"/>
        </w:rPr>
        <w:t>对风化破碎岩体，为保证施工中边坡的稳定和边坡防护的施工作业，采用阶梯式进行开挖，按设计规定的高度设立平台，形成阶梯边坡。对开挖的边坡应保证边坡的坡率的准确性一次到位</w:t>
      </w:r>
      <w:r>
        <w:rPr>
          <w:rFonts w:hint="eastAsia"/>
          <w:lang w:eastAsia="zh-CN"/>
        </w:rPr>
        <w:t>，将覆盖土层所有清除后再对岩质边坡进行锚杆格梁支护。</w:t>
      </w:r>
    </w:p>
    <w:p>
      <w:pPr>
        <w:spacing w:line="500" w:lineRule="auto"/>
        <w:jc w:val="center"/>
        <w:rPr>
          <w:rFonts w:hint="eastAsia"/>
        </w:rPr>
      </w:pPr>
      <w:r>
        <w:rPr>
          <w:rFonts w:hint="eastAsia"/>
        </w:rPr>
        <w:object>
          <v:shape id="_x0000_i1028" type="#_x0000_t75" style="width:466.95pt;height:183.45pt" o:oleicon="f" o:ole="" coordsize="21600,21600" o:preferrelative="t" filled="f" stroked="f">
            <v:imagedata r:id="rId10" o:title=""/>
            <o:lock v:ext="edit" aspectratio="f"/>
            <w10:anchorlock/>
          </v:shape>
          <o:OLEObject Type="Embed" ProgID="AutoCAD.Drawing.21" ShapeID="_x0000_i1028" DrawAspect="Content" ObjectID="_1468075726" r:id="rId11"/>
        </w:object>
      </w:r>
      <w:r>
        <w:rPr>
          <w:rFonts w:hint="eastAsia"/>
          <w:lang w:eastAsia="zh-CN"/>
        </w:rPr>
        <w:t>高切坡施工示意图</w:t>
      </w:r>
    </w:p>
    <w:p>
      <w:pPr>
        <w:pStyle w:val="Heading3"/>
        <w:spacing w:line="500" w:lineRule="auto"/>
        <w:rPr>
          <w:rFonts w:hint="eastAsia"/>
          <w:lang w:val="en-US" w:eastAsia="zh-CN"/>
        </w:rPr>
      </w:pPr>
      <w:bookmarkStart w:id="80" w:name="_Toc30747"/>
      <w:r>
        <w:rPr>
          <w:rFonts w:hint="eastAsia"/>
          <w:lang w:val="en-US" w:eastAsia="zh-CN"/>
        </w:rPr>
        <w:t>格架式锚杆施工</w:t>
      </w:r>
      <w:bookmarkEnd w:id="80"/>
    </w:p>
    <w:p>
      <w:pPr>
        <w:pStyle w:val="Heading4"/>
        <w:numPr>
          <w:ilvl w:val="0"/>
          <w:numId w:val="17"/>
        </w:numPr>
        <w:spacing w:line="500" w:lineRule="auto"/>
        <w:ind w:left="425" w:hanging="425" w:leftChars="0" w:firstLineChars="0"/>
        <w:rPr>
          <w:rFonts w:hint="eastAsia"/>
          <w:lang w:val="en-US" w:eastAsia="zh-CN"/>
        </w:rPr>
      </w:pPr>
      <w:bookmarkStart w:id="81" w:name="_Toc15039"/>
      <w:r>
        <w:rPr>
          <w:rFonts w:hint="eastAsia"/>
          <w:lang w:val="en-US" w:eastAsia="zh-CN"/>
        </w:rPr>
        <w:t>施工流程 </w:t>
      </w:r>
      <w:bookmarkEnd w:id="81"/>
    </w:p>
    <w:p>
      <w:pPr>
        <w:spacing w:line="500" w:lineRule="auto"/>
        <w:rPr>
          <w:rFonts w:hint="eastAsia"/>
          <w:b w:val="0"/>
        </w:rPr>
        <w:sectPr>
          <w:type w:val="nextPage"/>
          <w:pgSz w:w="11906" w:h="16838"/>
          <w:pgMar w:top="1134" w:right="1134" w:bottom="1134" w:left="1418" w:header="851" w:footer="992" w:gutter="0"/>
          <w:pgNumType w:fmt="decimal" w:start="35"/>
          <w:cols w:num="1" w:space="425"/>
          <w:titlePg w:val="0"/>
          <w:docGrid w:type="lines" w:linePitch="312" w:charSpace="0"/>
        </w:sectPr>
      </w:pPr>
      <w:r>
        <w:rPr>
          <w:rFonts w:eastAsia="仿宋" w:hint="eastAsia"/>
          <w:b w:val="0"/>
          <w:sz w:val="28"/>
          <w:lang w:val="en-US" w:eastAsia="zh-CN"/>
        </w:rPr>
        <w:t>施工准备→搭设施工脚手架及施工平台→</w:t>
      </w:r>
      <w:r>
        <w:rPr>
          <w:rFonts w:hint="eastAsia"/>
          <w:b w:val="0"/>
          <w:sz w:val="28"/>
          <w:lang w:val="en-US" w:eastAsia="zh-CN"/>
        </w:rPr>
        <w:t>锚杆施工</w:t>
      </w:r>
      <w:r>
        <w:rPr>
          <w:rFonts w:eastAsia="仿宋" w:hint="eastAsia"/>
          <w:b w:val="0"/>
          <w:sz w:val="28"/>
          <w:lang w:val="en-US" w:eastAsia="zh-CN"/>
        </w:rPr>
        <w:t>→框格梁</w:t>
      </w:r>
      <w:r>
        <w:rPr>
          <w:rFonts w:hint="eastAsia"/>
          <w:b w:val="0"/>
          <w:sz w:val="28"/>
          <w:lang w:val="en-US" w:eastAsia="zh-CN"/>
        </w:rPr>
        <w:t>施工</w:t>
      </w:r>
      <w:r>
        <w:rPr>
          <w:rFonts w:eastAsia="仿宋" w:hint="eastAsia"/>
          <w:b w:val="0"/>
          <w:sz w:val="28"/>
          <w:lang w:val="en-US" w:eastAsia="zh-CN"/>
        </w:rPr>
        <w:t>→</w:t>
      </w:r>
    </w:p>
    <w:p>
      <w:pPr>
        <w:spacing w:line="500" w:lineRule="auto"/>
        <w:rPr>
          <w:rFonts w:hint="eastAsia"/>
          <w:b w:val="0"/>
        </w:rPr>
      </w:pPr>
      <w:r>
        <w:rPr>
          <w:rFonts w:hint="eastAsia"/>
          <w:b w:val="0"/>
          <w:sz w:val="28"/>
          <w:lang w:val="en-US" w:eastAsia="zh-CN"/>
        </w:rPr>
        <w:t>截、排水沟</w:t>
      </w:r>
      <w:r>
        <w:rPr>
          <w:rFonts w:eastAsia="仿宋" w:hint="eastAsia"/>
          <w:b w:val="0"/>
          <w:sz w:val="28"/>
          <w:lang w:val="en-US" w:eastAsia="zh-CN"/>
        </w:rPr>
        <w:t>→所有拆除脚手架→养护→验收。</w:t>
      </w:r>
    </w:p>
    <w:p>
      <w:pPr>
        <w:pStyle w:val="Heading4"/>
        <w:numPr>
          <w:ilvl w:val="0"/>
          <w:numId w:val="17"/>
        </w:numPr>
        <w:spacing w:line="500" w:lineRule="auto"/>
        <w:ind w:left="425" w:hanging="425" w:leftChars="0" w:firstLineChars="0"/>
        <w:rPr>
          <w:rFonts w:hint="eastAsia"/>
          <w:lang w:val="en-US" w:eastAsia="zh-CN"/>
        </w:rPr>
      </w:pPr>
      <w:bookmarkStart w:id="82" w:name="_Toc22315"/>
      <w:r>
        <w:rPr>
          <w:rFonts w:hint="eastAsia"/>
          <w:lang w:val="en-US" w:eastAsia="zh-CN"/>
        </w:rPr>
        <w:t>搭设施工脚手架及操作平台 </w:t>
      </w:r>
      <w:bookmarkEnd w:id="82"/>
    </w:p>
    <w:p>
      <w:pPr>
        <w:numPr>
          <w:ilvl w:val="0"/>
          <w:numId w:val="18"/>
        </w:numPr>
        <w:spacing w:line="500" w:lineRule="auto"/>
        <w:ind w:left="0" w:firstLine="560" w:leftChars="0" w:firstLineChars="200"/>
        <w:rPr>
          <w:rFonts w:hint="eastAsia"/>
        </w:rPr>
      </w:pPr>
      <w:r>
        <w:rPr>
          <w:rFonts w:hint="eastAsia"/>
          <w:lang w:val="en-US" w:eastAsia="zh-CN"/>
        </w:rPr>
        <w:t>施工脚手架设计尺寸</w:t>
      </w:r>
    </w:p>
    <w:p>
      <w:pPr>
        <w:keepNext w:val="0"/>
        <w:keepLines w:val="0"/>
        <w:pageBreakBefore w:val="0"/>
        <w:widowControl w:val="0"/>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脚手架采用钢管扣件式综合爬坡脚手架体系，按照1：0.75坡比进行脚手架设计(坡比小于1:0.75的部位，采用常规直立式脚手架形式)。脚手架间排距结合坡面锚杆布置形式以及结构稳定性安排，采用单立杆。其立杆纵距=1.</w:t>
      </w:r>
      <w:r>
        <w:rPr>
          <w:rFonts w:ascii="仿宋" w:hAnsi="仿宋" w:cs="仿宋" w:hint="eastAsia"/>
          <w:sz w:val="28"/>
          <w:szCs w:val="28"/>
          <w:lang w:val="en-US" w:eastAsia="zh-CN"/>
        </w:rPr>
        <w:t>5</w:t>
      </w:r>
      <w:r>
        <w:rPr>
          <w:rFonts w:ascii="仿宋" w:eastAsia="仿宋" w:hAnsi="仿宋" w:cs="仿宋" w:hint="eastAsia"/>
          <w:sz w:val="28"/>
          <w:szCs w:val="28"/>
          <w:lang w:val="en-US" w:eastAsia="zh-CN"/>
        </w:rPr>
        <w:t>0m，立杆横距=1.</w:t>
      </w:r>
      <w:r>
        <w:rPr>
          <w:rFonts w:ascii="仿宋" w:hAnsi="仿宋" w:cs="仿宋" w:hint="eastAsia"/>
          <w:sz w:val="28"/>
          <w:szCs w:val="28"/>
          <w:lang w:val="en-US" w:eastAsia="zh-CN"/>
        </w:rPr>
        <w:t>5</w:t>
      </w:r>
      <w:r>
        <w:rPr>
          <w:rFonts w:ascii="仿宋" w:eastAsia="仿宋" w:hAnsi="仿宋" w:cs="仿宋" w:hint="eastAsia"/>
          <w:sz w:val="28"/>
          <w:szCs w:val="28"/>
          <w:lang w:val="en-US" w:eastAsia="zh-CN"/>
        </w:rPr>
        <w:t>0m，步距=1.50m，作业层0.50m，搭建高度与每级坡高相同，高度为10m左右，</w:t>
      </w:r>
      <w:r>
        <w:rPr>
          <w:rFonts w:eastAsia="仿宋" w:hint="eastAsia"/>
          <w:b w:val="0"/>
          <w:sz w:val="28"/>
          <w:lang w:val="en-US" w:eastAsia="zh-CN"/>
        </w:rPr>
        <w:t>此工程属于高边坡工程，搭设施工平台采用竹跳板搭设，故搭过程中注施工安全、扣件间的螺丝松紧限度、跳板两端应牢牢固定在脚手架上，严禁搭“瞎子跳、悬挑跳”。</w:t>
      </w:r>
      <w:r>
        <w:rPr>
          <w:rFonts w:ascii="仿宋" w:eastAsia="仿宋" w:hAnsi="仿宋" w:cs="仿宋" w:hint="eastAsia"/>
          <w:sz w:val="28"/>
          <w:szCs w:val="28"/>
          <w:lang w:val="en-US" w:eastAsia="zh-CN"/>
        </w:rPr>
        <w:t>见</w:t>
      </w:r>
      <w:r>
        <w:rPr>
          <w:rFonts w:ascii="仿宋" w:hAnsi="仿宋" w:cs="仿宋" w:hint="eastAsia"/>
          <w:sz w:val="28"/>
          <w:szCs w:val="28"/>
          <w:lang w:val="en-US" w:eastAsia="zh-CN"/>
        </w:rPr>
        <w:t>附</w:t>
      </w:r>
      <w:r>
        <w:rPr>
          <w:rFonts w:ascii="仿宋" w:eastAsia="仿宋" w:hAnsi="仿宋" w:cs="仿宋" w:hint="eastAsia"/>
          <w:sz w:val="28"/>
          <w:szCs w:val="28"/>
          <w:lang w:val="en-US" w:eastAsia="zh-CN"/>
        </w:rPr>
        <w:t>图所示。</w:t>
      </w:r>
    </w:p>
    <w:p>
      <w:pPr>
        <w:jc w:val="center"/>
        <w:rPr>
          <w:rFonts w:hint="eastAsia"/>
        </w:rPr>
      </w:pPr>
      <w:r>
        <w:rPr>
          <w:rFonts w:hint="eastAsia"/>
          <w:lang w:val="en-US" w:eastAsia="zh-CN"/>
        </w:rPr>
        <w:object>
          <v:shape id="_x0000_i1029" type="#_x0000_t75" style="width:432.8pt;height:166.6pt" o:oleicon="f" o:ole="" coordsize="21600,21600" o:preferrelative="t" filled="f" stroked="f">
            <v:imagedata r:id="rId12" o:title=""/>
            <o:lock v:ext="edit" aspectratio="f"/>
            <w10:anchorlock/>
          </v:shape>
          <o:OLEObject Type="Embed" ProgID="AutoCAD.Drawing.21" ShapeID="_x0000_i1029" DrawAspect="Content" ObjectID="_1468075727" r:id="rId13"/>
        </w:object>
      </w:r>
    </w:p>
    <w:p>
      <w:pPr>
        <w:spacing w:line="500" w:lineRule="auto"/>
        <w:jc w:val="center"/>
        <w:rPr>
          <w:rFonts w:hint="eastAsia"/>
        </w:rPr>
      </w:pPr>
      <w:r>
        <w:rPr>
          <w:rFonts w:hint="eastAsia"/>
          <w:lang w:val="en-US" w:eastAsia="zh-CN"/>
        </w:rPr>
        <w:t>支架搭设示意图</w:t>
      </w:r>
    </w:p>
    <w:p>
      <w:pPr>
        <w:numPr>
          <w:ilvl w:val="0"/>
          <w:numId w:val="18"/>
        </w:numPr>
        <w:spacing w:line="500" w:lineRule="auto"/>
        <w:ind w:left="0" w:firstLine="400" w:leftChars="0" w:firstLineChars="0"/>
        <w:rPr>
          <w:rFonts w:hint="eastAsia"/>
        </w:rPr>
      </w:pPr>
      <w:r>
        <w:rPr>
          <w:rFonts w:hint="eastAsia"/>
          <w:lang w:val="en-US" w:eastAsia="zh-CN"/>
        </w:rPr>
        <w:t>技术参数</w:t>
      </w:r>
    </w:p>
    <w:p>
      <w:pPr>
        <w:spacing w:line="500" w:lineRule="auto"/>
        <w:rPr>
          <w:rFonts w:ascii="仿宋" w:hAnsi="仿宋" w:cs="仿宋" w:hint="eastAsia"/>
          <w:szCs w:val="28"/>
        </w:rPr>
        <w:sectPr>
          <w:type w:val="nextPage"/>
          <w:pgSz w:w="11906" w:h="16838"/>
          <w:pgMar w:top="1134" w:right="1134" w:bottom="1134" w:left="1418" w:header="851" w:footer="992" w:gutter="0"/>
          <w:pgNumType w:fmt="decimal" w:start="36"/>
          <w:cols w:num="1" w:space="425"/>
          <w:titlePg w:val="0"/>
          <w:docGrid w:type="lines" w:linePitch="312" w:charSpace="0"/>
        </w:sectPr>
      </w:pPr>
      <w:r>
        <w:rPr>
          <w:rFonts w:ascii="仿宋" w:hAnsi="仿宋" w:cs="仿宋" w:hint="eastAsia"/>
          <w:sz w:val="28"/>
          <w:szCs w:val="28"/>
          <w:lang w:val="en-US" w:eastAsia="zh-CN"/>
        </w:rPr>
        <w:t>1)</w:t>
      </w:r>
      <w:r>
        <w:rPr>
          <w:rFonts w:ascii="仿宋" w:eastAsia="仿宋" w:hAnsi="仿宋" w:cs="仿宋" w:hint="eastAsia"/>
          <w:sz w:val="28"/>
          <w:szCs w:val="28"/>
          <w:lang w:val="en-US" w:eastAsia="zh-CN"/>
        </w:rPr>
        <w:t>采用的钢管尺寸均为Φ48mm×3.5mm，其质量符合现行国家标准《碳素结构钢》（GB/T700中）Q235-A级钢的规定（Q235钢抗拉、抗压、抗弯强度设计值=205N/mm</w:t>
      </w:r>
      <w:r>
        <w:rPr>
          <w:rFonts w:ascii="仿宋" w:eastAsia="仿宋" w:hAnsi="仿宋" w:cs="仿宋" w:hint="eastAsia"/>
          <w:sz w:val="28"/>
          <w:szCs w:val="28"/>
          <w:vertAlign w:val="superscript"/>
          <w:lang w:val="en-US" w:eastAsia="zh-CN"/>
        </w:rPr>
        <w:t>2</w:t>
      </w:r>
      <w:r>
        <w:rPr>
          <w:rFonts w:ascii="仿宋" w:eastAsia="仿宋" w:hAnsi="仿宋" w:cs="仿宋" w:hint="eastAsia"/>
          <w:sz w:val="28"/>
          <w:szCs w:val="28"/>
          <w:lang w:val="en-US" w:eastAsia="zh-CN"/>
        </w:rPr>
        <w:t>，弹性模量E=2.06×105N/mm</w:t>
      </w:r>
      <w:r>
        <w:rPr>
          <w:rFonts w:ascii="仿宋" w:eastAsia="仿宋" w:hAnsi="仿宋" w:cs="仿宋" w:hint="eastAsia"/>
          <w:sz w:val="28"/>
          <w:szCs w:val="28"/>
          <w:vertAlign w:val="superscript"/>
          <w:lang w:val="en-US" w:eastAsia="zh-CN"/>
        </w:rPr>
        <w:t>2</w:t>
      </w:r>
      <w:r>
        <w:rPr>
          <w:rFonts w:ascii="仿宋" w:eastAsia="仿宋" w:hAnsi="仿宋" w:cs="仿宋" w:hint="eastAsia"/>
          <w:sz w:val="28"/>
          <w:szCs w:val="28"/>
          <w:lang w:val="en-US" w:eastAsia="zh-CN"/>
        </w:rPr>
        <w:t>）。</w:t>
      </w:r>
    </w:p>
    <w:p>
      <w:pPr>
        <w:spacing w:line="500" w:lineRule="auto"/>
        <w:rPr>
          <w:rFonts w:ascii="仿宋" w:hAnsi="仿宋" w:cs="仿宋" w:hint="eastAsia"/>
          <w:szCs w:val="28"/>
        </w:rPr>
      </w:pPr>
      <w:r>
        <w:rPr>
          <w:rFonts w:ascii="仿宋" w:hAnsi="仿宋" w:cs="仿宋" w:hint="eastAsia"/>
          <w:sz w:val="28"/>
          <w:szCs w:val="28"/>
          <w:lang w:val="en-US" w:eastAsia="zh-CN"/>
        </w:rPr>
        <w:t>2)</w:t>
      </w:r>
      <w:r>
        <w:rPr>
          <w:rFonts w:ascii="仿宋" w:eastAsia="仿宋" w:hAnsi="仿宋" w:cs="仿宋" w:hint="eastAsia"/>
          <w:sz w:val="28"/>
          <w:szCs w:val="28"/>
          <w:lang w:val="en-US" w:eastAsia="zh-CN"/>
        </w:rPr>
        <w:t>静荷载如下：脚手板为5cm厚木脚手板，查表知其自重标准值为0.35kN/m</w:t>
      </w:r>
      <w:r>
        <w:rPr>
          <w:rFonts w:ascii="仿宋" w:eastAsia="仿宋" w:hAnsi="仿宋" w:cs="仿宋" w:hint="eastAsia"/>
          <w:sz w:val="28"/>
          <w:szCs w:val="28"/>
          <w:vertAlign w:val="superscript"/>
          <w:lang w:val="en-US" w:eastAsia="zh-CN"/>
        </w:rPr>
        <w:t>2</w:t>
      </w:r>
      <w:r>
        <w:rPr>
          <w:rFonts w:ascii="仿宋" w:eastAsia="仿宋" w:hAnsi="仿宋" w:cs="仿宋" w:hint="eastAsia"/>
          <w:sz w:val="28"/>
          <w:szCs w:val="28"/>
          <w:lang w:val="en-US" w:eastAsia="zh-CN"/>
        </w:rPr>
        <w:t>；每米立杆数承受的结构自重标准(kN/m</w:t>
      </w:r>
      <w:r>
        <w:rPr>
          <w:rFonts w:ascii="仿宋" w:eastAsia="仿宋" w:hAnsi="仿宋" w:cs="仿宋" w:hint="eastAsia"/>
          <w:sz w:val="28"/>
          <w:szCs w:val="28"/>
          <w:vertAlign w:val="superscript"/>
          <w:lang w:val="en-US" w:eastAsia="zh-CN"/>
        </w:rPr>
        <w:t>2</w:t>
      </w:r>
      <w:r>
        <w:rPr>
          <w:rFonts w:ascii="仿宋" w:eastAsia="仿宋" w:hAnsi="仿宋" w:cs="仿宋" w:hint="eastAsia"/>
          <w:sz w:val="28"/>
          <w:szCs w:val="28"/>
          <w:lang w:val="en-US" w:eastAsia="zh-CN"/>
        </w:rPr>
        <w:t>):0.1394；冲压钢挡脚板自重标准(kN/m</w:t>
      </w:r>
      <w:r>
        <w:rPr>
          <w:rFonts w:ascii="仿宋" w:eastAsia="仿宋" w:hAnsi="仿宋" w:cs="仿宋" w:hint="eastAsia"/>
          <w:sz w:val="28"/>
          <w:szCs w:val="28"/>
          <w:vertAlign w:val="superscript"/>
          <w:lang w:val="en-US" w:eastAsia="zh-CN"/>
        </w:rPr>
        <w:t>2</w:t>
      </w:r>
      <w:r>
        <w:rPr>
          <w:rFonts w:ascii="仿宋" w:eastAsia="仿宋" w:hAnsi="仿宋" w:cs="仿宋" w:hint="eastAsia"/>
          <w:sz w:val="28"/>
          <w:szCs w:val="28"/>
          <w:lang w:val="en-US" w:eastAsia="zh-CN"/>
        </w:rPr>
        <w:t>):0.110；</w:t>
      </w:r>
    </w:p>
    <w:p>
      <w:pPr>
        <w:spacing w:line="500" w:lineRule="auto"/>
        <w:rPr>
          <w:rFonts w:ascii="仿宋" w:hAnsi="仿宋" w:cs="仿宋" w:hint="eastAsia"/>
          <w:szCs w:val="28"/>
        </w:rPr>
      </w:pPr>
      <w:r>
        <w:rPr>
          <w:rFonts w:ascii="仿宋" w:hAnsi="仿宋" w:cs="仿宋" w:hint="eastAsia"/>
          <w:sz w:val="28"/>
          <w:szCs w:val="28"/>
          <w:lang w:val="en-US" w:eastAsia="zh-CN"/>
        </w:rPr>
        <w:t>3)</w:t>
      </w:r>
      <w:r>
        <w:rPr>
          <w:rFonts w:ascii="仿宋" w:eastAsia="仿宋" w:hAnsi="仿宋" w:cs="仿宋" w:hint="eastAsia"/>
          <w:sz w:val="28"/>
          <w:szCs w:val="28"/>
          <w:lang w:val="en-US" w:eastAsia="zh-CN"/>
        </w:rPr>
        <w:t>安全设施与安全网(kN/m</w:t>
      </w:r>
      <w:r>
        <w:rPr>
          <w:rFonts w:ascii="仿宋" w:eastAsia="仿宋" w:hAnsi="仿宋" w:cs="仿宋" w:hint="eastAsia"/>
          <w:sz w:val="28"/>
          <w:szCs w:val="28"/>
          <w:vertAlign w:val="superscript"/>
          <w:lang w:val="en-US" w:eastAsia="zh-CN"/>
        </w:rPr>
        <w:t>2</w:t>
      </w:r>
      <w:r>
        <w:rPr>
          <w:rFonts w:ascii="仿宋" w:eastAsia="仿宋" w:hAnsi="仿宋" w:cs="仿宋" w:hint="eastAsia"/>
          <w:sz w:val="28"/>
          <w:szCs w:val="28"/>
          <w:lang w:val="en-US" w:eastAsia="zh-CN"/>
        </w:rPr>
        <w:t xml:space="preserve"> ):0.005；脚手板铺设层数:</w:t>
      </w:r>
      <w:r>
        <w:rPr>
          <w:rFonts w:ascii="仿宋" w:hAnsi="仿宋" w:cs="仿宋" w:hint="eastAsia"/>
          <w:sz w:val="28"/>
          <w:szCs w:val="28"/>
          <w:lang w:val="en-US" w:eastAsia="zh-CN"/>
        </w:rPr>
        <w:t>2</w:t>
      </w:r>
      <w:r>
        <w:rPr>
          <w:rFonts w:ascii="仿宋" w:eastAsia="仿宋" w:hAnsi="仿宋" w:cs="仿宋" w:hint="eastAsia"/>
          <w:sz w:val="28"/>
          <w:szCs w:val="28"/>
          <w:lang w:val="en-US" w:eastAsia="zh-CN"/>
        </w:rPr>
        <w:t>。</w:t>
      </w:r>
    </w:p>
    <w:p>
      <w:pPr>
        <w:numPr>
          <w:ilvl w:val="0"/>
          <w:numId w:val="18"/>
        </w:numPr>
        <w:spacing w:line="500" w:lineRule="auto"/>
        <w:ind w:left="0" w:firstLine="400" w:leftChars="0" w:firstLineChars="0"/>
        <w:rPr>
          <w:rFonts w:hint="eastAsia"/>
        </w:rPr>
      </w:pPr>
      <w:r>
        <w:rPr>
          <w:rFonts w:hint="eastAsia"/>
          <w:lang w:val="en-US" w:eastAsia="zh-CN"/>
        </w:rPr>
        <w:t>脚手架稳定性措施</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uto"/>
        <w:ind w:left="0" w:right="0" w:firstLine="560" w:leftChars="0" w:rightChars="0" w:firstLineChars="200"/>
        <w:jc w:val="both"/>
        <w:textAlignment w:val="auto"/>
        <w:outlineLvl w:val="9"/>
        <w:rPr>
          <w:rFonts w:ascii="仿宋" w:hAnsi="仿宋" w:cs="仿宋" w:hint="eastAsia"/>
          <w:szCs w:val="28"/>
        </w:rPr>
      </w:pPr>
      <w:r>
        <w:rPr>
          <w:rFonts w:ascii="仿宋" w:eastAsia="仿宋" w:hAnsi="仿宋" w:cs="仿宋" w:hint="eastAsia"/>
          <w:sz w:val="28"/>
          <w:szCs w:val="28"/>
          <w:lang w:val="en-US" w:eastAsia="zh-CN"/>
        </w:rPr>
        <w:t>由于脚手架为边坡深浅层支护的重要载体，安全问题尤为重要，为了安全期间，脚手架设计过程中采用以下措施加强脚手架整体稳定性，具体如下：</w:t>
      </w:r>
    </w:p>
    <w:p>
      <w:pPr>
        <w:spacing w:line="500" w:lineRule="auto"/>
        <w:rPr>
          <w:rFonts w:hint="eastAsia"/>
        </w:rPr>
      </w:pPr>
      <w:r>
        <w:rPr>
          <w:rFonts w:hint="eastAsia"/>
          <w:lang w:val="en-US" w:eastAsia="zh-CN"/>
        </w:rPr>
        <w:t>1)沿纵向每4跨设立一道横向剪刀撑，剪刀撑沿高程方向连续设立；沿横向每2跨设立一道纵向剪刀撑，</w:t>
      </w:r>
      <w:bookmarkStart w:id="83" w:name="_GoBack"/>
      <w:bookmarkEnd w:id="83"/>
      <w:r>
        <w:rPr>
          <w:rFonts w:hint="eastAsia"/>
          <w:lang w:val="en-US" w:eastAsia="zh-CN"/>
        </w:rPr>
        <w:t>剪刀撑沿高程方向连续设立，以保证脚手架整体稳定；</w:t>
      </w:r>
    </w:p>
    <w:p>
      <w:pPr>
        <w:spacing w:line="500" w:lineRule="auto"/>
        <w:rPr>
          <w:rFonts w:hint="eastAsia"/>
        </w:rPr>
      </w:pPr>
      <w:r>
        <w:rPr>
          <w:rFonts w:hint="eastAsia"/>
          <w:lang w:val="en-US" w:eastAsia="zh-CN"/>
        </w:rPr>
        <w:t>2)每级马道临边设立一排地锚插筋与脚手架水平小横杆连接牢固，地锚间距与脚手架纵向间距一致，按照3m间距进行设立。通过以上局部加固，以起到分段卸荷和防止脚手架在钻机冲击反力作用下向外倾翻，保证高脚手架整体安全稳定。</w:t>
      </w:r>
    </w:p>
    <w:p>
      <w:pPr>
        <w:numPr>
          <w:ilvl w:val="0"/>
          <w:numId w:val="18"/>
        </w:numPr>
        <w:spacing w:line="500" w:lineRule="auto"/>
        <w:ind w:left="0" w:firstLine="400" w:leftChars="0" w:firstLineChars="0"/>
        <w:rPr>
          <w:rFonts w:hint="eastAsia"/>
        </w:rPr>
      </w:pPr>
      <w:r>
        <w:rPr>
          <w:rFonts w:hint="eastAsia"/>
          <w:lang w:val="en-US" w:eastAsia="zh-CN"/>
        </w:rPr>
        <w:t>脚手架构造规定</w:t>
      </w:r>
    </w:p>
    <w:p>
      <w:pPr>
        <w:spacing w:line="500" w:lineRule="auto"/>
        <w:rPr>
          <w:rFonts w:hint="eastAsia"/>
        </w:rPr>
      </w:pPr>
      <w:r>
        <w:rPr>
          <w:rFonts w:hint="eastAsia"/>
          <w:lang w:val="en-US" w:eastAsia="zh-CN"/>
        </w:rPr>
        <w:t>1)钢管宜采用力学性能适中的Q235钢材，其力学性能应符合国家现行标准《碳素结构钢》(GB/T 700-2023)中Q235钢的规定。每批钢材进场时，应有材质检查合格证。</w:t>
      </w:r>
    </w:p>
    <w:p>
      <w:pPr>
        <w:spacing w:line="500" w:lineRule="auto"/>
        <w:rPr>
          <w:rFonts w:hint="eastAsia"/>
        </w:rPr>
      </w:pPr>
      <w:r>
        <w:rPr>
          <w:rFonts w:hint="eastAsia"/>
          <w:lang w:val="en-US" w:eastAsia="zh-CN"/>
        </w:rPr>
        <w:t>2)钢管选用外径48mm，壁厚3.5mm的钢管。</w:t>
      </w:r>
      <w:r>
        <w:rPr>
          <w:rFonts w:hint="eastAsia"/>
        </w:rPr>
        <w:br/>
      </w:r>
      <w:r>
        <w:rPr>
          <w:rFonts w:hint="eastAsia"/>
        </w:rPr>
        <w:br/>
      </w:r>
    </w:p>
    <w:p>
      <w:pPr>
        <w:widowControl/>
        <w:spacing w:after="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https://d.book118.com/258013030142006024</w:t>
        </w:r>
      </w:hyperlink>
    </w:p>
    <w:p>
      <w:pPr>
        <w:spacing w:line="500" w:lineRule="auto"/>
        <w:rPr>
          <w:rFonts w:hint="eastAsia"/>
        </w:rPr>
      </w:pPr>
    </w:p>
    <w:sectPr>
      <w:type w:val="nextPage"/>
      <w:pgSz w:w="11906" w:h="16838"/>
      <w:pgMar w:top="1134" w:right="1134" w:bottom="1134" w:left="1418" w:header="851" w:footer="992" w:gutter="0"/>
      <w:pgNumType w:fmt="decimal"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UniversalMath1 BT">
    <w:panose1 w:val="05050102010205020602"/>
    <w:charset w:val="02"/>
    <w:family w:val="auto"/>
    <w:pitch w:val="default"/>
    <w:sig w:usb0="00000000" w:usb1="00000000" w:usb2="00000000" w:usb3="00000000" w:csb0="80000000" w:csb1="00000000"/>
  </w:font>
  <w:font w:name="RomanS">
    <w:panose1 w:val="02000400000000000000"/>
    <w:charset w:val="00"/>
    <w:family w:val="auto"/>
    <w:pitch w:val="default"/>
    <w:sig w:usb0="00000207" w:usb1="00000000" w:usb2="00000000" w:usb3="00000000" w:csb0="000001FF" w:csb1="00000000"/>
  </w:font>
  <w:font w:name="Microsoft Sans Serif">
    <w:panose1 w:val="020B0604020202020204"/>
    <w:charset w:val="00"/>
    <w:family w:val="auto"/>
    <w:pitch w:val="default"/>
    <w:sig w:usb0="E1002AFF" w:usb1="C0000002" w:usb2="00000008" w:usb3="00000000" w:csb0="200101FF" w:csb1="2028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PMingLiUfalt">
    <w:altName w:val="MingLiU"/>
    <w:panose1 w:val="00000000000000000000"/>
    <w:charset w:val="88"/>
    <w:family w:val="roman"/>
    <w:pitch w:val="default"/>
    <w:sig w:usb0="00000000" w:usb1="00000000" w:usb2="00000010" w:usb3="00000000" w:csb0="00100000" w:csb1="00000000"/>
  </w:font>
  <w:font w:name="Tahoma">
    <w:panose1 w:val="020B0604030504040204"/>
    <w:charset w:val="00"/>
    <w:family w:val="auto"/>
    <w:pitch w:val="default"/>
    <w:sig w:usb0="E1002EFF" w:usb1="C000605B" w:usb2="00000029" w:usb3="00000000" w:csb0="200101FF" w:csb1="20280000"/>
  </w:font>
  <w:font w:name="MingLiU">
    <w:panose1 w:val="02020509000000000000"/>
    <w:charset w:val="88"/>
    <w:family w:val="auto"/>
    <w:pitch w:val="default"/>
    <w:sig w:usb0="A00002FF" w:usb1="28CFFCFA" w:usb2="00000016" w:usb3="00000000" w:csb0="00100001"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ISOCPEUR">
    <w:panose1 w:val="020B0604020202020204"/>
    <w:charset w:val="00"/>
    <w:family w:val="auto"/>
    <w:pitch w:val="default"/>
    <w:sig w:usb0="00000287" w:usb1="00000000" w:usb2="00000000" w:usb3="00000000" w:csb0="4000009F" w:csb1="DFD70000"/>
  </w:font>
  <w:font w:name="Garamond">
    <w:altName w:val="RomanS"/>
    <w:panose1 w:val="02020404030301010803"/>
    <w:charset w:val="00"/>
    <w:family w:val="roman"/>
    <w:pitch w:val="default"/>
    <w:sig w:usb0="00000000" w:usb1="00000000" w:usb2="00000000" w:usb3="00000000" w:csb0="0000009F" w:csb1="00000000"/>
  </w:font>
  <w:font w:name="Verdana">
    <w:panose1 w:val="020B0604030504040204"/>
    <w:charset w:val="00"/>
    <w:family w:val="swiss"/>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方正准雅宋简">
    <w:altName w:val="宋体"/>
    <w:panose1 w:val="02000000000000000000"/>
    <w:charset w:val="86"/>
    <w:family w:val="auto"/>
    <w:pitch w:val="default"/>
    <w:sig w:usb0="00000000" w:usb1="00000000" w:usb2="00000000" w:usb3="00000000" w:csb0="00040000" w:csb1="00000000"/>
  </w:font>
  <w:font w:name="昆仑楷体">
    <w:altName w:val="宋体"/>
    <w:panose1 w:val="02010609000101010101"/>
    <w:charset w:val="86"/>
    <w:family w:val="modern"/>
    <w:pitch w:val="default"/>
    <w:sig w:usb0="00000000" w:usb1="00000000" w:usb2="00000010" w:usb3="00000000" w:csb0="00040000" w:csb1="00000000"/>
  </w:font>
  <w:font w:name="Dutch801 Rm BT">
    <w:panose1 w:val="02020603060505020304"/>
    <w:charset w:val="00"/>
    <w:family w:val="roman"/>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ystem">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Y.Lin">
    <w:altName w:val="宋体"/>
    <w:panose1 w:val="02010609030101010101"/>
    <w:charset w:val="86"/>
    <w:family w:val="modern"/>
    <w:pitch w:val="default"/>
    <w:sig w:usb0="00000000" w:usb1="00000000" w:usb2="00000000" w:usb3="00000000" w:csb0="00040000" w:csb1="00000000"/>
  </w:font>
  <w:font w:name="书体坊兰亭体">
    <w:altName w:val="宋体"/>
    <w:panose1 w:val="03000509000000000000"/>
    <w:charset w:val="86"/>
    <w:family w:val="auto"/>
    <w:pitch w:val="default"/>
    <w:sig w:usb0="00000000" w:usb1="00000000" w:usb2="00000000" w:usb3="00000000" w:csb0="00140000" w:csb1="00000000"/>
  </w:font>
  <w:font w:name="华文仿宋">
    <w:altName w:val="仿宋"/>
    <w:panose1 w:val="02010600040101010101"/>
    <w:charset w:val="86"/>
    <w:family w:val="auto"/>
    <w:pitch w:val="default"/>
    <w:sig w:usb0="00000000" w:usb1="00000000" w:usb2="00000000" w:usb3="00000000" w:csb0="0004009F" w:csb1="DFD70000"/>
  </w:font>
  <w:font w:name="宋体-方正超大字符集">
    <w:altName w:val="宋体"/>
    <w:panose1 w:val="00000000000000000000"/>
    <w:charset w:val="86"/>
    <w:family w:val="script"/>
    <w:pitch w:val="default"/>
    <w:sig w:usb0="00000000" w:usb1="00000000" w:usb2="0000001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Hiragino Sans GB">
    <w:altName w:val="AMGDT"/>
    <w:panose1 w:val="00000000000000000000"/>
    <w:charset w:val="00"/>
    <w:family w:val="auto"/>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 w:name="??">
    <w:altName w:val="AMGDT"/>
    <w:panose1 w:val="00000000000000000000"/>
    <w:charset w:val="00"/>
    <w:family w:val="auto"/>
    <w:pitch w:val="default"/>
    <w:sig w:usb0="00000000" w:usb1="00000000" w:usb2="00000000" w:usb3="00000000" w:csb0="00000001" w:csb1="00000000"/>
  </w:font>
  <w:font w:name="Comic Sans MS">
    <w:panose1 w:val="030F0702030302020204"/>
    <w:charset w:val="00"/>
    <w:family w:val="script"/>
    <w:pitch w:val="default"/>
    <w:sig w:usb0="00000287" w:usb1="00000000" w:usb2="00000000" w:usb3="00000000" w:csb0="2000009F" w:csb1="00000000"/>
  </w:font>
  <w:font w:name="Calibri Light">
    <w:panose1 w:val="020F0302020204030204"/>
    <w:charset w:val="00"/>
    <w:family w:val="swiss"/>
    <w:pitch w:val="default"/>
    <w:sig w:usb0="A00002EF" w:usb1="4000207B" w:usb2="00000000" w:usb3="00000000" w:csb0="2000019F" w:csb1="00000000"/>
  </w:font>
  <w:font w:name="宋体-18030">
    <w:altName w:val="宋体"/>
    <w:panose1 w:val="00000000000000000000"/>
    <w:charset w:val="86"/>
    <w:family w:val="modern"/>
    <w:pitch w:val="default"/>
    <w:sig w:usb0="00000000" w:usb1="00000000" w:usb2="00000010" w:usb3="00000000" w:csb0="00040000" w:csb1="00000000"/>
  </w:font>
  <w:font w:name="书体坊赵九江钢笔行书">
    <w:altName w:val="宋体"/>
    <w:panose1 w:val="03000509000000000000"/>
    <w:charset w:val="86"/>
    <w:family w:val="auto"/>
    <w:pitch w:val="default"/>
    <w:sig w:usb0="00000000" w:usb1="00000000" w:usb2="00000000" w:usb3="00000000" w:csb0="00040000" w:csb1="00000000"/>
  </w:font>
  <w:font w:name="Dotum">
    <w:panose1 w:val="020B0600000101010101"/>
    <w:charset w:val="81"/>
    <w:family w:val="swiss"/>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Yu Gothic UI">
    <w:altName w:val="Meiryo UI"/>
    <w:panose1 w:val="020B0500000000000000"/>
    <w:charset w:val="80"/>
    <w:family w:val="auto"/>
    <w:pitch w:val="default"/>
    <w:sig w:usb0="00000000" w:usb1="00000000" w:usb2="00000016" w:usb3="00000000" w:csb0="2002009F" w:csb1="00000000"/>
  </w:font>
  <w:font w:name="MingLiU-ExtB">
    <w:panose1 w:val="02020500000000000000"/>
    <w:charset w:val="88"/>
    <w:family w:val="auto"/>
    <w:pitch w:val="default"/>
    <w:sig w:usb0="8000002F" w:usb1="02000008" w:usb2="00000000" w:usb3="00000000" w:csb0="00100001" w:csb1="00000000"/>
  </w:font>
  <w:font w:name="PMingLiU-ExtB">
    <w:panose1 w:val="02020500000000000000"/>
    <w:charset w:val="88"/>
    <w:family w:val="auto"/>
    <w:pitch w:val="default"/>
    <w:sig w:usb0="8000002F" w:usb1="02000008" w:usb2="00000000" w:usb3="00000000" w:csb0="00100001" w:csb1="00000000"/>
  </w:font>
  <w:font w:name="Meiryo UI">
    <w:panose1 w:val="020B0604030504040204"/>
    <w:charset w:val="80"/>
    <w:family w:val="auto"/>
    <w:pitch w:val="default"/>
    <w:sig w:usb0="E10102FF" w:usb1="EAC7FFFF" w:usb2="00010012" w:usb3="00000000" w:csb0="6002009F" w:csb1="DFD70000"/>
  </w:font>
  <w:font w:name="于洪亮钢笔楷书简体（正式版）">
    <w:altName w:val="宋体"/>
    <w:panose1 w:val="02000603000000000000"/>
    <w:charset w:val="86"/>
    <w:family w:val="auto"/>
    <w:pitch w:val="default"/>
    <w:sig w:usb0="00000000" w:usb1="00000000" w:usb2="00000012" w:usb3="00000000" w:csb0="00040000" w:csb1="00000000"/>
  </w:font>
  <w:font w:name="凌氏随手体">
    <w:altName w:val="宋体"/>
    <w:panose1 w:val="02010600010101010101"/>
    <w:charset w:val="86"/>
    <w:family w:val="auto"/>
    <w:pitch w:val="default"/>
    <w:sig w:usb0="00000000" w:usb1="00000000" w:usb2="00000012" w:usb3="00000000" w:csb0="00040001" w:csb1="00000000"/>
  </w:font>
  <w:font w:name="字体管家娜娜体">
    <w:altName w:val="宋体"/>
    <w:panose1 w:val="00020600040101010101"/>
    <w:charset w:val="86"/>
    <w:family w:val="auto"/>
    <w:pitch w:val="default"/>
    <w:sig w:usb0="00000000" w:usb1="00000000" w:usb2="00000016" w:usb3="00000000" w:csb0="0004009F" w:csb1="DFD70000"/>
  </w:font>
  <w:font w:name="锐字云字库魏体1.0">
    <w:altName w:val="宋体"/>
    <w:panose1 w:val="02010604000000000000"/>
    <w:charset w:val="86"/>
    <w:family w:val="auto"/>
    <w:pitch w:val="default"/>
    <w:sig w:usb0="00000000" w:usb1="00000000" w:usb2="00000000" w:usb3="00000000" w:csb0="00040001" w:csb1="00000000"/>
  </w:font>
  <w:font w:name="腾祥倩影简">
    <w:altName w:val="宋体"/>
    <w:panose1 w:val="01010104010101010101"/>
    <w:charset w:val="86"/>
    <w:family w:val="auto"/>
    <w:pitch w:val="default"/>
    <w:sig w:usb0="00000000" w:usb1="00000000" w:usb2="00000012" w:usb3="00000000" w:csb0="00040001" w:csb1="00000000"/>
  </w:font>
  <w:font w:name="锐字云字库琥珀体1.0">
    <w:altName w:val="宋体"/>
    <w:panose1 w:val="02010604000000000000"/>
    <w:charset w:val="86"/>
    <w:family w:val="auto"/>
    <w:pitch w:val="default"/>
    <w:sig w:usb0="00000000" w:usb1="00000000" w:usb2="00000000" w:usb3="00000000" w:csb0="00040001" w:csb1="00000000"/>
  </w:font>
  <w:font w:name="书体坊郭小语钢笔楷体">
    <w:altName w:val="宋体"/>
    <w:panose1 w:val="02010601030101010101"/>
    <w:charset w:val="86"/>
    <w:family w:val="auto"/>
    <w:pitch w:val="default"/>
    <w:sig w:usb0="00000000" w:usb1="00000000" w:usb2="00000000" w:usb3="00000000" w:csb0="00040000" w:csb1="00000000"/>
  </w:font>
  <w:font w:name="书体坊雪纯体3500">
    <w:altName w:val="宋体"/>
    <w:panose1 w:val="02010601030101010101"/>
    <w:charset w:val="86"/>
    <w:family w:val="auto"/>
    <w:pitch w:val="default"/>
    <w:sig w:usb0="00000000" w:usb1="00000000" w:usb2="00000000" w:usb3="00000000" w:csb0="00040000" w:csb1="00000000"/>
  </w:font>
  <w:font w:name="全新硬笔楷书简">
    <w:altName w:val="宋体"/>
    <w:panose1 w:val="02010600040101010101"/>
    <w:charset w:val="86"/>
    <w:family w:val="auto"/>
    <w:pitch w:val="default"/>
    <w:sig w:usb0="00000000" w:usb1="00000000" w:usb2="00000000" w:usb3="00000000" w:csb0="00040000" w:csb1="00000000"/>
  </w:font>
  <w:font w:name="全新硬笔隶书简">
    <w:altName w:val="宋体"/>
    <w:panose1 w:val="02010600040101010101"/>
    <w:charset w:val="86"/>
    <w:family w:val="auto"/>
    <w:pitch w:val="default"/>
    <w:sig w:usb0="00000000" w:usb1="00000000" w:usb2="00000000" w:usb3="00000000" w:csb0="00040000" w:csb1="00000000"/>
  </w:font>
  <w:font w:name="Vrinda">
    <w:panose1 w:val="020B0502040204020203"/>
    <w:charset w:val="00"/>
    <w:family w:val="swiss"/>
    <w:pitch w:val="default"/>
    <w:sig w:usb0="00010003" w:usb1="00000000" w:usb2="00000000" w:usb3="00000000" w:csb0="00000001" w:csb1="00000000"/>
  </w:font>
  <w:font w:name="Segoe UI Symbol">
    <w:panose1 w:val="020B0502040204020203"/>
    <w:charset w:val="00"/>
    <w:family w:val="auto"/>
    <w:pitch w:val="default"/>
    <w:sig w:usb0="8000006F" w:usb1="1200FBEF" w:usb2="0064C000" w:usb3="00000002" w:csb0="00000001" w:csb1="4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2A7C1C1"/>
    <w:multiLevelType w:val="singleLevel"/>
    <w:tmpl w:val="587D8381"/>
    <w:lvl w:ilvl="0">
      <w:start w:val="1"/>
      <w:numFmt w:val="decimal"/>
      <w:lvlText w:val="%1)"/>
      <w:lvlJc w:val="left"/>
      <w:pPr>
        <w:ind w:left="425" w:hanging="425" w:leftChars="0" w:firstLineChars="0"/>
      </w:pPr>
      <w:rPr>
        <w:rFonts w:hint="default"/>
      </w:rPr>
    </w:lvl>
  </w:abstractNum>
  <w:abstractNum w:abstractNumId="1">
    <w:nsid w:val="57DB3DB7"/>
    <w:multiLevelType w:val="singleLevel"/>
    <w:tmpl w:val="57DB3DB7"/>
    <w:lvl w:ilvl="0">
      <w:start w:val="1"/>
      <w:numFmt w:val="decimal"/>
      <w:suff w:val="nothing"/>
      <w:lvlText w:val="%1．"/>
      <w:lvlJc w:val="left"/>
      <w:pPr>
        <w:ind w:left="0" w:firstLine="400"/>
      </w:pPr>
      <w:rPr>
        <w:rFonts w:hint="default"/>
      </w:rPr>
    </w:lvl>
  </w:abstractNum>
  <w:abstractNum w:abstractNumId="2">
    <w:nsid w:val="57F466CE"/>
    <w:multiLevelType w:val="singleLevel"/>
    <w:tmpl w:val="57F466CE"/>
    <w:lvl w:ilvl="0">
      <w:start w:val="1"/>
      <w:numFmt w:val="decimal"/>
      <w:suff w:val="nothing"/>
      <w:lvlText w:val="%1．"/>
      <w:lvlJc w:val="left"/>
      <w:pPr>
        <w:ind w:left="0" w:firstLine="400"/>
      </w:pPr>
      <w:rPr>
        <w:rFonts w:hint="default"/>
      </w:rPr>
    </w:lvl>
  </w:abstractNum>
  <w:abstractNum w:abstractNumId="3">
    <w:nsid w:val="57F4671A"/>
    <w:multiLevelType w:val="singleLevel"/>
    <w:tmpl w:val="57F4671A"/>
    <w:lvl w:ilvl="0">
      <w:start w:val="1"/>
      <w:numFmt w:val="bullet"/>
      <w:lvlText w:val=""/>
      <w:lvlJc w:val="left"/>
      <w:pPr>
        <w:ind w:left="420" w:hanging="420"/>
      </w:pPr>
      <w:rPr>
        <w:rFonts w:ascii="Wingdings" w:hAnsi="Wingdings" w:hint="default"/>
      </w:rPr>
    </w:lvl>
  </w:abstractNum>
  <w:abstractNum w:abstractNumId="4">
    <w:nsid w:val="57F468DF"/>
    <w:multiLevelType w:val="singleLevel"/>
    <w:tmpl w:val="57F468DF"/>
    <w:lvl w:ilvl="0">
      <w:start w:val="1"/>
      <w:numFmt w:val="decimal"/>
      <w:lvlText w:val="%1)"/>
      <w:lvlJc w:val="left"/>
      <w:pPr>
        <w:ind w:left="425" w:hanging="425"/>
      </w:pPr>
      <w:rPr>
        <w:rFonts w:hint="default"/>
      </w:rPr>
    </w:lvl>
  </w:abstractNum>
  <w:abstractNum w:abstractNumId="5">
    <w:nsid w:val="586C5EF5"/>
    <w:multiLevelType w:val="singleLevel"/>
    <w:tmpl w:val="586C5EF5"/>
    <w:lvl w:ilvl="0">
      <w:start w:val="1"/>
      <w:numFmt w:val="chineseCounting"/>
      <w:suff w:val="nothing"/>
      <w:lvlText w:val="（%1）"/>
      <w:lvlJc w:val="left"/>
      <w:pPr>
        <w:ind w:left="0" w:firstLine="420" w:leftChars="0" w:firstLineChars="0"/>
      </w:pPr>
      <w:rPr>
        <w:rFonts w:hint="eastAsia"/>
      </w:rPr>
    </w:lvl>
  </w:abstractNum>
  <w:abstractNum w:abstractNumId="6">
    <w:nsid w:val="586C5FB3"/>
    <w:multiLevelType w:val="singleLevel"/>
    <w:tmpl w:val="586C5FB3"/>
    <w:lvl w:ilvl="0">
      <w:start w:val="1"/>
      <w:numFmt w:val="chineseCounting"/>
      <w:suff w:val="nothing"/>
      <w:lvlText w:val="（%1）"/>
      <w:lvlJc w:val="left"/>
      <w:pPr>
        <w:ind w:left="0" w:firstLine="420"/>
      </w:pPr>
      <w:rPr>
        <w:rFonts w:hint="eastAsia"/>
      </w:rPr>
    </w:lvl>
  </w:abstractNum>
  <w:abstractNum w:abstractNumId="7">
    <w:nsid w:val="586C5FC7"/>
    <w:multiLevelType w:val="singleLevel"/>
    <w:tmpl w:val="586C5FC7"/>
    <w:lvl w:ilvl="0">
      <w:start w:val="1"/>
      <w:numFmt w:val="chineseCounting"/>
      <w:suff w:val="nothing"/>
      <w:lvlText w:val="（%1）"/>
      <w:lvlJc w:val="left"/>
      <w:pPr>
        <w:ind w:left="0" w:firstLine="420" w:leftChars="0" w:firstLineChars="0"/>
      </w:pPr>
      <w:rPr>
        <w:rFonts w:hint="eastAsia"/>
      </w:rPr>
    </w:lvl>
  </w:abstractNum>
  <w:abstractNum w:abstractNumId="8">
    <w:nsid w:val="586C7372"/>
    <w:multiLevelType w:val="singleLevel"/>
    <w:tmpl w:val="586C7372"/>
    <w:lvl w:ilvl="0">
      <w:start w:val="1"/>
      <w:numFmt w:val="decimal"/>
      <w:pStyle w:val="Heading3"/>
      <w:suff w:val="nothing"/>
      <w:lvlText w:val="%1．"/>
      <w:lvlJc w:val="left"/>
      <w:pPr>
        <w:ind w:left="0" w:firstLine="400" w:leftChars="0" w:firstLineChars="0"/>
      </w:pPr>
      <w:rPr>
        <w:rFonts w:hint="default"/>
      </w:rPr>
    </w:lvl>
  </w:abstractNum>
  <w:abstractNum w:abstractNumId="9">
    <w:nsid w:val="586CAFC8"/>
    <w:multiLevelType w:val="singleLevel"/>
    <w:tmpl w:val="586CAFC8"/>
    <w:lvl w:ilvl="0">
      <w:start w:val="1"/>
      <w:numFmt w:val="chineseCounting"/>
      <w:pStyle w:val="Heading2"/>
      <w:suff w:val="nothing"/>
      <w:lvlText w:val="（%1）"/>
      <w:lvlJc w:val="left"/>
      <w:pPr>
        <w:ind w:left="0" w:firstLine="420" w:leftChars="0" w:firstLineChars="0"/>
      </w:pPr>
      <w:rPr>
        <w:rFonts w:hint="eastAsia"/>
      </w:rPr>
    </w:lvl>
  </w:abstractNum>
  <w:abstractNum w:abstractNumId="10">
    <w:nsid w:val="586CAFD9"/>
    <w:multiLevelType w:val="singleLevel"/>
    <w:tmpl w:val="586CAFD9"/>
    <w:lvl w:ilvl="0">
      <w:start w:val="1"/>
      <w:numFmt w:val="chineseCounting"/>
      <w:suff w:val="nothing"/>
      <w:lvlText w:val="（%1）"/>
      <w:lvlJc w:val="left"/>
      <w:pPr>
        <w:ind w:left="0" w:firstLine="420" w:leftChars="0" w:firstLineChars="0"/>
      </w:pPr>
      <w:rPr>
        <w:rFonts w:hint="eastAsia"/>
      </w:rPr>
    </w:lvl>
  </w:abstractNum>
  <w:abstractNum w:abstractNumId="11">
    <w:nsid w:val="586DC1A0"/>
    <w:multiLevelType w:val="singleLevel"/>
    <w:tmpl w:val="586DC1A0"/>
    <w:lvl w:ilvl="0">
      <w:start w:val="1"/>
      <w:numFmt w:val="lowerLetter"/>
      <w:suff w:val="nothing"/>
      <w:lvlText w:val="%1、"/>
      <w:lvlJc w:val="left"/>
    </w:lvl>
  </w:abstractNum>
  <w:abstractNum w:abstractNumId="12">
    <w:nsid w:val="587D8381"/>
    <w:multiLevelType w:val="singleLevel"/>
    <w:tmpl w:val="587D8381"/>
    <w:lvl w:ilvl="0">
      <w:start w:val="1"/>
      <w:numFmt w:val="decimal"/>
      <w:lvlText w:val="%1)"/>
      <w:lvlJc w:val="left"/>
      <w:pPr>
        <w:ind w:left="425" w:hanging="425" w:leftChars="0" w:firstLineChars="0"/>
      </w:pPr>
      <w:rPr>
        <w:rFonts w:hint="default"/>
      </w:rPr>
    </w:lvl>
  </w:abstractNum>
  <w:abstractNum w:abstractNumId="13">
    <w:nsid w:val="587D83FB"/>
    <w:multiLevelType w:val="singleLevel"/>
    <w:tmpl w:val="587D83FB"/>
    <w:lvl w:ilvl="0">
      <w:start w:val="1"/>
      <w:numFmt w:val="decimal"/>
      <w:lvlText w:val="%1)"/>
      <w:lvlJc w:val="left"/>
      <w:pPr>
        <w:ind w:left="425" w:hanging="425" w:leftChars="0" w:firstLineChars="0"/>
      </w:pPr>
      <w:rPr>
        <w:rFonts w:hint="default"/>
      </w:rPr>
    </w:lvl>
  </w:abstractNum>
  <w:abstractNum w:abstractNumId="14">
    <w:nsid w:val="587D847E"/>
    <w:multiLevelType w:val="singleLevel"/>
    <w:tmpl w:val="587D847E"/>
    <w:lvl w:ilvl="0">
      <w:start w:val="1"/>
      <w:numFmt w:val="decimalEnclosedCircleChinese"/>
      <w:suff w:val="nothing"/>
      <w:lvlText w:val="%1　"/>
      <w:lvlJc w:val="left"/>
      <w:pPr>
        <w:ind w:left="0" w:firstLine="400" w:leftChars="0" w:firstLineChars="0"/>
      </w:pPr>
      <w:rPr>
        <w:rFonts w:hint="eastAsia"/>
      </w:rPr>
    </w:lvl>
  </w:abstractNum>
  <w:abstractNum w:abstractNumId="15">
    <w:nsid w:val="587D85E0"/>
    <w:multiLevelType w:val="singleLevel"/>
    <w:tmpl w:val="587D85E0"/>
    <w:lvl w:ilvl="0">
      <w:start w:val="1"/>
      <w:numFmt w:val="decimal"/>
      <w:pStyle w:val="Heading4"/>
      <w:lvlText w:val="%1)"/>
      <w:lvlJc w:val="left"/>
      <w:pPr>
        <w:ind w:left="425" w:hanging="425" w:leftChars="0" w:firstLineChars="0"/>
      </w:pPr>
      <w:rPr>
        <w:rFonts w:hint="default"/>
      </w:rPr>
    </w:lvl>
  </w:abstractNum>
  <w:abstractNum w:abstractNumId="16">
    <w:nsid w:val="587D85F1"/>
    <w:multiLevelType w:val="singleLevel"/>
    <w:tmpl w:val="587D85F1"/>
    <w:lvl w:ilvl="0">
      <w:start w:val="1"/>
      <w:numFmt w:val="decimal"/>
      <w:lvlText w:val="%1)"/>
      <w:lvlJc w:val="left"/>
      <w:pPr>
        <w:ind w:left="425" w:hanging="425" w:leftChars="0" w:firstLineChars="0"/>
      </w:pPr>
      <w:rPr>
        <w:rFonts w:hint="default"/>
      </w:rPr>
    </w:lvl>
  </w:abstractNum>
  <w:abstractNum w:abstractNumId="17">
    <w:nsid w:val="587D8683"/>
    <w:multiLevelType w:val="singleLevel"/>
    <w:tmpl w:val="587D8683"/>
    <w:lvl w:ilvl="0">
      <w:start w:val="1"/>
      <w:numFmt w:val="decimalEnclosedCircleChinese"/>
      <w:suff w:val="nothing"/>
      <w:lvlText w:val="%1　"/>
      <w:lvlJc w:val="left"/>
      <w:pPr>
        <w:ind w:left="0" w:firstLine="400" w:leftChars="0" w:firstLineChars="0"/>
      </w:pPr>
      <w:rPr>
        <w:rFonts w:hint="eastAsia"/>
      </w:rPr>
    </w:lvl>
  </w:abstractNum>
  <w:abstractNum w:abstractNumId="18">
    <w:nsid w:val="587D8711"/>
    <w:multiLevelType w:val="singleLevel"/>
    <w:tmpl w:val="587D8711"/>
    <w:lvl w:ilvl="0">
      <w:start w:val="1"/>
      <w:numFmt w:val="decimal"/>
      <w:lvlText w:val="%1)"/>
      <w:lvlJc w:val="left"/>
      <w:pPr>
        <w:ind w:left="425" w:hanging="425" w:leftChars="0" w:firstLineChars="0"/>
      </w:pPr>
      <w:rPr>
        <w:rFonts w:hint="default"/>
      </w:rPr>
    </w:lvl>
  </w:abstractNum>
  <w:abstractNum w:abstractNumId="19">
    <w:nsid w:val="587D8753"/>
    <w:multiLevelType w:val="singleLevel"/>
    <w:tmpl w:val="587D8753"/>
    <w:lvl w:ilvl="0">
      <w:start w:val="1"/>
      <w:numFmt w:val="decimal"/>
      <w:lvlText w:val="%1)"/>
      <w:lvlJc w:val="left"/>
      <w:pPr>
        <w:ind w:left="425" w:hanging="425" w:leftChars="0" w:firstLineChars="0"/>
      </w:pPr>
      <w:rPr>
        <w:rFonts w:hint="default"/>
      </w:rPr>
    </w:lvl>
  </w:abstractNum>
  <w:abstractNum w:abstractNumId="20">
    <w:nsid w:val="587D8A3C"/>
    <w:multiLevelType w:val="singleLevel"/>
    <w:tmpl w:val="587D8A3C"/>
    <w:lvl w:ilvl="0">
      <w:start w:val="1"/>
      <w:numFmt w:val="decimal"/>
      <w:lvlText w:val="%1)"/>
      <w:lvlJc w:val="left"/>
      <w:pPr>
        <w:ind w:left="425" w:hanging="425" w:leftChars="0" w:firstLineChars="0"/>
      </w:pPr>
      <w:rPr>
        <w:rFonts w:hint="default"/>
      </w:rPr>
    </w:lvl>
  </w:abstractNum>
  <w:abstractNum w:abstractNumId="21">
    <w:nsid w:val="587D8BE0"/>
    <w:multiLevelType w:val="singleLevel"/>
    <w:tmpl w:val="587D8BE0"/>
    <w:lvl w:ilvl="0">
      <w:start w:val="1"/>
      <w:numFmt w:val="decimal"/>
      <w:lvlText w:val="（%1）"/>
      <w:lvlJc w:val="left"/>
      <w:pPr>
        <w:tabs>
          <w:tab w:val="left" w:pos="420"/>
        </w:tabs>
        <w:ind w:left="425" w:hanging="425" w:leftChars="0" w:firstLineChars="0"/>
      </w:pPr>
      <w:rPr>
        <w:rFonts w:ascii="宋体" w:eastAsia="宋体" w:hAnsi="宋体" w:cs="宋体" w:hint="default"/>
      </w:rPr>
    </w:lvl>
  </w:abstractNum>
  <w:abstractNum w:abstractNumId="22">
    <w:nsid w:val="587D8C21"/>
    <w:multiLevelType w:val="singleLevel"/>
    <w:tmpl w:val="587D8C21"/>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23">
    <w:nsid w:val="587D8C58"/>
    <w:multiLevelType w:val="singleLevel"/>
    <w:tmpl w:val="587D8C58"/>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24">
    <w:nsid w:val="587D8C83"/>
    <w:multiLevelType w:val="singleLevel"/>
    <w:tmpl w:val="587D8C83"/>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25">
    <w:nsid w:val="587D8D76"/>
    <w:multiLevelType w:val="singleLevel"/>
    <w:tmpl w:val="587D8D76"/>
    <w:lvl w:ilvl="0">
      <w:start w:val="1"/>
      <w:numFmt w:val="decimal"/>
      <w:lvlText w:val="（%1）"/>
      <w:lvlJc w:val="left"/>
      <w:pPr>
        <w:tabs>
          <w:tab w:val="left" w:pos="420"/>
        </w:tabs>
        <w:ind w:left="425" w:hanging="425" w:leftChars="0" w:firstLineChars="0"/>
      </w:pPr>
      <w:rPr>
        <w:rFonts w:hint="default"/>
      </w:rPr>
    </w:lvl>
  </w:abstractNum>
  <w:abstractNum w:abstractNumId="26">
    <w:nsid w:val="587D8DBB"/>
    <w:multiLevelType w:val="singleLevel"/>
    <w:tmpl w:val="587D8DBB"/>
    <w:lvl w:ilvl="0">
      <w:start w:val="1"/>
      <w:numFmt w:val="decimal"/>
      <w:suff w:val="nothing"/>
      <w:lvlText w:val="%1．"/>
      <w:lvlJc w:val="left"/>
      <w:pPr>
        <w:ind w:left="0" w:firstLine="400" w:leftChars="0" w:firstLineChars="0"/>
      </w:pPr>
      <w:rPr>
        <w:rFonts w:hint="default"/>
      </w:rPr>
    </w:lvl>
  </w:abstractNum>
  <w:abstractNum w:abstractNumId="27">
    <w:nsid w:val="58802F1D"/>
    <w:multiLevelType w:val="singleLevel"/>
    <w:tmpl w:val="58802F1D"/>
    <w:lvl w:ilvl="0">
      <w:start w:val="1"/>
      <w:numFmt w:val="decimalEnclosedCircleChinese"/>
      <w:suff w:val="nothing"/>
      <w:lvlText w:val="%1　"/>
      <w:lvlJc w:val="left"/>
      <w:pPr>
        <w:ind w:left="0" w:firstLine="400" w:leftChars="0" w:firstLineChars="0"/>
      </w:pPr>
      <w:rPr>
        <w:rFonts w:hint="eastAsia"/>
      </w:rPr>
    </w:lvl>
  </w:abstractNum>
  <w:abstractNum w:abstractNumId="28">
    <w:nsid w:val="58802F59"/>
    <w:multiLevelType w:val="singleLevel"/>
    <w:tmpl w:val="58802F59"/>
    <w:lvl w:ilvl="0">
      <w:start w:val="1"/>
      <w:numFmt w:val="decimalEnclosedCircleChinese"/>
      <w:suff w:val="nothing"/>
      <w:lvlText w:val="%1　"/>
      <w:lvlJc w:val="left"/>
      <w:pPr>
        <w:ind w:left="0" w:firstLine="400" w:leftChars="0" w:firstLineChars="0"/>
      </w:pPr>
      <w:rPr>
        <w:rFonts w:hint="eastAsia"/>
      </w:rPr>
    </w:lvl>
  </w:abstractNum>
  <w:abstractNum w:abstractNumId="29">
    <w:nsid w:val="58802F75"/>
    <w:multiLevelType w:val="singleLevel"/>
    <w:tmpl w:val="58802F75"/>
    <w:lvl w:ilvl="0">
      <w:start w:val="1"/>
      <w:numFmt w:val="decimalEnclosedCircleChinese"/>
      <w:suff w:val="nothing"/>
      <w:lvlText w:val="%1　"/>
      <w:lvlJc w:val="left"/>
      <w:pPr>
        <w:ind w:left="0" w:firstLine="400" w:leftChars="0" w:firstLineChars="0"/>
      </w:pPr>
      <w:rPr>
        <w:rFonts w:hint="eastAsia"/>
      </w:rPr>
    </w:lvl>
  </w:abstractNum>
  <w:abstractNum w:abstractNumId="30">
    <w:nsid w:val="634CAA50"/>
    <w:multiLevelType w:val="singleLevel"/>
    <w:tmpl w:val="586C5FB3"/>
    <w:lvl w:ilvl="0">
      <w:start w:val="1"/>
      <w:numFmt w:val="chineseCounting"/>
      <w:suff w:val="nothing"/>
      <w:lvlText w:val="（%1）"/>
      <w:lvlJc w:val="left"/>
      <w:pPr>
        <w:ind w:left="0" w:firstLine="420"/>
      </w:pPr>
      <w:rPr>
        <w:rFonts w:hint="eastAsia"/>
      </w:rPr>
    </w:lvl>
  </w:abstractNum>
  <w:abstractNum w:abstractNumId="31">
    <w:nsid w:val="63CE445B"/>
    <w:multiLevelType w:val="singleLevel"/>
    <w:tmpl w:val="587D83FB"/>
    <w:lvl w:ilvl="0">
      <w:start w:val="1"/>
      <w:numFmt w:val="decimal"/>
      <w:lvlText w:val="%1)"/>
      <w:lvlJc w:val="left"/>
      <w:pPr>
        <w:ind w:left="425" w:hanging="425" w:leftChars="0" w:firstLineChars="0"/>
      </w:pPr>
      <w:rPr>
        <w:rFonts w:hint="default"/>
      </w:rPr>
    </w:lvl>
  </w:abstractNum>
  <w:abstractNum w:abstractNumId="32">
    <w:nsid w:val="7265D04F"/>
    <w:multiLevelType w:val="singleLevel"/>
    <w:tmpl w:val="57DB3DB7"/>
    <w:lvl w:ilvl="0">
      <w:start w:val="1"/>
      <w:numFmt w:val="decimal"/>
      <w:suff w:val="nothing"/>
      <w:lvlText w:val="%1．"/>
      <w:lvlJc w:val="left"/>
      <w:pPr>
        <w:ind w:left="0" w:firstLine="400"/>
      </w:pPr>
      <w:rPr>
        <w:rFonts w:hint="default"/>
      </w:rPr>
    </w:lvl>
  </w:abstractNum>
  <w:num w:numId="1">
    <w:abstractNumId w:val="9"/>
  </w:num>
  <w:num w:numId="2">
    <w:abstractNumId w:val="8"/>
  </w:num>
  <w:num w:numId="3">
    <w:abstractNumId w:val="15"/>
  </w:num>
  <w:num w:numId="4">
    <w:abstractNumId w:val="6"/>
  </w:num>
  <w:num w:numId="5">
    <w:abstractNumId w:val="5"/>
  </w:num>
  <w:num w:numId="6">
    <w:abstractNumId w:val="3"/>
  </w:num>
  <w:num w:numId="7">
    <w:abstractNumId w:val="2"/>
  </w:num>
  <w:num w:numId="8">
    <w:abstractNumId w:val="4"/>
  </w:num>
  <w:num w:numId="9">
    <w:abstractNumId w:val="7"/>
  </w:num>
  <w:num w:numId="10">
    <w:abstractNumId w:val="1"/>
  </w:num>
  <w:num w:numId="11">
    <w:abstractNumId w:val="12"/>
  </w:num>
  <w:num w:numId="12">
    <w:abstractNumId w:val="13"/>
  </w:num>
  <w:num w:numId="13">
    <w:abstractNumId w:val="27"/>
  </w:num>
  <w:num w:numId="14">
    <w:abstractNumId w:val="28"/>
  </w:num>
  <w:num w:numId="15">
    <w:abstractNumId w:val="29"/>
  </w:num>
  <w:num w:numId="16">
    <w:abstractNumId w:val="20"/>
  </w:num>
  <w:num w:numId="17">
    <w:abstractNumId w:val="16"/>
  </w:num>
  <w:num w:numId="18">
    <w:abstractNumId w:val="14"/>
  </w:num>
  <w:num w:numId="19">
    <w:abstractNumId w:val="17"/>
  </w:num>
  <w:num w:numId="20">
    <w:abstractNumId w:val="18"/>
  </w:num>
  <w:num w:numId="21">
    <w:abstractNumId w:val="19"/>
  </w:num>
  <w:num w:numId="22">
    <w:abstractNumId w:val="26"/>
  </w:num>
  <w:num w:numId="23">
    <w:abstractNumId w:val="21"/>
  </w:num>
  <w:num w:numId="24">
    <w:abstractNumId w:val="22"/>
  </w:num>
  <w:num w:numId="25">
    <w:abstractNumId w:val="23"/>
  </w:num>
  <w:num w:numId="26">
    <w:abstractNumId w:val="24"/>
  </w:num>
  <w:num w:numId="27">
    <w:abstractNumId w:val="25"/>
  </w:num>
  <w:num w:numId="28">
    <w:abstractNumId w:val="11"/>
  </w:num>
  <w:num w:numId="29">
    <w:abstractNumId w:val="10"/>
  </w:num>
  <w:num w:numId="30">
    <w:abstractNumId w:val="30"/>
  </w:num>
  <w:num w:numId="31">
    <w:abstractNumId w:val="32"/>
  </w:num>
  <w:num w:numId="32">
    <w:abstractNumId w:val="0"/>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156"/>
  <w:noPunctuationKerning/>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locked="1" w:semiHidden="0" w:uiPriority="9" w:unhideWhenUsed="0" w:qFormat="1"/>
    <w:lsdException w:name="heading 2" w:semiHidden="0" w:unhideWhenUsed="0" w:qFormat="1"/>
    <w:lsdException w:name="heading 3" w:locked="1" w:semiHidden="0" w:uiPriority="9" w:qFormat="1"/>
    <w:lsdException w:name="heading 4" w:locked="1" w:semiHidden="0"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nhideWhenUsed="0" w:qFormat="1"/>
    <w:lsdException w:name="toc 2" w:semiHidden="0" w:unhideWhenUsed="0" w:qFormat="1"/>
    <w:lsdException w:name="toc 3" w:semiHidden="0" w:unhideWhenUsed="0" w:qFormat="1"/>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semiHidden="0" w:unhideWhenUsed="0" w:qFormat="1"/>
    <w:lsdException w:name="footnote text" w:locked="1"/>
    <w:lsdException w:name="annotation text" w:locked="1"/>
    <w:lsdException w:name="header" w:semiHidden="0" w:unhideWhenUsed="0" w:qFormat="1"/>
    <w:lsdException w:name="footer" w:semiHidden="0" w:unhideWhenUsed="0" w:qFormat="1"/>
    <w:lsdException w:name="index heading" w:locked="1"/>
    <w:lsdException w:name="caption" w:locked="1" w:uiPriority="35"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iPriority="10" w:unhideWhenUsed="0" w:qFormat="1"/>
    <w:lsdException w:name="Closing" w:locked="1"/>
    <w:lsdException w:name="Signature" w:locked="1"/>
    <w:lsdException w:name="Default Paragraph Font" w:semiHidden="0" w:uiPriority="1" w:qFormat="1"/>
    <w:lsdException w:name="Body Text" w:semiHidden="0" w:unhideWhenUsed="0" w:qFormat="1"/>
    <w:lsdException w:name="Body Text Indent" w:locked="1" w:semiHidden="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iPriority="11" w:unhideWhenUsed="0" w:qFormat="1"/>
    <w:lsdException w:name="Salutation" w:locked="1"/>
    <w:lsdException w:name="Date" w:locked="1"/>
    <w:lsdException w:name="Body Text First Indent" w:locked="1"/>
    <w:lsdException w:name="Body Text First Indent 2" w:locked="1"/>
    <w:lsdException w:name="Body Text 2" w:locked="1"/>
    <w:lsdException w:name="Body Text 3" w:locked="1"/>
    <w:lsdException w:name="Body Text Indent 2" w:locked="1" w:semiHidden="0" w:qFormat="1"/>
    <w:lsdException w:name="Body Text Indent 3" w:locked="1" w:semiHidden="0" w:qFormat="1"/>
    <w:lsdException w:name="Block Text" w:locked="1"/>
    <w:lsdException w:name="Hyperlink" w:semiHidden="0" w:unhideWhenUsed="0" w:qFormat="1"/>
    <w:lsdException w:name="FollowedHyperlink" w:locked="1"/>
    <w:lsdException w:name="Strong" w:locked="1" w:semiHidden="0" w:uiPriority="22" w:unhideWhenUsed="0" w:qFormat="1"/>
    <w:lsdException w:name="Emphasis" w:locked="1" w:semiHidden="0" w:uiPriority="20" w:unhideWhenUsed="0" w:qFormat="1"/>
    <w:lsdException w:name="Document Map" w:semiHidden="0" w:unhideWhenUsed="0" w:qFormat="1"/>
    <w:lsdException w:name="Plain Text" w:semiHidden="0" w:unhideWhenUsed="0" w:qFormat="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semiHidden="0"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0" w:unhideWhenUsed="0" w:qFormat="1"/>
    <w:lsdException w:name="Table Grid" w:semiHidden="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ind w:firstLine="560" w:firstLineChars="200"/>
      <w:jc w:val="both"/>
    </w:pPr>
    <w:rPr>
      <w:rFonts w:ascii="Calibri" w:eastAsia="仿宋" w:hAnsi="Calibri" w:cs="Times New Roman"/>
      <w:kern w:val="2"/>
      <w:sz w:val="28"/>
      <w:szCs w:val="22"/>
      <w:lang w:val="en-US" w:eastAsia="zh-CN" w:bidi="ar-SA"/>
    </w:rPr>
  </w:style>
  <w:style w:type="paragraph" w:styleId="Heading1">
    <w:name w:val="heading 1"/>
    <w:basedOn w:val="Normal"/>
    <w:next w:val="Normal"/>
    <w:uiPriority w:val="9"/>
    <w:qFormat/>
    <w:locked/>
    <w:pPr>
      <w:keepNext/>
      <w:keepLines/>
      <w:spacing w:beforeLines="0" w:beforeAutospacing="0" w:afterLines="0" w:afterAutospacing="0" w:line="240" w:lineRule="auto"/>
      <w:ind w:firstLine="0" w:firstLineChars="0"/>
      <w:outlineLvl w:val="0"/>
    </w:pPr>
    <w:rPr>
      <w:b/>
      <w:kern w:val="44"/>
    </w:rPr>
  </w:style>
  <w:style w:type="paragraph" w:styleId="Heading2">
    <w:name w:val="heading 2"/>
    <w:basedOn w:val="Normal"/>
    <w:next w:val="Normal"/>
    <w:link w:val="2Char"/>
    <w:uiPriority w:val="99"/>
    <w:qFormat/>
    <w:pPr>
      <w:keepNext/>
      <w:keepLines/>
      <w:numPr>
        <w:ilvl w:val="0"/>
        <w:numId w:val="1"/>
      </w:numPr>
      <w:snapToGrid w:val="0"/>
      <w:spacing w:line="240" w:lineRule="auto"/>
      <w:ind w:firstLine="420"/>
      <w:outlineLvl w:val="1"/>
    </w:pPr>
    <w:rPr>
      <w:rFonts w:ascii="PMingLiU" w:hAnsi="PMingLiU"/>
      <w:bCs/>
      <w:szCs w:val="32"/>
    </w:rPr>
  </w:style>
  <w:style w:type="paragraph" w:styleId="Heading3">
    <w:name w:val="heading 3"/>
    <w:basedOn w:val="Normal"/>
    <w:next w:val="Normal"/>
    <w:link w:val="3Char"/>
    <w:uiPriority w:val="9"/>
    <w:unhideWhenUsed/>
    <w:qFormat/>
    <w:locked/>
    <w:pPr>
      <w:keepNext/>
      <w:keepLines/>
      <w:numPr>
        <w:ilvl w:val="0"/>
        <w:numId w:val="2"/>
      </w:numPr>
      <w:tabs>
        <w:tab w:val="left" w:pos="0"/>
      </w:tabs>
      <w:spacing w:beforeLines="0" w:beforeAutospacing="0" w:afterLines="0" w:afterAutospacing="0" w:line="240" w:lineRule="auto"/>
      <w:outlineLvl w:val="2"/>
    </w:pPr>
  </w:style>
  <w:style w:type="paragraph" w:styleId="Heading4">
    <w:name w:val="heading 4"/>
    <w:basedOn w:val="Normal"/>
    <w:next w:val="Normal"/>
    <w:uiPriority w:val="9"/>
    <w:unhideWhenUsed/>
    <w:qFormat/>
    <w:locked/>
    <w:pPr>
      <w:keepNext/>
      <w:keepLines/>
      <w:numPr>
        <w:ilvl w:val="0"/>
        <w:numId w:val="3"/>
      </w:numPr>
      <w:tabs>
        <w:tab w:val="left" w:pos="0"/>
      </w:tabs>
      <w:spacing w:line="240" w:lineRule="auto"/>
      <w:ind w:left="425" w:hanging="425"/>
      <w:outlineLvl w:val="3"/>
    </w:pPr>
    <w:rPr>
      <w:rFonts w:ascii="Arial" w:hAnsi="Arial"/>
      <w:bCs/>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link w:val="Char0"/>
    <w:uiPriority w:val="99"/>
    <w:qFormat/>
    <w:pPr>
      <w:ind w:firstLine="0" w:firstLineChars="0"/>
    </w:pPr>
    <w:rPr>
      <w:sz w:val="24"/>
    </w:rPr>
  </w:style>
  <w:style w:type="paragraph" w:styleId="NormalIndent">
    <w:name w:val="Normal Indent"/>
    <w:basedOn w:val="Normal"/>
    <w:uiPriority w:val="99"/>
    <w:qFormat/>
    <w:pPr>
      <w:ind w:firstLine="420" w:firstLineChars="200"/>
    </w:pPr>
  </w:style>
  <w:style w:type="paragraph" w:styleId="DocumentMap">
    <w:name w:val="Document Map"/>
    <w:basedOn w:val="Normal"/>
    <w:link w:val="Char"/>
    <w:uiPriority w:val="99"/>
    <w:qFormat/>
    <w:rPr>
      <w:rFonts w:ascii="宋体"/>
      <w:sz w:val="16"/>
      <w:szCs w:val="16"/>
    </w:rPr>
  </w:style>
  <w:style w:type="paragraph" w:styleId="BodyTextIndent">
    <w:name w:val="Body Text Indent"/>
    <w:basedOn w:val="Normal"/>
    <w:uiPriority w:val="99"/>
    <w:unhideWhenUsed/>
    <w:qFormat/>
    <w:locked/>
    <w:pPr>
      <w:ind w:left="0" w:firstLine="0" w:leftChars="0" w:firstLineChars="0"/>
    </w:pPr>
    <w:rPr>
      <w:rFonts w:ascii="Times New Roman" w:hAnsi="Times New Roman"/>
      <w:sz w:val="21"/>
    </w:rPr>
  </w:style>
  <w:style w:type="paragraph" w:styleId="TOC3">
    <w:name w:val="toc 3"/>
    <w:basedOn w:val="Normal"/>
    <w:next w:val="Normal"/>
    <w:uiPriority w:val="99"/>
    <w:qFormat/>
    <w:pPr>
      <w:ind w:left="840" w:leftChars="400"/>
    </w:pPr>
  </w:style>
  <w:style w:type="paragraph" w:styleId="PlainText">
    <w:name w:val="Plain Text"/>
    <w:basedOn w:val="Normal"/>
    <w:link w:val="Char1"/>
    <w:uiPriority w:val="99"/>
    <w:qFormat/>
    <w:pPr>
      <w:spacing w:line="500" w:lineRule="exact"/>
      <w:ind w:firstLine="200" w:firstLineChars="200"/>
      <w:jc w:val="left"/>
    </w:pPr>
    <w:rPr>
      <w:rFonts w:ascii="宋体" w:hAnsi="Courier New"/>
      <w:sz w:val="28"/>
      <w:szCs w:val="20"/>
    </w:rPr>
  </w:style>
  <w:style w:type="paragraph" w:styleId="BodyTextIndent2">
    <w:name w:val="Body Text Indent 2"/>
    <w:basedOn w:val="Normal"/>
    <w:uiPriority w:val="99"/>
    <w:unhideWhenUsed/>
    <w:qFormat/>
    <w:locked/>
    <w:pPr>
      <w:spacing w:line="360" w:lineRule="auto"/>
      <w:ind w:firstLine="540"/>
      <w:jc w:val="left"/>
    </w:pPr>
    <w:rPr>
      <w:rFonts w:ascii="Times New Roman" w:eastAsia="宋体" w:hAnsi="Times New Roman" w:cs="Times New Roman"/>
      <w:sz w:val="28"/>
      <w:szCs w:val="20"/>
    </w:rPr>
  </w:style>
  <w:style w:type="paragraph" w:styleId="BalloonText">
    <w:name w:val="Balloon Text"/>
    <w:basedOn w:val="Normal"/>
    <w:link w:val="Char2"/>
    <w:uiPriority w:val="99"/>
    <w:qFormat/>
    <w:rPr>
      <w:sz w:val="18"/>
      <w:szCs w:val="18"/>
    </w:rPr>
  </w:style>
  <w:style w:type="paragraph" w:styleId="Footer">
    <w:name w:val="footer"/>
    <w:basedOn w:val="Normal"/>
    <w:link w:val="Char3"/>
    <w:uiPriority w:val="99"/>
    <w:qFormat/>
    <w:pPr>
      <w:tabs>
        <w:tab w:val="center" w:pos="4153"/>
        <w:tab w:val="right" w:pos="8306"/>
      </w:tabs>
      <w:snapToGrid w:val="0"/>
      <w:jc w:val="left"/>
    </w:pPr>
    <w:rPr>
      <w:sz w:val="18"/>
      <w:szCs w:val="18"/>
    </w:rPr>
  </w:style>
  <w:style w:type="paragraph" w:styleId="Header">
    <w:name w:val="header"/>
    <w:basedOn w:val="Normal"/>
    <w:link w:val="Char4"/>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99"/>
    <w:qFormat/>
  </w:style>
  <w:style w:type="paragraph" w:styleId="BodyTextIndent3">
    <w:name w:val="Body Text Indent 3"/>
    <w:basedOn w:val="Normal"/>
    <w:uiPriority w:val="99"/>
    <w:unhideWhenUsed/>
    <w:qFormat/>
    <w:locked/>
    <w:pPr>
      <w:spacing w:after="120"/>
      <w:ind w:left="420" w:leftChars="200"/>
    </w:pPr>
    <w:rPr>
      <w:sz w:val="16"/>
      <w:szCs w:val="16"/>
    </w:rPr>
  </w:style>
  <w:style w:type="paragraph" w:styleId="TOC2">
    <w:name w:val="toc 2"/>
    <w:basedOn w:val="Normal"/>
    <w:next w:val="Normal"/>
    <w:uiPriority w:val="99"/>
    <w:qFormat/>
    <w:pPr>
      <w:ind w:left="420" w:leftChars="200"/>
    </w:pPr>
  </w:style>
  <w:style w:type="character" w:styleId="Hyperlink">
    <w:name w:val="Hyperlink"/>
    <w:basedOn w:val="DefaultParagraphFont"/>
    <w:uiPriority w:val="99"/>
    <w:qFormat/>
    <w:rPr>
      <w:rFonts w:cs="Times New Roman"/>
      <w:color w:val="0000FF"/>
      <w:u w:val="single"/>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9"/>
    <w:qFormat/>
    <w:locked/>
    <w:rPr>
      <w:rFonts w:ascii="PMingLiU" w:eastAsia="仿宋" w:hAnsi="PMingLiU" w:cs="Times New Roman"/>
      <w:kern w:val="2"/>
      <w:sz w:val="32"/>
    </w:rPr>
  </w:style>
  <w:style w:type="character" w:customStyle="1" w:styleId="Char">
    <w:name w:val="文档结构图 Char"/>
    <w:basedOn w:val="DefaultParagraphFont"/>
    <w:link w:val="DocumentMap"/>
    <w:uiPriority w:val="99"/>
    <w:semiHidden/>
    <w:qFormat/>
    <w:locked/>
    <w:rPr>
      <w:rFonts w:ascii="宋体" w:hAnsi="Calibri" w:cs="Times New Roman"/>
      <w:kern w:val="2"/>
      <w:sz w:val="16"/>
      <w:szCs w:val="16"/>
    </w:rPr>
  </w:style>
  <w:style w:type="character" w:customStyle="1" w:styleId="Char0">
    <w:name w:val="正文文本 Char"/>
    <w:basedOn w:val="DefaultParagraphFont"/>
    <w:link w:val="BodyText"/>
    <w:uiPriority w:val="99"/>
    <w:semiHidden/>
    <w:qFormat/>
    <w:locked/>
    <w:rPr>
      <w:rFonts w:ascii="Calibri" w:eastAsia="仿宋" w:hAnsi="Calibri" w:cs="Times New Roman"/>
      <w:sz w:val="24"/>
    </w:rPr>
  </w:style>
  <w:style w:type="character" w:customStyle="1" w:styleId="Char1">
    <w:name w:val="纯文本 Char"/>
    <w:basedOn w:val="DefaultParagraphFont"/>
    <w:link w:val="PlainText"/>
    <w:uiPriority w:val="99"/>
    <w:qFormat/>
    <w:locked/>
    <w:rPr>
      <w:rFonts w:ascii="宋体" w:eastAsia="宋体" w:hAnsi="Courier New" w:cs="Times New Roman"/>
      <w:sz w:val="20"/>
      <w:szCs w:val="20"/>
    </w:rPr>
  </w:style>
  <w:style w:type="character" w:customStyle="1" w:styleId="Char2">
    <w:name w:val="批注框文本 Char"/>
    <w:basedOn w:val="DefaultParagraphFont"/>
    <w:link w:val="BalloonText"/>
    <w:uiPriority w:val="99"/>
    <w:semiHidden/>
    <w:qFormat/>
    <w:locked/>
    <w:rPr>
      <w:rFonts w:cs="Times New Roman"/>
      <w:sz w:val="18"/>
      <w:szCs w:val="18"/>
    </w:rPr>
  </w:style>
  <w:style w:type="character" w:customStyle="1" w:styleId="Char3">
    <w:name w:val="页脚 Char"/>
    <w:basedOn w:val="DefaultParagraphFont"/>
    <w:link w:val="Footer"/>
    <w:uiPriority w:val="99"/>
    <w:qFormat/>
    <w:locked/>
    <w:rPr>
      <w:rFonts w:cs="Times New Roman"/>
      <w:sz w:val="18"/>
      <w:szCs w:val="18"/>
    </w:rPr>
  </w:style>
  <w:style w:type="character" w:customStyle="1" w:styleId="Char4">
    <w:name w:val="页眉 Char"/>
    <w:basedOn w:val="DefaultParagraphFont"/>
    <w:link w:val="Header"/>
    <w:uiPriority w:val="99"/>
    <w:qFormat/>
    <w:locked/>
    <w:rPr>
      <w:rFonts w:cs="Times New Roman"/>
      <w:sz w:val="18"/>
      <w:szCs w:val="18"/>
    </w:rPr>
  </w:style>
  <w:style w:type="paragraph" w:customStyle="1" w:styleId="1">
    <w:name w:val="列出段落1"/>
    <w:basedOn w:val="Normal"/>
    <w:uiPriority w:val="99"/>
    <w:qFormat/>
    <w:pPr>
      <w:ind w:firstLine="420" w:firstLineChars="200"/>
    </w:pPr>
  </w:style>
  <w:style w:type="character" w:customStyle="1" w:styleId="Char5">
    <w:name w:val="框图中文字 Char"/>
    <w:link w:val="a"/>
    <w:uiPriority w:val="99"/>
    <w:qFormat/>
    <w:locked/>
    <w:rPr>
      <w:rFonts w:ascii="宋体" w:eastAsia="宋体" w:hAnsi="宋体"/>
      <w:lang w:val="zh-CN"/>
    </w:rPr>
  </w:style>
  <w:style w:type="paragraph" w:customStyle="1" w:styleId="a">
    <w:name w:val="框图中文字"/>
    <w:basedOn w:val="Normal"/>
    <w:link w:val="Char5"/>
    <w:uiPriority w:val="99"/>
    <w:qFormat/>
    <w:pPr>
      <w:spacing w:line="300" w:lineRule="exact"/>
      <w:jc w:val="center"/>
    </w:pPr>
    <w:rPr>
      <w:rFonts w:ascii="宋体" w:hAnsi="宋体"/>
      <w:kern w:val="0"/>
      <w:sz w:val="20"/>
      <w:szCs w:val="20"/>
      <w:lang w:val="zh-CN"/>
    </w:rPr>
  </w:style>
  <w:style w:type="paragraph" w:customStyle="1" w:styleId="Char10">
    <w:name w:val="Char1"/>
    <w:basedOn w:val="Normal"/>
    <w:uiPriority w:val="99"/>
    <w:qFormat/>
    <w:pPr>
      <w:ind w:firstLine="420" w:firstLineChars="200"/>
    </w:pPr>
    <w:rPr>
      <w:rFonts w:ascii="Times New Roman" w:eastAsia="仿宋" w:hAnsi="Times New Roman"/>
      <w:sz w:val="28"/>
      <w:szCs w:val="20"/>
    </w:rPr>
  </w:style>
  <w:style w:type="character" w:customStyle="1" w:styleId="2Char">
    <w:name w:val="标题 2 Char"/>
    <w:basedOn w:val="DefaultParagraphFont"/>
    <w:link w:val="Heading2"/>
    <w:uiPriority w:val="99"/>
    <w:semiHidden/>
    <w:qFormat/>
    <w:locked/>
    <w:rPr>
      <w:rFonts w:ascii="Cambria" w:eastAsia="仿宋" w:hAnsi="Cambria" w:cs="Times New Roman"/>
      <w:bCs/>
      <w:kern w:val="2"/>
      <w:sz w:val="32"/>
      <w:szCs w:val="32"/>
    </w:rPr>
  </w:style>
  <w:style w:type="paragraph" w:customStyle="1" w:styleId="a0">
    <w:name w:val="方案正文"/>
    <w:basedOn w:val="NormalIndent"/>
    <w:uiPriority w:val="99"/>
    <w:qFormat/>
    <w:pPr>
      <w:spacing w:line="360" w:lineRule="auto"/>
    </w:pPr>
    <w:rPr>
      <w:rFonts w:ascii="Times New Roman" w:eastAsia="仿宋" w:hAnsi="Times New Roman"/>
      <w:sz w:val="28"/>
      <w:szCs w:val="20"/>
    </w:rPr>
  </w:style>
  <w:style w:type="paragraph" w:customStyle="1" w:styleId="2GB2312113">
    <w:name w:val="样式 标题 2 + 仿宋_GB2312 首行缩进:  1.13 厘米"/>
    <w:basedOn w:val="Heading2"/>
    <w:qFormat/>
    <w:pPr>
      <w:spacing w:line="360" w:lineRule="auto"/>
    </w:pPr>
    <w:rPr>
      <w:rFonts w:ascii="仿宋_GB2312" w:eastAsia="仿宋_GB2312" w:hAnsi="Arial" w:cs="宋体"/>
      <w:bCs w:val="0"/>
      <w:sz w:val="28"/>
      <w:szCs w:val="20"/>
    </w:rPr>
  </w:style>
  <w:style w:type="character" w:customStyle="1" w:styleId="3Char">
    <w:name w:val="标题 3 Char"/>
    <w:link w:val="Heading3"/>
    <w:uiPriority w:val="9"/>
    <w:qFormat/>
  </w:style>
  <w:style w:type="character" w:customStyle="1" w:styleId="font51">
    <w:name w:val="font51"/>
    <w:basedOn w:val="DefaultParagraphFont"/>
    <w:qFormat/>
    <w:rPr>
      <w:rFonts w:ascii="仿宋_GB2312" w:eastAsia="仿宋_GB2312" w:cs="仿宋_GB2312" w:hint="default"/>
      <w:color w:val="auto"/>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2.bin" /><Relationship Id="rId12" Type="http://schemas.openxmlformats.org/officeDocument/2006/relationships/image" Target="media/image6.wmf" /><Relationship Id="rId13" Type="http://schemas.openxmlformats.org/officeDocument/2006/relationships/oleObject" Target="embeddings/oleObject3.bin" /><Relationship Id="rId14" Type="http://schemas.openxmlformats.org/officeDocument/2006/relationships/hyperlink" Target="https://d.book118.com/258013030142006024"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49</Pages>
  <Words>19261</Words>
  <Characters>6045</Characters>
  <Application>Microsoft Office Word</Application>
  <DocSecurity>0</DocSecurity>
  <Lines>50</Lines>
  <Paragraphs>50</Paragraphs>
  <ScaleCrop>false</ScaleCrop>
  <Manager>金武攸</Manager>
  <Company/>
  <LinksUpToDate>false</LinksUpToDate>
  <CharactersWithSpaces>25256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2023水土嘉陵江大桥高边坡高切坡安全专项施工方案</dc:title>
  <dc:subject>2023水土嘉陵江大桥高边坡高切坡安全专项施工方案</dc:subject>
  <dc:creator>金武攸</dc:creator>
  <cp:keywords>2023</cp:keywords>
  <cp:lastModifiedBy>金武攸</cp:lastModifiedBy>
  <cp:revision>18</cp:revision>
  <cp:lastPrinted>2023-01-20T00:12:07Z</cp:lastPrinted>
  <dcterms:created xsi:type="dcterms:W3CDTF">2023-01-07T00:07:06Z</dcterms:created>
  <dcterms:modified xsi:type="dcterms:W3CDTF">2023-03-18T07:02:58Z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