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Theme="minorEastAsia" w:hAnsiTheme="minorEastAsia" w:cs="Times New Roman"/>
          <w:b/>
          <w:bCs/>
          <w:color w:val="002060"/>
          <w:sz w:val="48"/>
          <w:szCs w:val="32"/>
        </w:rPr>
      </w:pPr>
      <w:bookmarkStart w:id="0" w:name="_GoBack"/>
      <w:r>
        <w:rPr>
          <w:rFonts w:ascii="华文行楷" w:eastAsia="华文行楷" w:hAnsi="华文行楷" w:cs="华文行楷" w:hint="eastAsia"/>
          <w:b/>
          <w:bCs/>
          <w:color w:val="002060"/>
          <w:sz w:val="48"/>
          <w:szCs w:val="32"/>
        </w:rPr>
        <w:t>2024年卫生资格(中初级)-放射医学主治医师历年高频考点试卷专家荟萃含答案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  <w:sectPr>
          <w:headerReference w:type="even" r:id="rId6"/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  <w:r>
        <w:rPr>
          <w:rFonts w:ascii="宋体" w:eastAsia="宋体" w:hAnsi="宋体" w:cs="Times New Roman" w:hint="eastAsia"/>
          <w:b/>
          <w:bCs/>
          <w:color w:val="00B050"/>
          <w:sz w:val="22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一.参考题库(共25题)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肾上腺髓质瘤（）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A、水样密度类圆形肿块，不发生强化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B、低密度类圆形肿块，发生强化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C、双侧均为软组织密度肿块，发生不同程度均匀强化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D、密度不均匀肿块，内有脂肪性低密度灶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E、较大软组织密度肿块，中心有不规则坏死、囊变，并呈不均匀强化</w:t>
      </w:r>
    </w:p>
    <w:p>
      <w:pPr>
        <w:pStyle w:val="Normal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马方综合征的病理改变为（）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A、主动脉内膜囊性坏死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B、主动脉中层囊性坏死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C、主动脉外膜囊性坏死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D、病变多累及主动脉弓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E、常常累及肾动脉</w:t>
      </w:r>
    </w:p>
    <w:p>
      <w:pPr>
        <w:pStyle w:val="Normal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肝转移瘤最常见的原发肿瘤是（）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A、肝血管瘤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B、肝腺瘤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C、肝局灶性结节增生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D、肺癌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E、结肠癌</w:t>
      </w:r>
    </w:p>
    <w:p>
      <w:pPr>
        <w:pStyle w:val="Normal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6" w:h="16838"/>
          <w:pgMar w:top="720" w:right="720" w:bottom="720" w:left="720" w:header="851" w:footer="992" w:gutter="0"/>
          <w:pgNumType w:start="2"/>
          <w:cols w:num="1" w:space="72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4.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男性，36岁。头晕，乏力，劳力性呼吸困难。查体心浊音界向左扩大，胸骨左缘心尖内侧闻及收缩中晚期喷射性杂音。胸部MRI检查如下图：</w:t>
      </w:r>
      <w:r>
        <w:drawing>
          <wp:inline distT="0" distB="0" distL="0" distR="0">
            <wp:extent cx="3000690" cy="2476760"/>
            <wp:effectExtent l="0" t="0" r="0" b="0"/>
            <wp:docPr id="18" name="_x0000_i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_x0000_i0018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0690" cy="247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如需测量左室流出道内径，应以哪个切面测量最佳（）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A、体轴横断面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B、体轴矢状面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C、体轴冠状面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D、垂直室间隔五腔心层面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E、平行室间隔心室长轴切面</w:t>
      </w:r>
    </w:p>
    <w:p>
      <w:pPr>
        <w:pStyle w:val="Normal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关于肾筋膜和肾周间隙的描述，错误的为（）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A、腹横筋膜和肾后筋膜之间为肾后间隙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B、肾前筋膜和肾后筋膜之间为肾周间隙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C、肾前筋膜、肾后筋膜与侧锥筋膜融合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D、左右两侧肾周间隙不交通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E、肾后间隙内主要为脂肪组织</w:t>
      </w:r>
    </w:p>
    <w:p>
      <w:pPr>
        <w:pStyle w:val="Normal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6.</w:t>
      </w:r>
      <w:r>
        <w:rPr>
          <w:rFonts w:ascii="黑体" w:eastAsia="黑体" w:hAnsi="黑体" w:cs="黑体" w:hint="eastAsia"/>
          <w:sz w:val="24"/>
          <w:szCs w:val="28"/>
        </w:rPr>
        <w:t>AVM、AVF及动脉瘤等血管性疾病的介入栓塞治疗术，最广泛应用于（）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A、中枢神经系统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B、胸部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C、腹部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D、四肢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E、头颈部</w:t>
      </w:r>
    </w:p>
    <w:p>
      <w:pPr>
        <w:pStyle w:val="Normal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7.</w:t>
      </w:r>
      <w:r>
        <w:rPr>
          <w:rFonts w:ascii="黑体" w:eastAsia="黑体" w:hAnsi="黑体" w:cs="黑体" w:hint="eastAsia"/>
          <w:sz w:val="24"/>
          <w:szCs w:val="28"/>
        </w:rPr>
        <w:t>急性心肌缺血的MRS表现为（）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A、磷酸肌酸峰升高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B、ATP峰降低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C、无机磷化合物峰降低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D、无机磷化合物／磷酸肌酸降低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E、乳酸峰不变</w:t>
      </w:r>
    </w:p>
    <w:p>
      <w:pPr>
        <w:pStyle w:val="Normal6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17"/>
          <w:headerReference w:type="default" r:id="rId18"/>
          <w:footerReference w:type="even" r:id="rId19"/>
          <w:headerReference w:type="first" r:id="rId20"/>
          <w:footerReference w:type="first" r:id="rId21"/>
          <w:type w:val="nextPage"/>
          <w:pgSz w:w="11906" w:h="16838"/>
          <w:pgMar w:top="720" w:right="720" w:bottom="720" w:left="720" w:header="851" w:footer="992" w:gutter="0"/>
          <w:pgNumType w:start="3"/>
          <w:cols w:num="1" w:space="720"/>
          <w:titlePg w:val="0"/>
          <w:docGrid w:type="lines" w:linePitch="312" w:charSpace="0"/>
        </w:sectPr>
      </w:pP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8.</w:t>
      </w:r>
      <w:r>
        <w:rPr>
          <w:rFonts w:ascii="黑体" w:eastAsia="黑体" w:hAnsi="黑体" w:cs="黑体" w:hint="eastAsia"/>
          <w:sz w:val="24"/>
          <w:szCs w:val="28"/>
        </w:rPr>
        <w:t>视网膜母细胞瘤的MRI表现是（）</w:t>
      </w: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2438656" cy="2105246"/>
            <wp:effectExtent l="0" t="0" r="0" b="0"/>
            <wp:docPr id="19" name="_x0000_i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i0019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38656" cy="210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A、A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B、B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C、C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D、D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E、E</w:t>
      </w:r>
    </w:p>
    <w:p>
      <w:pPr>
        <w:pStyle w:val="Normal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9.</w:t>
      </w:r>
      <w:r>
        <w:rPr>
          <w:rFonts w:ascii="黑体" w:eastAsia="黑体" w:hAnsi="黑体" w:cs="黑体" w:hint="eastAsia"/>
          <w:sz w:val="24"/>
          <w:szCs w:val="28"/>
        </w:rPr>
        <w:t>经导管血管栓塞术的适应证不包括以下哪项（）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A、假性动脉瘤形成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B、动静脉瘘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C、活动性出血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D、血管分支断裂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E、静脉破裂</w:t>
      </w:r>
    </w:p>
    <w:p>
      <w:pPr>
        <w:pStyle w:val="Normal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10.</w:t>
      </w:r>
      <w:r>
        <w:rPr>
          <w:rFonts w:ascii="黑体" w:eastAsia="黑体" w:hAnsi="黑体" w:cs="黑体" w:hint="eastAsia"/>
          <w:sz w:val="24"/>
          <w:szCs w:val="28"/>
        </w:rPr>
        <w:t>肺转移瘤的X线表现是（）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A、肺门区肿块影，可有分叶征，中央可发生坏死形成空洞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B、双肺多发结节及肿块影，以中下肺常见，边界清晰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C、横"S"征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D、肺内孤立性结节影，边缘清楚，无明显分叶，典型者可见爆米花样钙化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E、可引起霍纳综合征</w:t>
      </w:r>
    </w:p>
    <w:p>
      <w:pPr>
        <w:pStyle w:val="Normal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11.</w:t>
      </w:r>
      <w:r>
        <w:rPr>
          <w:rFonts w:ascii="黑体" w:eastAsia="黑体" w:hAnsi="黑体" w:cs="黑体" w:hint="eastAsia"/>
          <w:sz w:val="24"/>
          <w:szCs w:val="28"/>
        </w:rPr>
        <w:t>患者，男，44岁。突发胸背部疼痛，伴双下肢无力10分钟。既往有高血压病史。查体：T10～T12棘突处压痛，双下肢肌力0级，左下肢感觉减退。胸部X线平片未见异常。胸椎CT周围平扫图像如下。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ab/>
      </w:r>
      <w:r>
        <w:drawing>
          <wp:inline distT="0" distB="0" distL="0" distR="0">
            <wp:extent cx="4315278" cy="2286240"/>
            <wp:effectExtent l="0" t="0" r="0" b="0"/>
            <wp:docPr id="20" name="_x0000_i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i0020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15278" cy="22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type w:val="nextPage"/>
          <w:pgSz w:w="11906" w:h="16838"/>
          <w:pgMar w:top="720" w:right="720" w:bottom="720" w:left="720" w:header="851" w:footer="992" w:gutter="0"/>
          <w:pgNumType w:start="4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关于该病叙述正确的是（）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A、CT优点是显示附壁血栓敏感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B、MRI可动态观察血流变化，准确显示内膜破口的部位及数目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C、X线血管造影是常规检查项目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D、X线平片根据主动脉进行性增宽、主动脉壁钙化内移，可作出定性诊断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E、B超对显示该病无意义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F、MRI对显示该病无意义</w:t>
      </w:r>
    </w:p>
    <w:p>
      <w:pPr>
        <w:pStyle w:val="Normal1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12.</w:t>
      </w:r>
      <w:r>
        <w:rPr>
          <w:rFonts w:ascii="黑体" w:eastAsia="黑体" w:hAnsi="黑体" w:cs="黑体" w:hint="eastAsia"/>
          <w:sz w:val="24"/>
          <w:szCs w:val="28"/>
        </w:rPr>
        <w:t>外伤引起的椎体压缩性骨折X线片多见于（）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A、T12和L1好发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B、相邻两个椎体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C、椎间隙变窄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D、椎间隙破坏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E、椎间隙变宽</w:t>
      </w:r>
    </w:p>
    <w:p>
      <w:pPr>
        <w:pStyle w:val="Normal1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13.</w:t>
      </w:r>
      <w:r>
        <w:rPr>
          <w:rFonts w:ascii="黑体" w:eastAsia="黑体" w:hAnsi="黑体" w:cs="黑体" w:hint="eastAsia"/>
          <w:sz w:val="24"/>
          <w:szCs w:val="28"/>
        </w:rPr>
        <w:t>输尿管结核病变早期的表现为（）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A、管壁增厚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B、管腔狭窄甚至闭塞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C、黏膜破坏管腔扩张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D、输尿管发生钙化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E、管壁僵直</w:t>
      </w:r>
    </w:p>
    <w:p>
      <w:pPr>
        <w:pStyle w:val="Normal1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14.</w:t>
      </w:r>
      <w:r>
        <w:rPr>
          <w:rFonts w:ascii="黑体" w:eastAsia="黑体" w:hAnsi="黑体" w:cs="黑体" w:hint="eastAsia"/>
          <w:sz w:val="24"/>
          <w:szCs w:val="28"/>
        </w:rPr>
        <w:t>男，80岁，高血压多年，近来头痛，平扫CT检查如图，最可能的诊断为（）</w:t>
      </w:r>
      <w:r>
        <w:drawing>
          <wp:inline distT="0" distB="0" distL="0" distR="0">
            <wp:extent cx="1200276" cy="1590842"/>
            <wp:effectExtent l="0" t="0" r="0" b="0"/>
            <wp:docPr id="21" name="_x0000_i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_x0000_i0021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0276" cy="159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A、脑内钙化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B、脑梗死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C、脑出血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D、基底动脉瘤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E、正常</w:t>
      </w:r>
    </w:p>
    <w:p>
      <w:pPr>
        <w:pStyle w:val="Normal1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15.</w:t>
      </w:r>
      <w:r>
        <w:rPr>
          <w:rFonts w:ascii="黑体" w:eastAsia="黑体" w:hAnsi="黑体" w:cs="黑体" w:hint="eastAsia"/>
          <w:sz w:val="24"/>
          <w:szCs w:val="28"/>
        </w:rPr>
        <w:t>下述是骨巨细胞瘤的典型X线征象的是（）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A、位于骨骺处多发性骨质破坏，内有钙化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B、干骺端的囊性破坏区，其透亮区模糊，皮质变薄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C、长骨干骺端的偏心性囊性骨质破坏，边缘硬化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D、骨干的中心性囊性骨质破坏，常伴有病理性骨折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E、位于骨端的膨胀性偏心性囊性骨质破坏，内有皂泡样骨间隔</w:t>
      </w:r>
    </w:p>
    <w:p>
      <w:pPr>
        <w:pStyle w:val="Normal1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16.</w:t>
      </w:r>
      <w:r>
        <w:rPr>
          <w:rFonts w:ascii="黑体" w:eastAsia="黑体" w:hAnsi="黑体" w:cs="黑体" w:hint="eastAsia"/>
          <w:sz w:val="24"/>
          <w:szCs w:val="28"/>
        </w:rPr>
        <w:t>心脏黏液瘤最常见的部位为（）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A、左心房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B、左心室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0"/>
          <w:headerReference w:type="default" r:id="rId31"/>
          <w:footerReference w:type="even" r:id="rId32"/>
          <w:headerReference w:type="first" r:id="rId33"/>
          <w:footerReference w:type="first" r:id="rId34"/>
          <w:type w:val="nextPage"/>
          <w:pgSz w:w="11906" w:h="16838"/>
          <w:pgMar w:top="720" w:right="720" w:bottom="720" w:left="720" w:header="851" w:footer="992" w:gutter="0"/>
          <w:pgNumType w:start="5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C、右心房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D、右心室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E、室间隔</w:t>
      </w:r>
    </w:p>
    <w:p>
      <w:pPr>
        <w:pStyle w:val="Normal1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17.</w:t>
      </w:r>
      <w:r>
        <w:rPr>
          <w:rFonts w:ascii="黑体" w:eastAsia="黑体" w:hAnsi="黑体" w:cs="黑体" w:hint="eastAsia"/>
          <w:sz w:val="24"/>
          <w:szCs w:val="28"/>
        </w:rPr>
        <w:t>Ⅴ期（）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A、股骨头呈蘑菇头状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B、股骨皮质下骨折，新月征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C、髋关节间隙正常，股骨头变形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D、股骨头内有增生硬化或大小不等透光区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E、X线无阳性发现</w:t>
      </w:r>
    </w:p>
    <w:p>
      <w:pPr>
        <w:pStyle w:val="Normal1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18.</w:t>
      </w:r>
      <w:r>
        <w:rPr>
          <w:rFonts w:ascii="黑体" w:eastAsia="黑体" w:hAnsi="黑体" w:cs="黑体" w:hint="eastAsia"/>
          <w:sz w:val="24"/>
          <w:szCs w:val="28"/>
        </w:rPr>
        <w:t>类风湿性关节炎正确摄影体位是（）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A、双手正位包括腕关节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B、双手正位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C、单手正位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D、单手正位包括腕关节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E、单侧腕关节</w:t>
      </w:r>
    </w:p>
    <w:p>
      <w:pPr>
        <w:pStyle w:val="Normal1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19.</w:t>
      </w:r>
      <w:r>
        <w:rPr>
          <w:rFonts w:ascii="黑体" w:eastAsia="黑体" w:hAnsi="黑体" w:cs="黑体" w:hint="eastAsia"/>
          <w:sz w:val="24"/>
          <w:szCs w:val="28"/>
        </w:rPr>
        <w:t>有关圆形肺不张的叙述，下列哪个选项是错误的（）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A、多与胸膜呈锐角相交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B、大多数为肺大叶的某一肺段受累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C、常见于下叶的后部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D、以胸腔积液为核心，周围绕以不张的肺组织，再向外为增厚的胸膜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E、与胸膜病变有密切关系</w:t>
      </w:r>
    </w:p>
    <w:p>
      <w:pPr>
        <w:pStyle w:val="Normal1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20.</w:t>
      </w:r>
      <w:r>
        <w:rPr>
          <w:rFonts w:ascii="黑体" w:eastAsia="黑体" w:hAnsi="黑体" w:cs="黑体" w:hint="eastAsia"/>
          <w:sz w:val="24"/>
          <w:szCs w:val="28"/>
        </w:rPr>
        <w:t>CT平扫可见充满液体的膀胱内有一圆形组织肿块，增强扫描可见囊性占位在充满造影剂的膀胱内成为阴性充盈缺损，在横轴位上可见充盈扩张的输尿管与囊性占位相连，并可见膀胱颈部梗阻（）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A、肾上腺囊肿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B、卵巢囊肿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C、肾单纯性囊肿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D、前列腺囊肿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E、输尿管囊肿</w:t>
      </w:r>
    </w:p>
    <w:p>
      <w:pPr>
        <w:pStyle w:val="Normal19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21.</w:t>
      </w:r>
      <w:r>
        <w:rPr>
          <w:rFonts w:ascii="黑体" w:eastAsia="黑体" w:hAnsi="黑体" w:cs="黑体" w:hint="eastAsia"/>
          <w:sz w:val="24"/>
          <w:szCs w:val="28"/>
        </w:rPr>
        <w:t>下列防护物质中，最理想的防护物是（）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A、铁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B、铅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C、铜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D、铝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E、建筑材料</w:t>
      </w:r>
    </w:p>
    <w:p>
      <w:pPr>
        <w:pStyle w:val="Normal20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22.</w:t>
      </w:r>
      <w:r>
        <w:rPr>
          <w:rFonts w:ascii="黑体" w:eastAsia="黑体" w:hAnsi="黑体" w:cs="黑体" w:hint="eastAsia"/>
          <w:sz w:val="24"/>
          <w:szCs w:val="28"/>
        </w:rPr>
        <w:t>股骨头缺血坏死时MRI“双线征”特点为（）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A、在T1加权像显示最好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B、在质子密度加权像显示最好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C、在T2加权像显示最好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D、条状低信号代表充血的肉芽组织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E、条状高信号代表反应性硬化</w:t>
      </w:r>
    </w:p>
    <w:p>
      <w:pPr>
        <w:pStyle w:val="Normal21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35"/>
          <w:headerReference w:type="default" r:id="rId36"/>
          <w:footerReference w:type="even" r:id="rId37"/>
          <w:headerReference w:type="first" r:id="rId38"/>
          <w:footerReference w:type="first" r:id="rId39"/>
          <w:type w:val="nextPage"/>
          <w:pgSz w:w="11906" w:h="16838"/>
          <w:pgMar w:top="720" w:right="720" w:bottom="720" w:left="720" w:header="851" w:footer="992" w:gutter="0"/>
          <w:pgNumType w:start="6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23.</w:t>
      </w:r>
      <w:r>
        <w:rPr>
          <w:rFonts w:ascii="黑体" w:eastAsia="黑体" w:hAnsi="黑体" w:cs="黑体" w:hint="eastAsia"/>
          <w:sz w:val="24"/>
          <w:szCs w:val="28"/>
        </w:rPr>
        <w:t>有关脊索瘤的描述中，你认为不妥的是（）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A、肿瘤好发于颅底至尾椎的中轴骨，骶尾部发病最多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B、常为膨胀性溶骨性破坏，其中可残存碎骨片或小梁间隔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C、病变周围可出现软组织块影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D、颅底部脊索瘤一般无钙化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E、颅底部脊索瘤多发生于斜坡</w:t>
      </w:r>
    </w:p>
    <w:p>
      <w:pPr>
        <w:pStyle w:val="Normal22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24.</w:t>
      </w:r>
      <w:r>
        <w:rPr>
          <w:rFonts w:ascii="黑体" w:eastAsia="黑体" w:hAnsi="黑体" w:cs="黑体" w:hint="eastAsia"/>
          <w:sz w:val="24"/>
          <w:szCs w:val="28"/>
        </w:rPr>
        <w:t>患者，男，78岁，咳嗽、咳痰、喘近20年。胸部CT如图。</w:t>
      </w:r>
      <w:r>
        <w:drawing>
          <wp:inline distT="0" distB="0" distL="0" distR="0">
            <wp:extent cx="2714910" cy="5829912"/>
            <wp:effectExtent l="0" t="0" r="0" b="0"/>
            <wp:docPr id="22" name="_x0000_i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_x0000_i0022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14910" cy="582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最可能的诊断为（）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A、后纵隔神经源性肿瘤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B、肋骨转移瘤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C、右肺上叶肺炎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D、周围型肺癌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E、右肺上叶结核瘤</w:t>
      </w:r>
    </w:p>
    <w:p>
      <w:pPr>
        <w:pStyle w:val="Normal23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25.</w:t>
      </w:r>
      <w:r>
        <w:rPr>
          <w:rFonts w:ascii="黑体" w:eastAsia="黑体" w:hAnsi="黑体" w:cs="黑体" w:hint="eastAsia"/>
          <w:sz w:val="24"/>
          <w:szCs w:val="28"/>
        </w:rPr>
        <w:t>胸部最基本的扫描平面为（）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A、斜冠状位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B、斜矢状位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  <w:sectPr>
          <w:headerReference w:type="even" r:id="rId41"/>
          <w:headerReference w:type="default" r:id="rId42"/>
          <w:footerReference w:type="even" r:id="rId43"/>
          <w:headerReference w:type="first" r:id="rId44"/>
          <w:footerReference w:type="first" r:id="rId45"/>
          <w:type w:val="nextPage"/>
          <w:pgSz w:w="11906" w:h="16838"/>
          <w:pgMar w:top="720" w:right="720" w:bottom="720" w:left="720" w:header="851" w:footer="992" w:gutter="0"/>
          <w:pgNumType w:start="7"/>
          <w:cols w:num="1" w:space="720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8"/>
        </w:rPr>
        <w:t>C、横轴位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D、矢状位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E、冠状位</w:t>
      </w: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 w:hint="eastAsia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1.</w:t>
      </w:r>
      <w:r>
        <w:rPr>
          <w:rFonts w:ascii="黑体" w:eastAsia="黑体" w:hAnsi="黑体" w:cs="黑体" w:hint="eastAsia"/>
          <w:sz w:val="24"/>
          <w:szCs w:val="28"/>
        </w:rPr>
        <w:t>下列关于右肺中叶不张的叙述，错误的是（）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A、右肺中叶完全不张时，其继发的X线征象如肺门下移、膈肌抬高及纵隔移位等均不明显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B、不张的右肺中叶内下缘相对较厚，紧贴心缘，可出现"边缘掩盖征"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C、右肺中叶重度不张时，可使心缘清晰，不出现"边缘掩盖征"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D、CT示中间支气管层面右心缘旁三角形软组织密度阴影，尖端指向肺门，边界不清楚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E、正位片易漏诊</w:t>
      </w:r>
    </w:p>
    <w:p>
      <w:pPr>
        <w:pStyle w:val="Normal25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2.</w:t>
      </w:r>
      <w:r>
        <w:rPr>
          <w:rFonts w:ascii="黑体" w:eastAsia="黑体" w:hAnsi="黑体" w:cs="黑体" w:hint="eastAsia"/>
          <w:sz w:val="24"/>
          <w:szCs w:val="28"/>
        </w:rPr>
        <w:t>关于细菌性肝脓肿，下列说法错误的是（）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A、通常由胆道炎症所致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B、脓肿可单发或多发，单房或多房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C、脓肿壁由炎性细胞及纤维肉芽组织构成，周围肝实质内可见水肿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D、可为革兰阳性菌或者阴性菌感染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E、下腔静脉是其主要感染途径</w:t>
      </w:r>
    </w:p>
    <w:p>
      <w:pPr>
        <w:pStyle w:val="Normal26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3.</w:t>
      </w:r>
      <w:r>
        <w:rPr>
          <w:rFonts w:ascii="黑体" w:eastAsia="黑体" w:hAnsi="黑体" w:cs="黑体" w:hint="eastAsia"/>
          <w:sz w:val="24"/>
          <w:szCs w:val="28"/>
        </w:rPr>
        <w:t>膀胱结石的影像学表现中不正确的是（）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A、X线平片表现为耻骨联合上方圆形、横置椭圆形或星形致密影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B、膀胱造影表现为膀胱内充盈缺损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C、结石不随体位变化而移动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D、CT表现为膀胱内致密影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E、MR表现在T1WI、T2WI上均匀低信号影</w:t>
      </w:r>
    </w:p>
    <w:p>
      <w:pPr>
        <w:pStyle w:val="Normal27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4.</w:t>
      </w:r>
      <w:r>
        <w:rPr>
          <w:rFonts w:ascii="黑体" w:eastAsia="黑体" w:hAnsi="黑体" w:cs="黑体" w:hint="eastAsia"/>
          <w:sz w:val="24"/>
          <w:szCs w:val="28"/>
        </w:rPr>
        <w:t>下列有关副脾的错误说法是（）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A、最常见于脾门附近，单发或多发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B、一般小于4.0cm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C、圆形或卵圆形，密度均匀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D、增强扫描无强化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E、CT值与脾脏完全相同</w:t>
      </w:r>
    </w:p>
    <w:p>
      <w:pPr>
        <w:pStyle w:val="Normal28"/>
        <w:jc w:val="left"/>
        <w:rPr>
          <w:rFonts w:ascii="黑体" w:eastAsia="黑体" w:hAnsi="黑体" w:cs="黑体" w:hint="eastAsia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5.</w:t>
      </w:r>
      <w:r>
        <w:rPr>
          <w:rFonts w:ascii="黑体" w:eastAsia="黑体" w:hAnsi="黑体" w:cs="黑体" w:hint="eastAsia"/>
          <w:sz w:val="24"/>
          <w:szCs w:val="28"/>
        </w:rPr>
        <w:t>以下描述哪项错误（）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A、关节软骨在X线平片上不显影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B、小儿长骨两端的骨骺为二次骨化中心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C、X线平片上小儿长骨的骺板软骨表现为小点状骨性致密影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D、儿童的关节间隙在X线平片上显得较宽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t>E、干骺端为骨骺线未闭合前的长骨的构成部分</w:t>
      </w:r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  <w:r>
        <w:rPr>
          <w:rFonts w:ascii="黑体" w:eastAsia="黑体" w:hAnsi="黑体" w:cs="黑体" w:hint="eastAsia"/>
          <w:sz w:val="24"/>
          <w:szCs w:val="28"/>
        </w:rPr>
        <w:br/>
      </w:r>
      <w:r>
        <w:rPr>
          <w:rFonts w:ascii="黑体" w:eastAsia="黑体" w:hAnsi="黑体" w:cs="黑体" w:hint="eastAsia"/>
          <w:sz w:val="24"/>
          <w:szCs w:val="28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https://d.book118.com/258017062120006030</w:t>
        </w:r>
      </w:hyperlink>
    </w:p>
    <w:p>
      <w:pPr>
        <w:pStyle w:val="Normal29"/>
        <w:jc w:val="left"/>
        <w:rPr>
          <w:rFonts w:ascii="黑体" w:eastAsia="黑体" w:hAnsi="黑体" w:cs="黑体" w:hint="eastAsia"/>
          <w:sz w:val="24"/>
          <w:szCs w:val="28"/>
        </w:rPr>
      </w:pPr>
    </w:p>
    <w:sectPr>
      <w:headerReference w:type="even" r:id="rId47"/>
      <w:headerReference w:type="default" r:id="rId48"/>
      <w:footerReference w:type="even" r:id="rId49"/>
      <w:headerReference w:type="first" r:id="rId50"/>
      <w:footerReference w:type="first" r:id="rId51"/>
      <w:type w:val="nextPage"/>
      <w:pgSz w:w="11906" w:h="16838"/>
      <w:pgMar w:top="720" w:right="720" w:bottom="720" w:left="720" w:header="851" w:footer="992" w:gutter="0"/>
      <w:pgNumType w:start="8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left"/>
      <w:rPr>
        <w:rFonts w:ascii="华文中宋" w:eastAsia="华文中宋" w:hAnsi="华文中宋"/>
        <w:b/>
        <w:sz w:val="24"/>
        <w:szCs w:val="24"/>
      </w:rPr>
    </w:pPr>
    <w:r>
      <w:rPr>
        <w:rFonts w:ascii="华文中宋" w:eastAsia="华文中宋" w:hAnsi="华文中宋"/>
        <w:b/>
        <w:sz w:val="24"/>
        <w:szCs w:val="24"/>
      </w:rPr>
      <w:t xml:space="preserve">                            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312482"/>
    <w:rsid w:val="00324AE3"/>
    <w:rsid w:val="003326E6"/>
    <w:rsid w:val="003B1539"/>
    <w:rsid w:val="003D4D8E"/>
    <w:rsid w:val="003F520C"/>
    <w:rsid w:val="0042574A"/>
    <w:rsid w:val="0044229D"/>
    <w:rsid w:val="004647EE"/>
    <w:rsid w:val="004B57E7"/>
    <w:rsid w:val="004C0772"/>
    <w:rsid w:val="004C290A"/>
    <w:rsid w:val="004F36F1"/>
    <w:rsid w:val="00506A01"/>
    <w:rsid w:val="005073F4"/>
    <w:rsid w:val="00542969"/>
    <w:rsid w:val="0054555E"/>
    <w:rsid w:val="005506DD"/>
    <w:rsid w:val="00553937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06199"/>
    <w:rsid w:val="00C54050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772CE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0A0F0952"/>
    <w:rsid w:val="2185472E"/>
    <w:rsid w:val="523028E7"/>
    <w:rsid w:val="570957BF"/>
    <w:rsid w:val="7B5C0C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">
    <w:name w:val="Normal_4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">
    <w:name w:val="Normal_4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">
    <w:name w:val="Normal_4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">
    <w:name w:val="Normal_4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">
    <w:name w:val="Normal_4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">
    <w:name w:val="Normal_4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">
    <w:name w:val="Normal_4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">
    <w:name w:val="Normal_4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">
    <w:name w:val="Normal_4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">
    <w:name w:val="Normal_5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">
    <w:name w:val="Normal_5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">
    <w:name w:val="Normal_5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">
    <w:name w:val="Normal_5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">
    <w:name w:val="Normal_5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">
    <w:name w:val="Normal_5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">
    <w:name w:val="Normal_5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">
    <w:name w:val="Normal_5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">
    <w:name w:val="Normal_5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">
    <w:name w:val="Normal_6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">
    <w:name w:val="Normal_6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">
    <w:name w:val="Normal_6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">
    <w:name w:val="Normal_6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">
    <w:name w:val="Normal_6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">
    <w:name w:val="Normal_6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">
    <w:name w:val="Normal_6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">
    <w:name w:val="Normal_6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">
    <w:name w:val="Normal_6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">
    <w:name w:val="Normal_7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">
    <w:name w:val="Normal_7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">
    <w:name w:val="Normal_7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">
    <w:name w:val="Normal_7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5">
    <w:name w:val="Normal_7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0">
    <w:name w:val="Normal_4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10">
    <w:name w:val="Normal_4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20">
    <w:name w:val="Normal_4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30">
    <w:name w:val="Normal_4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40">
    <w:name w:val="Normal_4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50">
    <w:name w:val="Normal_4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60">
    <w:name w:val="Normal_4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70">
    <w:name w:val="Normal_4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80">
    <w:name w:val="Normal_4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90">
    <w:name w:val="Normal_4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00">
    <w:name w:val="Normal_5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10">
    <w:name w:val="Normal_5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20">
    <w:name w:val="Normal_5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30">
    <w:name w:val="Normal_5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40">
    <w:name w:val="Normal_5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50">
    <w:name w:val="Normal_5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60">
    <w:name w:val="Normal_5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70">
    <w:name w:val="Normal_5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80">
    <w:name w:val="Normal_5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90">
    <w:name w:val="Normal_5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00">
    <w:name w:val="Normal_6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10">
    <w:name w:val="Normal_6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20">
    <w:name w:val="Normal_6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30">
    <w:name w:val="Normal_6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40">
    <w:name w:val="Normal_6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50">
    <w:name w:val="Normal_6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60">
    <w:name w:val="Normal_6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70">
    <w:name w:val="Normal_6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80">
    <w:name w:val="Normal_6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90">
    <w:name w:val="Normal_6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00">
    <w:name w:val="Normal_7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10">
    <w:name w:val="Normal_7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20">
    <w:name w:val="Normal_7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30">
    <w:name w:val="Normal_7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40">
    <w:name w:val="Normal_7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footer" Target="footer4.xml" /><Relationship Id="rId16" Type="http://schemas.openxmlformats.org/officeDocument/2006/relationships/image" Target="media/image1.png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6.xml" /><Relationship Id="rId22" Type="http://schemas.openxmlformats.org/officeDocument/2006/relationships/image" Target="media/image2.jpeg" /><Relationship Id="rId23" Type="http://schemas.openxmlformats.org/officeDocument/2006/relationships/image" Target="media/image3.jpeg" /><Relationship Id="rId24" Type="http://schemas.openxmlformats.org/officeDocument/2006/relationships/header" Target="header10.xml" /><Relationship Id="rId25" Type="http://schemas.openxmlformats.org/officeDocument/2006/relationships/header" Target="header11.xml" /><Relationship Id="rId26" Type="http://schemas.openxmlformats.org/officeDocument/2006/relationships/footer" Target="footer7.xml" /><Relationship Id="rId27" Type="http://schemas.openxmlformats.org/officeDocument/2006/relationships/header" Target="header12.xml" /><Relationship Id="rId28" Type="http://schemas.openxmlformats.org/officeDocument/2006/relationships/footer" Target="footer8.xml" /><Relationship Id="rId29" Type="http://schemas.openxmlformats.org/officeDocument/2006/relationships/image" Target="media/image4.jpeg" /><Relationship Id="rId3" Type="http://schemas.openxmlformats.org/officeDocument/2006/relationships/fontTable" Target="fontTable.xml" /><Relationship Id="rId30" Type="http://schemas.openxmlformats.org/officeDocument/2006/relationships/header" Target="header13.xml" /><Relationship Id="rId31" Type="http://schemas.openxmlformats.org/officeDocument/2006/relationships/header" Target="header14.xml" /><Relationship Id="rId32" Type="http://schemas.openxmlformats.org/officeDocument/2006/relationships/footer" Target="footer9.xml" /><Relationship Id="rId33" Type="http://schemas.openxmlformats.org/officeDocument/2006/relationships/header" Target="header15.xml" /><Relationship Id="rId34" Type="http://schemas.openxmlformats.org/officeDocument/2006/relationships/footer" Target="footer10.xml" /><Relationship Id="rId35" Type="http://schemas.openxmlformats.org/officeDocument/2006/relationships/header" Target="header16.xml" /><Relationship Id="rId36" Type="http://schemas.openxmlformats.org/officeDocument/2006/relationships/header" Target="header17.xml" /><Relationship Id="rId37" Type="http://schemas.openxmlformats.org/officeDocument/2006/relationships/footer" Target="footer11.xml" /><Relationship Id="rId38" Type="http://schemas.openxmlformats.org/officeDocument/2006/relationships/header" Target="header18.xml" /><Relationship Id="rId39" Type="http://schemas.openxmlformats.org/officeDocument/2006/relationships/footer" Target="footer12.xml" /><Relationship Id="rId4" Type="http://schemas.openxmlformats.org/officeDocument/2006/relationships/customXml" Target="../customXml/item1.xml" /><Relationship Id="rId40" Type="http://schemas.openxmlformats.org/officeDocument/2006/relationships/image" Target="media/image5.jpeg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3.xml" /><Relationship Id="rId44" Type="http://schemas.openxmlformats.org/officeDocument/2006/relationships/header" Target="header21.xml" /><Relationship Id="rId45" Type="http://schemas.openxmlformats.org/officeDocument/2006/relationships/footer" Target="footer14.xml" /><Relationship Id="rId46" Type="http://schemas.openxmlformats.org/officeDocument/2006/relationships/hyperlink" Target="https://d.book118.com/258017062120006030" TargetMode="External" /><Relationship Id="rId47" Type="http://schemas.openxmlformats.org/officeDocument/2006/relationships/header" Target="header22.xml" /><Relationship Id="rId48" Type="http://schemas.openxmlformats.org/officeDocument/2006/relationships/header" Target="header23.xml" /><Relationship Id="rId49" Type="http://schemas.openxmlformats.org/officeDocument/2006/relationships/footer" Target="footer15.xml" /><Relationship Id="rId5" Type="http://schemas.openxmlformats.org/officeDocument/2006/relationships/customXml" Target="../customXml/item2.xml" /><Relationship Id="rId50" Type="http://schemas.openxmlformats.org/officeDocument/2006/relationships/header" Target="header24.xml" /><Relationship Id="rId51" Type="http://schemas.openxmlformats.org/officeDocument/2006/relationships/footer" Target="footer16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E3FAD204-A202-4D2B-AB10-D0B8AF83353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71</cp:revision>
  <dcterms:created xsi:type="dcterms:W3CDTF">2022-04-20T07:15:00Z</dcterms:created>
  <dcterms:modified xsi:type="dcterms:W3CDTF">2023-08-18T21:26:52Z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