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PF项目构思建设方案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23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_Toc16235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52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_Toc16752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1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_Toc13014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_Toc17845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_Toc12178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7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_Toc17279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_Toc10331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16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_Toc6216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7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_Toc11187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8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_Toc19408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36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_Toc4236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2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_Toc30352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35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_Toc32135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_Toc31882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3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_Toc18173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39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_Toc18339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95" w:history="1">
        <w:r>
          <w:rPr>
            <w:rFonts w:ascii="仿宋" w:eastAsia="仿宋" w:hAnsi="仿宋" w:cs="仿宋" w:hint="eastAsia"/>
            <w:lang w:eastAsia="zh-CN"/>
          </w:rPr>
          <w:t>四、社会影响分析</w:t>
        </w:r>
        <w:r>
          <w:tab/>
        </w:r>
        <w:r>
          <w:fldChar w:fldCharType="begin"/>
        </w:r>
        <w:r>
          <w:instrText xml:space="preserve"> PAGEREF _Toc16995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6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_Toc17916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42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_Toc25042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73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_Toc21473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60" w:history="1">
        <w:r>
          <w:rPr>
            <w:rFonts w:ascii="仿宋" w:eastAsia="仿宋" w:hAnsi="仿宋" w:cs="仿宋" w:hint="eastAsia"/>
            <w:lang w:eastAsia="zh-CN"/>
          </w:rPr>
          <w:t>五、财务管理与成本控制</w:t>
        </w:r>
        <w:r>
          <w:tab/>
        </w:r>
        <w:r>
          <w:fldChar w:fldCharType="begin"/>
        </w:r>
        <w:r>
          <w:instrText xml:space="preserve"> PAGEREF _Toc16560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6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_Toc13886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04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_Toc21204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38" w:history="1">
        <w:r>
          <w:rPr>
            <w:rFonts w:ascii="仿宋" w:eastAsia="仿宋" w:hAnsi="仿宋" w:cs="仿宋" w:hint="eastAsia"/>
            <w:lang w:eastAsia="zh-CN"/>
          </w:rPr>
          <w:t>六、项目选址研究</w:t>
        </w:r>
        <w:r>
          <w:tab/>
        </w:r>
        <w:r>
          <w:fldChar w:fldCharType="begin"/>
        </w:r>
        <w:r>
          <w:instrText xml:space="preserve"> PAGEREF _Toc12738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9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_Toc12699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6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_Toc27669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6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_Toc7876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6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_Toc28626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1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_Toc21261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8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_Toc12568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19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_Toc7919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85" w:history="1">
        <w:r>
          <w:rPr>
            <w:rFonts w:ascii="仿宋" w:eastAsia="仿宋" w:hAnsi="仿宋" w:cs="仿宋" w:hint="eastAsia"/>
            <w:lang w:eastAsia="zh-CN"/>
          </w:rPr>
          <w:t>七、项目实施与管理方案</w:t>
        </w:r>
        <w:r>
          <w:tab/>
        </w:r>
        <w:r>
          <w:fldChar w:fldCharType="begin"/>
        </w:r>
        <w:r>
          <w:instrText xml:space="preserve"> PAGEREF _Toc8185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2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_Toc21982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9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_Toc32529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_Toc258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40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_Toc10240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4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_Toc31814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2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_Toc29862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08" w:history="1">
        <w:r>
          <w:rPr>
            <w:rFonts w:ascii="仿宋" w:eastAsia="仿宋" w:hAnsi="仿宋" w:cs="仿宋" w:hint="eastAsia"/>
            <w:lang w:eastAsia="zh-CN"/>
          </w:rPr>
          <w:t>九、资金管理与财务规划</w:t>
        </w:r>
        <w:r>
          <w:tab/>
        </w:r>
        <w:r>
          <w:fldChar w:fldCharType="begin"/>
        </w:r>
        <w:r>
          <w:instrText xml:space="preserve"> PAGEREF _Toc31008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9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_Toc31569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2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_Toc31892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057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_Toc32057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90" w:history="1">
        <w:r>
          <w:rPr>
            <w:rFonts w:ascii="仿宋" w:eastAsia="仿宋" w:hAnsi="仿宋" w:cs="仿宋" w:hint="eastAsia"/>
            <w:lang w:eastAsia="zh-CN"/>
          </w:rPr>
          <w:t>十、土地利用与规划方案</w:t>
        </w:r>
        <w:r>
          <w:tab/>
        </w:r>
        <w:r>
          <w:fldChar w:fldCharType="begin"/>
        </w:r>
        <w:r>
          <w:instrText xml:space="preserve"> PAGEREF _Toc23090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2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_Toc8702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78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_Toc31778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00" w:history="1">
        <w:r>
          <w:rPr>
            <w:rFonts w:ascii="仿宋" w:eastAsia="仿宋" w:hAnsi="仿宋" w:cs="仿宋" w:hint="eastAsia"/>
            <w:lang w:eastAsia="zh-CN"/>
          </w:rPr>
          <w:t>十一、环境保护与绿色发展</w:t>
        </w:r>
        <w:r>
          <w:tab/>
        </w:r>
        <w:r>
          <w:fldChar w:fldCharType="begin"/>
        </w:r>
        <w:r>
          <w:instrText xml:space="preserve"> PAGEREF _Toc12300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4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_Toc2174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9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_Toc12549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60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_Toc13960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1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_Toc10921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6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_Toc31356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9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_Toc6099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8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_Toc9488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65" w:history="1">
        <w:r>
          <w:rPr>
            <w:rFonts w:ascii="仿宋" w:eastAsia="仿宋" w:hAnsi="仿宋" w:cs="仿宋" w:hint="eastAsia"/>
            <w:lang w:eastAsia="zh-CN"/>
          </w:rPr>
          <w:t>十三、法律法规与政策遵循</w:t>
        </w:r>
        <w:r>
          <w:tab/>
        </w:r>
        <w:r>
          <w:fldChar w:fldCharType="begin"/>
        </w:r>
        <w:r>
          <w:instrText xml:space="preserve"> PAGEREF _Toc27265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2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_Toc15332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4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_Toc26374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54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_Toc14954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91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_Toc27091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96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_Toc9996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15" w:history="1">
        <w:r>
          <w:rPr>
            <w:rFonts w:ascii="仿宋" w:eastAsia="仿宋" w:hAnsi="仿宋" w:cs="仿宋" w:hint="eastAsia"/>
            <w:lang w:eastAsia="zh-CN"/>
          </w:rPr>
          <w:t>十五、企业合规与伦理</w:t>
        </w:r>
        <w:r>
          <w:tab/>
        </w:r>
        <w:r>
          <w:fldChar w:fldCharType="begin"/>
        </w:r>
        <w:r>
          <w:instrText xml:space="preserve"> PAGEREF _Toc29815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_Toc1697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5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_Toc975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5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_Toc18545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_Toc120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50" w:history="1">
        <w:r>
          <w:rPr>
            <w:rFonts w:ascii="仿宋" w:eastAsia="仿宋" w:hAnsi="仿宋" w:cs="仿宋" w:hint="eastAsia"/>
            <w:lang w:eastAsia="zh-CN"/>
          </w:rPr>
          <w:t>十六、知识产权管理与保护</w:t>
        </w:r>
        <w:r>
          <w:tab/>
        </w:r>
        <w:r>
          <w:fldChar w:fldCharType="begin"/>
        </w:r>
        <w:r>
          <w:instrText xml:space="preserve"> PAGEREF _Toc22350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96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_Toc25596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9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_Toc8339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74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_Toc16474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2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_Toc10252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_Toc1239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43" w:history="1">
        <w:r>
          <w:rPr>
            <w:rFonts w:ascii="仿宋" w:eastAsia="仿宋" w:hAnsi="仿宋" w:cs="仿宋" w:hint="eastAsia"/>
            <w:lang w:eastAsia="zh-CN"/>
          </w:rPr>
          <w:t>十八、人力资源管理与开发</w:t>
        </w:r>
        <w:r>
          <w:tab/>
        </w:r>
        <w:r>
          <w:fldChar w:fldCharType="begin"/>
        </w:r>
        <w:r>
          <w:instrText xml:space="preserve"> PAGEREF _Toc14343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3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_Toc29235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7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_Toc30507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23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752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01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F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84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PF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PF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PF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217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727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在PF项目启动前，将进行一系列深入的地质调查，包括钻探和土壤取样，以深入了解项目区域的地层结构和土壤组成。特别是对于土壤的承载能力和地下水位的深度进行详细评估。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完成初始的地质风险评估后，PF项目将安装长期地质监测设备，如倾斜仪、裂缝计和地下水位计，以持续监测地质条件的变化。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033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PF项目将通过这些措施来适应和尊重特殊环境条件，确保项目的可持续发展，同时减少对环境的负面影响。这不仅有助于保护自然和文化遗产，还能提升项目在社会责任方面的表现和形象。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6216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1187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环境和社会成本：环境保护措施预计年费用为XX万元，社区补偿和支持预算为XX万元，因此总计为XX万元。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预期收益分析：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直接收益：假设PF项目的产品或服务年销售收入为XX万元。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间接收益：包括提高品牌价值和市场份额，假设间接经济效益为XX万元。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社会和环境效益：虽难以量化，但假设其长期价值估计为XX万元。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成本效果比较：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假设项目的总成本（初始投资成本加上预计五年的运营成本和环境社会成本）为XX万元。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预期收益（直接收益加上五年的间接收益和社会环境效益）为XX万元。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因此，项目的成本效果比为XX万元（总成本）对比XX万元（总收益）。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投资回收期分析：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假设项目的总初始投资为XX万元，年运营成本为XX万元，而年直接收益为XX万元。假定直接收益和运营成本保持恒定，则项目的投资回收期为：（总初始投资） / （年直接收益 年运营成本）= XX年。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净现值（NPV）和内部收益率（IRR）分析：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净现值（NPV）是评估项目总收益与总成本现值的差额。假设项目预计持续XX年，每年的净收益为（年直接收益 年运营成本），折现率假定为XX%，则NPV计算为：NPV = ∑ [（年净收益） / （1 + 折现率）^年份] 初始投资成本。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内部收益率（IRR）是使得NPV为零的折现率，这是项目盈利能力的一个重要指标。通过财务软件或手工计算可得出IRR值。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风险和灵敏度分析：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风险分析包括考虑市场波动、成本超支和收入不达预期等因素对项目经济效益的影响。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https://d.book118.com/258033143027006024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PF项目构思建设方案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725047"/>
    <w:rsid w:val="657250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25803314302700602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2023-12-31T08:06:00Z</dcterms:created>
  <dcterms:modified xsi:type="dcterms:W3CDTF">2023-12-31T08:07:07Z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89921C6CEB6B437CB0C62594C2102BDA_11</vt:lpwstr>
  </property>
  <property fmtid="{D5CDD505-2E9C-101B-9397-08002B2CF9AE}" pid="3" name="KSOProductBuildVer">
    <vt:lpwstr>2052-12.1.0.16120</vt:lpwstr>
  </property>
</Properties>
</file>