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5" w:line="226" w:lineRule="auto"/>
        <w:ind w:left="1144"/>
        <w:rPr>
          <w:rFonts w:ascii="SimHei" w:eastAsia="SimHei" w:hAnsi="SimHei" w:cs="SimHei"/>
          <w:sz w:val="31"/>
          <w:szCs w:val="31"/>
        </w:rPr>
      </w:pPr>
      <w:r>
        <w:rPr>
          <w:rFonts w:ascii="SimHei" w:eastAsia="SimHei" w:hAnsi="SimHei" w:cs="SimHei"/>
          <w:spacing w:val="8"/>
          <w:sz w:val="31"/>
          <w:szCs w:val="31"/>
        </w:rPr>
        <w:t>《食品包装用淋膜纸和纸板》</w:t>
      </w:r>
      <w:r>
        <w:rPr>
          <w:rFonts w:ascii="SimHei" w:eastAsia="SimHei" w:hAnsi="SimHei" w:cs="SimHei"/>
          <w:spacing w:val="8"/>
          <w:sz w:val="31"/>
          <w:szCs w:val="31"/>
        </w:rPr>
        <w:t xml:space="preserve">        </w:t>
      </w:r>
      <w:r>
        <w:rPr>
          <w:rFonts w:ascii="SimHei" w:eastAsia="SimHei" w:hAnsi="SimHei" w:cs="SimHei"/>
          <w:spacing w:val="8"/>
          <w:sz w:val="31"/>
          <w:szCs w:val="31"/>
        </w:rPr>
        <w:t>编制说明</w:t>
      </w:r>
    </w:p>
    <w:p>
      <w:pPr>
        <w:spacing w:before="244" w:line="226" w:lineRule="auto"/>
        <w:ind w:left="3418"/>
        <w:rPr>
          <w:rFonts w:ascii="SimHei" w:eastAsia="SimHei" w:hAnsi="SimHei" w:cs="SimHei"/>
          <w:sz w:val="31"/>
          <w:szCs w:val="31"/>
        </w:rPr>
      </w:pPr>
      <w:r>
        <w:rPr>
          <w:rFonts w:ascii="SimHei" w:eastAsia="SimHei" w:hAnsi="SimHei" w:cs="SimHei"/>
          <w:spacing w:val="3"/>
          <w:sz w:val="31"/>
          <w:szCs w:val="31"/>
        </w:rPr>
        <w:t>（征求意见稿）</w:t>
      </w:r>
    </w:p>
    <w:p>
      <w:pPr>
        <w:pStyle w:val="BodyText"/>
        <w:spacing w:before="205" w:line="219" w:lineRule="auto"/>
        <w:ind w:left="7"/>
        <w:outlineLvl w:val="0"/>
      </w:pPr>
      <w:r>
        <w:rPr>
          <w:b/>
          <w:bCs/>
          <w:spacing w:val="-4"/>
        </w:rPr>
        <w:t>一、工作简况</w:t>
      </w:r>
    </w:p>
    <w:p>
      <w:pPr>
        <w:pStyle w:val="BodyText"/>
        <w:spacing w:before="184" w:line="219" w:lineRule="auto"/>
        <w:ind w:left="501"/>
      </w:pPr>
      <w:r>
        <w:rPr>
          <w:spacing w:val="-5"/>
        </w:rPr>
        <w:t>1、任务来源</w:t>
      </w:r>
    </w:p>
    <w:p>
      <w:pPr>
        <w:pStyle w:val="BodyText"/>
        <w:spacing w:before="182" w:line="360" w:lineRule="auto"/>
        <w:ind w:left="2" w:right="13" w:firstLine="425"/>
      </w:pPr>
      <w:r>
        <w:rPr>
          <w:spacing w:val="-2"/>
        </w:rPr>
        <w:t>塑料引起的环境污染问题已引起全世界的关注。我国党和政府对</w:t>
      </w:r>
      <w:r>
        <w:rPr>
          <w:spacing w:val="-3"/>
        </w:rPr>
        <w:t xml:space="preserve">塑料污染问题高度 </w:t>
      </w:r>
      <w:r>
        <w:rPr>
          <w:spacing w:val="-2"/>
        </w:rPr>
        <w:t>重视。国家发展改革委和生态环境部于</w:t>
      </w:r>
      <w:r>
        <w:rPr>
          <w:spacing w:val="-50"/>
        </w:rPr>
        <w:t xml:space="preserve"> </w:t>
      </w:r>
      <w:r>
        <w:rPr>
          <w:spacing w:val="-2"/>
        </w:rPr>
        <w:t>2020</w:t>
      </w:r>
      <w:r>
        <w:rPr>
          <w:spacing w:val="-47"/>
        </w:rPr>
        <w:t xml:space="preserve"> </w:t>
      </w:r>
      <w:r>
        <w:rPr>
          <w:spacing w:val="-2"/>
        </w:rPr>
        <w:t>年</w:t>
      </w:r>
      <w:r>
        <w:rPr>
          <w:spacing w:val="-33"/>
        </w:rPr>
        <w:t xml:space="preserve"> </w:t>
      </w:r>
      <w:r>
        <w:rPr>
          <w:spacing w:val="-2"/>
        </w:rPr>
        <w:t>1</w:t>
      </w:r>
      <w:r>
        <w:rPr>
          <w:spacing w:val="-45"/>
        </w:rPr>
        <w:t xml:space="preserve"> </w:t>
      </w:r>
      <w:r>
        <w:rPr>
          <w:spacing w:val="-2"/>
        </w:rPr>
        <w:t>月联合发布了《关于进一步加强</w:t>
      </w:r>
      <w:r>
        <w:rPr>
          <w:spacing w:val="-3"/>
        </w:rPr>
        <w:t xml:space="preserve">塑料 </w:t>
      </w:r>
      <w:r>
        <w:rPr>
          <w:spacing w:val="-1"/>
        </w:rPr>
        <w:t>污染治理的意见》，明确规定：到</w:t>
      </w:r>
      <w:r>
        <w:rPr>
          <w:spacing w:val="-48"/>
        </w:rPr>
        <w:t xml:space="preserve"> </w:t>
      </w:r>
      <w:r>
        <w:rPr>
          <w:spacing w:val="-1"/>
        </w:rPr>
        <w:t>2020</w:t>
      </w:r>
      <w:r>
        <w:rPr>
          <w:spacing w:val="-50"/>
        </w:rPr>
        <w:t xml:space="preserve"> </w:t>
      </w:r>
      <w:r>
        <w:rPr>
          <w:spacing w:val="-1"/>
        </w:rPr>
        <w:t xml:space="preserve">年底，全国范围餐饮行业禁止使用不可降解一 </w:t>
      </w:r>
      <w:r>
        <w:rPr>
          <w:spacing w:val="-1"/>
        </w:rPr>
        <w:t>次性塑料吸管；到</w:t>
      </w:r>
      <w:r>
        <w:rPr>
          <w:spacing w:val="-48"/>
        </w:rPr>
        <w:t xml:space="preserve"> </w:t>
      </w:r>
      <w:r>
        <w:rPr>
          <w:spacing w:val="-1"/>
        </w:rPr>
        <w:t>2025</w:t>
      </w:r>
      <w:r>
        <w:rPr>
          <w:spacing w:val="-50"/>
        </w:rPr>
        <w:t xml:space="preserve"> </w:t>
      </w:r>
      <w:r>
        <w:rPr>
          <w:spacing w:val="-1"/>
        </w:rPr>
        <w:t xml:space="preserve">年，地级以上城市餐饮外卖领域不可降解一次性塑料餐具消耗 </w:t>
      </w:r>
      <w:r>
        <w:rPr>
          <w:spacing w:val="-10"/>
        </w:rPr>
        <w:t>强度下降</w:t>
      </w:r>
      <w:r>
        <w:rPr>
          <w:spacing w:val="-43"/>
        </w:rPr>
        <w:t xml:space="preserve"> </w:t>
      </w:r>
      <w:r>
        <w:rPr>
          <w:spacing w:val="-10"/>
        </w:rPr>
        <w:t>30%。截至目前，全国近</w:t>
      </w:r>
      <w:r>
        <w:rPr>
          <w:spacing w:val="-46"/>
        </w:rPr>
        <w:t xml:space="preserve"> </w:t>
      </w:r>
      <w:r>
        <w:rPr>
          <w:spacing w:val="-10"/>
        </w:rPr>
        <w:t>30</w:t>
      </w:r>
      <w:r>
        <w:rPr>
          <w:spacing w:val="-51"/>
        </w:rPr>
        <w:t xml:space="preserve"> </w:t>
      </w:r>
      <w:r>
        <w:rPr>
          <w:spacing w:val="-10"/>
        </w:rPr>
        <w:t>个省、直辖市和自治区相继发布了新版“限塑令</w:t>
      </w:r>
      <w:r>
        <w:rPr>
          <w:spacing w:val="-88"/>
        </w:rPr>
        <w:t xml:space="preserve"> </w:t>
      </w:r>
      <w:r>
        <w:rPr>
          <w:spacing w:val="-10"/>
        </w:rPr>
        <w:t>”。</w:t>
      </w:r>
      <w:r>
        <w:t xml:space="preserve"> </w:t>
      </w:r>
      <w:r>
        <w:rPr>
          <w:spacing w:val="-3"/>
        </w:rPr>
        <w:t>海南省出台了更为严格的禁塑政策：含有非生物降解高分子材料的一次性餐饮具类，包</w:t>
      </w:r>
    </w:p>
    <w:p>
      <w:pPr>
        <w:pStyle w:val="BodyText"/>
        <w:spacing w:before="1" w:line="218" w:lineRule="auto"/>
        <w:ind w:left="3"/>
      </w:pPr>
      <w:r>
        <w:t>括盒(含盖)、碗(含盖)、碟、盘、饮料杯(含盖)等一律不</w:t>
      </w:r>
      <w:r>
        <w:rPr>
          <w:spacing w:val="-1"/>
        </w:rPr>
        <w:t>得在海南省生产和销售。</w:t>
      </w:r>
    </w:p>
    <w:p>
      <w:pPr>
        <w:pStyle w:val="BodyText"/>
        <w:spacing w:before="184" w:line="360" w:lineRule="auto"/>
        <w:ind w:left="5" w:firstLine="420"/>
      </w:pPr>
      <w:r>
        <w:t>淋膜纸和纸板具有优良的阻水、阻氧、阻油性能，在食品包装行业有广泛的应用，</w:t>
      </w:r>
      <w:r>
        <w:rPr>
          <w:spacing w:val="16"/>
        </w:rPr>
        <w:t xml:space="preserve"> </w:t>
      </w:r>
      <w:r>
        <w:rPr>
          <w:spacing w:val="-3"/>
        </w:rPr>
        <w:t>主要用于生产纸杯、纸碗、纸餐盒、纸袋、纸吸管等纸包装或容器</w:t>
      </w:r>
      <w:r>
        <w:rPr>
          <w:spacing w:val="-4"/>
        </w:rPr>
        <w:t xml:space="preserve">，可以大大减少塑料 </w:t>
      </w:r>
      <w:r>
        <w:rPr>
          <w:spacing w:val="-1"/>
        </w:rPr>
        <w:t>的用量，是很有潜力的以纸代塑产品。GB/T 36392—2018《食品包装用淋膜纸和纸板》</w:t>
      </w:r>
    </w:p>
    <w:p>
      <w:pPr>
        <w:pStyle w:val="BodyText"/>
        <w:spacing w:before="1" w:line="218" w:lineRule="auto"/>
        <w:ind w:left="7"/>
      </w:pPr>
      <w:r>
        <w:t>发布以来，对于促进行业发展、助力行业监管</w:t>
      </w:r>
      <w:r>
        <w:rPr>
          <w:spacing w:val="-1"/>
        </w:rPr>
        <w:t>以及环境保护发挥了积极的作用。</w:t>
      </w:r>
    </w:p>
    <w:p>
      <w:pPr>
        <w:pStyle w:val="BodyText"/>
        <w:spacing w:before="183" w:line="360" w:lineRule="auto"/>
        <w:ind w:right="13" w:firstLine="482"/>
      </w:pPr>
      <w:r>
        <w:rPr>
          <w:spacing w:val="-4"/>
        </w:rPr>
        <w:t xml:space="preserve">据统计，我国每年用于纸杯、纸碗、纸餐盒等制造的食品包装淋膜纸和纸板预计约 </w:t>
      </w:r>
      <w:r>
        <w:rPr>
          <w:spacing w:val="-2"/>
        </w:rPr>
        <w:t>100</w:t>
      </w:r>
      <w:r>
        <w:rPr>
          <w:spacing w:val="-39"/>
        </w:rPr>
        <w:t xml:space="preserve"> </w:t>
      </w:r>
      <w:r>
        <w:rPr>
          <w:spacing w:val="-2"/>
        </w:rPr>
        <w:t>万吨，生产企业超过</w:t>
      </w:r>
      <w:r>
        <w:rPr>
          <w:spacing w:val="-31"/>
        </w:rPr>
        <w:t xml:space="preserve"> </w:t>
      </w:r>
      <w:r>
        <w:rPr>
          <w:spacing w:val="-2"/>
        </w:rPr>
        <w:t>100</w:t>
      </w:r>
      <w:r>
        <w:rPr>
          <w:spacing w:val="-46"/>
        </w:rPr>
        <w:t xml:space="preserve"> </w:t>
      </w:r>
      <w:r>
        <w:rPr>
          <w:spacing w:val="-2"/>
        </w:rPr>
        <w:t>家，产值突破</w:t>
      </w:r>
      <w:r>
        <w:rPr>
          <w:spacing w:val="-47"/>
        </w:rPr>
        <w:t xml:space="preserve"> </w:t>
      </w:r>
      <w:r>
        <w:rPr>
          <w:spacing w:val="-2"/>
        </w:rPr>
        <w:t>80</w:t>
      </w:r>
      <w:r>
        <w:rPr>
          <w:spacing w:val="-47"/>
        </w:rPr>
        <w:t xml:space="preserve"> </w:t>
      </w:r>
      <w:r>
        <w:rPr>
          <w:spacing w:val="-2"/>
        </w:rPr>
        <w:t>亿元。由于价格等方面的原因，</w:t>
      </w:r>
      <w:r>
        <w:rPr>
          <w:spacing w:val="-63"/>
        </w:rPr>
        <w:t xml:space="preserve"> </w:t>
      </w:r>
      <w:r>
        <w:rPr>
          <w:spacing w:val="-2"/>
        </w:rPr>
        <w:t>目前市</w:t>
      </w:r>
      <w:r>
        <w:t xml:space="preserve"> </w:t>
      </w:r>
      <w:r>
        <w:rPr>
          <w:spacing w:val="-1"/>
        </w:rPr>
        <w:t>场上以</w:t>
      </w:r>
      <w:r>
        <w:rPr>
          <w:spacing w:val="-54"/>
        </w:rPr>
        <w:t xml:space="preserve"> </w:t>
      </w:r>
      <w:r>
        <w:rPr>
          <w:spacing w:val="-1"/>
        </w:rPr>
        <w:t>PE、PP</w:t>
      </w:r>
      <w:r>
        <w:rPr>
          <w:spacing w:val="-50"/>
        </w:rPr>
        <w:t xml:space="preserve"> </w:t>
      </w:r>
      <w:r>
        <w:rPr>
          <w:spacing w:val="-1"/>
        </w:rPr>
        <w:t>和</w:t>
      </w:r>
      <w:r>
        <w:rPr>
          <w:spacing w:val="-54"/>
        </w:rPr>
        <w:t xml:space="preserve"> </w:t>
      </w:r>
      <w:r>
        <w:rPr>
          <w:spacing w:val="-1"/>
        </w:rPr>
        <w:t>PET</w:t>
      </w:r>
      <w:r>
        <w:rPr>
          <w:spacing w:val="-47"/>
        </w:rPr>
        <w:t xml:space="preserve"> </w:t>
      </w:r>
      <w:r>
        <w:rPr>
          <w:spacing w:val="-1"/>
        </w:rPr>
        <w:t>淋膜纸和纸板为主。受国家禁塑政策的影响，</w:t>
      </w:r>
      <w:r>
        <w:rPr>
          <w:spacing w:val="-2"/>
        </w:rPr>
        <w:t xml:space="preserve">行业对于以聚乳酸 </w:t>
      </w:r>
      <w:r>
        <w:rPr>
          <w:spacing w:val="-3"/>
        </w:rPr>
        <w:t>（PLA）淋膜纸、聚丁二酸丁二醇酯（PBS）淋膜纸为代表的可降解淋</w:t>
      </w:r>
      <w:r>
        <w:rPr>
          <w:spacing w:val="-4"/>
        </w:rPr>
        <w:t xml:space="preserve">膜纸和纸板需求急 </w:t>
      </w:r>
      <w:r>
        <w:rPr>
          <w:spacing w:val="3"/>
        </w:rPr>
        <w:t>剧增加，近几年保持两位数的复合增长率。但</w:t>
      </w:r>
      <w:r>
        <w:rPr>
          <w:spacing w:val="-41"/>
        </w:rPr>
        <w:t xml:space="preserve"> </w:t>
      </w:r>
      <w:r>
        <w:t>GB</w:t>
      </w:r>
      <w:r>
        <w:rPr>
          <w:spacing w:val="3"/>
        </w:rPr>
        <w:t>/T 36392—2018</w:t>
      </w:r>
      <w:r>
        <w:rPr>
          <w:spacing w:val="-46"/>
        </w:rPr>
        <w:t xml:space="preserve"> </w:t>
      </w:r>
      <w:r>
        <w:rPr>
          <w:spacing w:val="3"/>
        </w:rPr>
        <w:t>仅对</w:t>
      </w:r>
      <w:r>
        <w:rPr>
          <w:spacing w:val="-47"/>
        </w:rPr>
        <w:t xml:space="preserve"> </w:t>
      </w:r>
      <w:r>
        <w:t>PE</w:t>
      </w:r>
      <w:r>
        <w:rPr>
          <w:spacing w:val="3"/>
        </w:rPr>
        <w:t>、</w:t>
      </w:r>
      <w:r>
        <w:t>PP</w:t>
      </w:r>
      <w:r>
        <w:rPr>
          <w:spacing w:val="-42"/>
        </w:rPr>
        <w:t xml:space="preserve"> </w:t>
      </w:r>
      <w:r>
        <w:rPr>
          <w:spacing w:val="3"/>
        </w:rPr>
        <w:t>和</w:t>
      </w:r>
      <w:r>
        <w:rPr>
          <w:spacing w:val="-50"/>
        </w:rPr>
        <w:t xml:space="preserve"> </w:t>
      </w:r>
      <w:r>
        <w:t xml:space="preserve">PET </w:t>
      </w:r>
      <w:r>
        <w:rPr>
          <w:spacing w:val="-1"/>
        </w:rPr>
        <w:t>淋膜纸和纸板做了规定，不能满足行业绿色发展需求，亟需将</w:t>
      </w:r>
      <w:r>
        <w:rPr>
          <w:spacing w:val="-45"/>
        </w:rPr>
        <w:t xml:space="preserve"> </w:t>
      </w:r>
      <w:r>
        <w:rPr>
          <w:spacing w:val="-1"/>
        </w:rPr>
        <w:t>PLA、PBS</w:t>
      </w:r>
      <w:r>
        <w:rPr>
          <w:spacing w:val="-49"/>
        </w:rPr>
        <w:t xml:space="preserve"> </w:t>
      </w:r>
      <w:r>
        <w:rPr>
          <w:spacing w:val="-1"/>
        </w:rPr>
        <w:t xml:space="preserve">淋膜纸和纸板 </w:t>
      </w:r>
      <w:r>
        <w:rPr>
          <w:spacing w:val="-3"/>
        </w:rPr>
        <w:t>纳入标准中。纸杯、纸碗、纸餐盒、纸吸管等产</w:t>
      </w:r>
      <w:r>
        <w:rPr>
          <w:spacing w:val="-4"/>
        </w:rPr>
        <w:t xml:space="preserve">品标准也引用了《食品包装用淋膜纸和 </w:t>
      </w:r>
      <w:r>
        <w:rPr>
          <w:spacing w:val="-10"/>
        </w:rPr>
        <w:t>纸板》标准，对淋膜纸和纸板原材料进行了规定。另外，市场上也存在可降解塑料（PLA、</w:t>
      </w:r>
      <w:r>
        <w:rPr>
          <w:spacing w:val="15"/>
        </w:rPr>
        <w:t xml:space="preserve"> </w:t>
      </w:r>
      <w:r>
        <w:rPr>
          <w:spacing w:val="-4"/>
        </w:rPr>
        <w:t>PBS</w:t>
      </w:r>
      <w:r>
        <w:rPr>
          <w:spacing w:val="-38"/>
        </w:rPr>
        <w:t xml:space="preserve"> </w:t>
      </w:r>
      <w:r>
        <w:rPr>
          <w:spacing w:val="-4"/>
        </w:rPr>
        <w:t>等）掺杂不可降解塑料（PE、PP</w:t>
      </w:r>
      <w:r>
        <w:rPr>
          <w:spacing w:val="-49"/>
        </w:rPr>
        <w:t xml:space="preserve"> </w:t>
      </w:r>
      <w:r>
        <w:rPr>
          <w:spacing w:val="-4"/>
        </w:rPr>
        <w:t xml:space="preserve">等）进行淋膜的现象，扰乱了市场秩序，损害了合 </w:t>
      </w:r>
      <w:r>
        <w:rPr>
          <w:spacing w:val="-3"/>
        </w:rPr>
        <w:t>法经营企业的利益，有必要对可降解淋膜纸中不可降解成分的鉴别方法进行规定，规范</w:t>
      </w:r>
    </w:p>
    <w:p>
      <w:pPr>
        <w:pStyle w:val="BodyText"/>
        <w:spacing w:before="1" w:line="219" w:lineRule="auto"/>
        <w:ind w:left="7"/>
      </w:pPr>
      <w:r>
        <w:rPr>
          <w:spacing w:val="-3"/>
        </w:rPr>
        <w:t>行业生产。</w:t>
      </w:r>
    </w:p>
    <w:p>
      <w:pPr>
        <w:pStyle w:val="BodyText"/>
        <w:spacing w:before="183" w:line="468" w:lineRule="exact"/>
        <w:ind w:left="426"/>
      </w:pPr>
      <w:r>
        <w:rPr>
          <w:spacing w:val="-2"/>
          <w:position w:val="17"/>
        </w:rPr>
        <w:t>综上，为适应市场需求，提升国内淋膜纸和纸板的质量水平，减少环境污染，急需</w:t>
      </w:r>
    </w:p>
    <w:p>
      <w:pPr>
        <w:pStyle w:val="BodyText"/>
        <w:spacing w:before="1" w:line="217" w:lineRule="auto"/>
        <w:ind w:left="3"/>
        <w:sectPr>
          <w:footerReference w:type="default" r:id="rId4"/>
          <w:pgSz w:w="11906" w:h="16839"/>
          <w:pgMar w:top="1392" w:right="1211" w:bottom="1014" w:left="1594" w:header="0" w:footer="852" w:gutter="0"/>
          <w:cols w:space="708"/>
        </w:sectPr>
      </w:pPr>
      <w:r>
        <w:rPr>
          <w:spacing w:val="-1"/>
        </w:rPr>
        <w:t>修订食品包装用淋膜纸和纸板国家标准，尽早向国内推广使用。</w:t>
      </w:r>
    </w:p>
    <w:p>
      <w:pPr>
        <w:pStyle w:val="BodyText"/>
        <w:spacing w:before="184" w:line="219" w:lineRule="auto"/>
        <w:ind w:left="483"/>
      </w:pPr>
      <w:r>
        <w:rPr>
          <w:spacing w:val="-3"/>
        </w:rPr>
        <w:t>根据国家标准化管理委员会</w:t>
      </w:r>
      <w:r>
        <w:rPr>
          <w:spacing w:val="-48"/>
        </w:rPr>
        <w:t xml:space="preserve"> </w:t>
      </w:r>
      <w:r>
        <w:rPr>
          <w:spacing w:val="-3"/>
        </w:rPr>
        <w:t>2022</w:t>
      </w:r>
      <w:r>
        <w:rPr>
          <w:spacing w:val="-49"/>
        </w:rPr>
        <w:t xml:space="preserve"> </w:t>
      </w:r>
      <w:r>
        <w:rPr>
          <w:spacing w:val="-3"/>
        </w:rPr>
        <w:t>年</w:t>
      </w:r>
      <w:r>
        <w:rPr>
          <w:spacing w:val="-33"/>
        </w:rPr>
        <w:t xml:space="preserve"> </w:t>
      </w:r>
      <w:r>
        <w:rPr>
          <w:spacing w:val="-3"/>
        </w:rPr>
        <w:t>12</w:t>
      </w:r>
      <w:r>
        <w:rPr>
          <w:spacing w:val="-45"/>
        </w:rPr>
        <w:t xml:space="preserve"> </w:t>
      </w:r>
      <w:r>
        <w:rPr>
          <w:spacing w:val="-3"/>
        </w:rPr>
        <w:t>月</w:t>
      </w:r>
      <w:r>
        <w:rPr>
          <w:spacing w:val="-45"/>
        </w:rPr>
        <w:t xml:space="preserve"> </w:t>
      </w:r>
      <w:r>
        <w:rPr>
          <w:spacing w:val="-4"/>
        </w:rPr>
        <w:t>21 日下达的国家标准制修订计划项目，</w:t>
      </w:r>
    </w:p>
    <w:p>
      <w:pPr>
        <w:spacing w:line="219" w:lineRule="auto"/>
        <w:sectPr>
          <w:footerReference w:type="default" r:id="rId5"/>
          <w:type w:val="nextPage"/>
          <w:pgSz w:w="11906" w:h="16839"/>
          <w:pgMar w:top="1392" w:right="1211" w:bottom="1014" w:left="1594" w:header="0" w:footer="852" w:gutter="0"/>
          <w:pgNumType w:start="2"/>
          <w:cols w:space="708"/>
          <w:titlePg w:val="0"/>
        </w:sectPr>
      </w:pPr>
    </w:p>
    <w:p>
      <w:pPr>
        <w:pStyle w:val="BodyText"/>
        <w:spacing w:before="93" w:line="334" w:lineRule="auto"/>
        <w:ind w:left="19" w:right="12" w:hanging="19"/>
      </w:pPr>
      <w:r>
        <w:rPr>
          <w:spacing w:val="3"/>
        </w:rPr>
        <w:t>计划项目号20221346-T-607，计划要求修订《食品包装用淋</w:t>
      </w:r>
      <w:r>
        <w:rPr>
          <w:spacing w:val="2"/>
        </w:rPr>
        <w:t>膜纸》国家标准。全国食</w:t>
      </w:r>
      <w:r>
        <w:t xml:space="preserve"> </w:t>
      </w:r>
      <w:r>
        <w:rPr>
          <w:spacing w:val="-1"/>
        </w:rPr>
        <w:t>品直接接触材料及制品标准化技术委员会纸制品分会负责该标准的起草工作。</w:t>
      </w:r>
    </w:p>
    <w:p>
      <w:pPr>
        <w:pStyle w:val="BodyText"/>
        <w:spacing w:before="183" w:line="220" w:lineRule="auto"/>
        <w:ind w:left="563"/>
      </w:pPr>
      <w:r>
        <w:rPr>
          <w:spacing w:val="-4"/>
        </w:rPr>
        <w:t>2</w:t>
      </w:r>
      <w:r>
        <w:rPr>
          <w:spacing w:val="-46"/>
        </w:rPr>
        <w:t xml:space="preserve"> </w:t>
      </w:r>
      <w:r>
        <w:rPr>
          <w:spacing w:val="-4"/>
        </w:rPr>
        <w:t>主要工作过程</w:t>
      </w:r>
    </w:p>
    <w:p>
      <w:pPr>
        <w:pStyle w:val="BodyText"/>
        <w:spacing w:before="181" w:line="360" w:lineRule="auto"/>
        <w:ind w:right="11" w:firstLine="481"/>
      </w:pPr>
      <w:r>
        <w:rPr>
          <w:spacing w:val="-3"/>
        </w:rPr>
        <w:t>标准计划下达后，2022</w:t>
      </w:r>
      <w:r>
        <w:rPr>
          <w:spacing w:val="-48"/>
        </w:rPr>
        <w:t xml:space="preserve"> </w:t>
      </w:r>
      <w:r>
        <w:rPr>
          <w:spacing w:val="-3"/>
        </w:rPr>
        <w:t>年</w:t>
      </w:r>
      <w:r>
        <w:rPr>
          <w:spacing w:val="-33"/>
        </w:rPr>
        <w:t xml:space="preserve"> </w:t>
      </w:r>
      <w:r>
        <w:rPr>
          <w:spacing w:val="-3"/>
        </w:rPr>
        <w:t>12</w:t>
      </w:r>
      <w:r>
        <w:rPr>
          <w:spacing w:val="-45"/>
        </w:rPr>
        <w:t xml:space="preserve"> </w:t>
      </w:r>
      <w:r>
        <w:rPr>
          <w:spacing w:val="-3"/>
        </w:rPr>
        <w:t>月，成立标准起草小组，起草小组查找国内外相关技</w:t>
      </w:r>
      <w:r>
        <w:t xml:space="preserve"> </w:t>
      </w:r>
      <w:r>
        <w:t>术资料。2023</w:t>
      </w:r>
      <w:r>
        <w:rPr>
          <w:spacing w:val="-30"/>
        </w:rPr>
        <w:t xml:space="preserve"> </w:t>
      </w:r>
      <w:r>
        <w:t>年</w:t>
      </w:r>
      <w:r>
        <w:rPr>
          <w:spacing w:val="-43"/>
        </w:rPr>
        <w:t xml:space="preserve"> </w:t>
      </w:r>
      <w:r>
        <w:t>3</w:t>
      </w:r>
      <w:r>
        <w:rPr>
          <w:spacing w:val="-45"/>
        </w:rPr>
        <w:t xml:space="preserve"> </w:t>
      </w:r>
      <w:r>
        <w:t xml:space="preserve">月，起草小组向企业进行调研，收集企业意见和建议，征集样品， </w:t>
      </w:r>
      <w:r>
        <w:rPr>
          <w:spacing w:val="-6"/>
        </w:rPr>
        <w:t>共征集到各类淋膜成分的样品</w:t>
      </w:r>
      <w:r>
        <w:rPr>
          <w:spacing w:val="-27"/>
        </w:rPr>
        <w:t xml:space="preserve"> </w:t>
      </w:r>
      <w:r>
        <w:rPr>
          <w:spacing w:val="-6"/>
        </w:rPr>
        <w:t>35</w:t>
      </w:r>
      <w:r>
        <w:rPr>
          <w:spacing w:val="-51"/>
        </w:rPr>
        <w:t xml:space="preserve"> </w:t>
      </w:r>
      <w:r>
        <w:rPr>
          <w:spacing w:val="-6"/>
        </w:rPr>
        <w:t>个。2023</w:t>
      </w:r>
      <w:r>
        <w:rPr>
          <w:spacing w:val="-50"/>
        </w:rPr>
        <w:t xml:space="preserve"> </w:t>
      </w:r>
      <w:r>
        <w:rPr>
          <w:spacing w:val="-6"/>
        </w:rPr>
        <w:t>年</w:t>
      </w:r>
      <w:r>
        <w:rPr>
          <w:spacing w:val="-46"/>
        </w:rPr>
        <w:t xml:space="preserve"> </w:t>
      </w:r>
      <w:r>
        <w:rPr>
          <w:spacing w:val="-6"/>
        </w:rPr>
        <w:t>3</w:t>
      </w:r>
      <w:r>
        <w:rPr>
          <w:spacing w:val="-44"/>
        </w:rPr>
        <w:t xml:space="preserve"> </w:t>
      </w:r>
      <w:r>
        <w:rPr>
          <w:spacing w:val="-6"/>
        </w:rPr>
        <w:t>月～2024</w:t>
      </w:r>
      <w:r>
        <w:rPr>
          <w:spacing w:val="-50"/>
        </w:rPr>
        <w:t xml:space="preserve"> </w:t>
      </w:r>
      <w:r>
        <w:rPr>
          <w:spacing w:val="-6"/>
        </w:rPr>
        <w:t>年</w:t>
      </w:r>
      <w:r>
        <w:rPr>
          <w:spacing w:val="-33"/>
        </w:rPr>
        <w:t xml:space="preserve"> </w:t>
      </w:r>
      <w:r>
        <w:rPr>
          <w:spacing w:val="-6"/>
        </w:rPr>
        <w:t>1</w:t>
      </w:r>
      <w:r>
        <w:rPr>
          <w:spacing w:val="-45"/>
        </w:rPr>
        <w:t xml:space="preserve"> </w:t>
      </w:r>
      <w:r>
        <w:rPr>
          <w:spacing w:val="-6"/>
        </w:rPr>
        <w:t>月，对收集样品进行试验</w:t>
      </w:r>
      <w:r>
        <w:t xml:space="preserve"> </w:t>
      </w:r>
      <w:r>
        <w:rPr>
          <w:spacing w:val="-3"/>
        </w:rPr>
        <w:t>验证，并结合企业标准及相关意见形成标准草案，经起草小组讨论修改后形成</w:t>
      </w:r>
      <w:r>
        <w:rPr>
          <w:spacing w:val="-4"/>
        </w:rPr>
        <w:t>标准征求</w:t>
      </w:r>
    </w:p>
    <w:p>
      <w:pPr>
        <w:pStyle w:val="BodyText"/>
        <w:spacing w:line="219" w:lineRule="auto"/>
        <w:ind w:left="7"/>
      </w:pPr>
      <w:r>
        <w:rPr>
          <w:spacing w:val="-4"/>
        </w:rPr>
        <w:t>意见稿。</w:t>
      </w:r>
    </w:p>
    <w:p>
      <w:pPr>
        <w:pStyle w:val="BodyText"/>
        <w:spacing w:before="183" w:line="219" w:lineRule="auto"/>
        <w:ind w:left="4"/>
        <w:outlineLvl w:val="0"/>
      </w:pPr>
      <w:r>
        <w:rPr>
          <w:b/>
          <w:bCs/>
          <w:spacing w:val="-3"/>
        </w:rPr>
        <w:t>二、标准编制原则和确定主要内容</w:t>
      </w:r>
    </w:p>
    <w:p>
      <w:pPr>
        <w:pStyle w:val="BodyText"/>
        <w:spacing w:before="183" w:line="219" w:lineRule="auto"/>
        <w:ind w:left="498"/>
      </w:pPr>
      <w:r>
        <w:rPr>
          <w:spacing w:val="-5"/>
        </w:rPr>
        <w:t>1、编制原则</w:t>
      </w:r>
    </w:p>
    <w:p>
      <w:pPr>
        <w:pStyle w:val="BodyText"/>
        <w:spacing w:before="183" w:line="360" w:lineRule="auto"/>
        <w:ind w:left="1" w:right="11" w:firstLine="482"/>
      </w:pPr>
      <w:r>
        <w:rPr>
          <w:spacing w:val="-3"/>
        </w:rPr>
        <w:t>该产品属于食品直接接触材料，标准编制重点围</w:t>
      </w:r>
      <w:r>
        <w:rPr>
          <w:spacing w:val="-4"/>
        </w:rPr>
        <w:t>绕产品的安全性和使用性设定相应</w:t>
      </w:r>
      <w:r>
        <w:t xml:space="preserve"> </w:t>
      </w:r>
      <w:r>
        <w:rPr>
          <w:spacing w:val="-6"/>
        </w:rPr>
        <w:t>技术内容。在确保产品安全性的基础上，充分体现产品的特点。本标准按</w:t>
      </w:r>
      <w:r>
        <w:rPr>
          <w:spacing w:val="-54"/>
        </w:rPr>
        <w:t xml:space="preserve"> </w:t>
      </w:r>
      <w:r>
        <w:rPr>
          <w:spacing w:val="-6"/>
        </w:rPr>
        <w:t>GB/</w:t>
      </w:r>
      <w:r>
        <w:rPr>
          <w:spacing w:val="-7"/>
        </w:rPr>
        <w:t>T</w:t>
      </w:r>
      <w:r>
        <w:rPr>
          <w:spacing w:val="-33"/>
        </w:rPr>
        <w:t xml:space="preserve"> </w:t>
      </w:r>
      <w:r>
        <w:rPr>
          <w:spacing w:val="-7"/>
        </w:rPr>
        <w:t>1.1-2020</w:t>
      </w:r>
    </w:p>
    <w:p>
      <w:pPr>
        <w:pStyle w:val="BodyText"/>
        <w:spacing w:before="1" w:line="219" w:lineRule="auto"/>
        <w:ind w:left="1"/>
      </w:pPr>
      <w:r>
        <w:rPr>
          <w:spacing w:val="-2"/>
        </w:rPr>
        <w:t>给出的规则起草。</w:t>
      </w:r>
    </w:p>
    <w:p>
      <w:pPr>
        <w:pStyle w:val="BodyText"/>
        <w:spacing w:before="183" w:line="219" w:lineRule="auto"/>
        <w:ind w:left="483"/>
      </w:pPr>
      <w:r>
        <w:rPr>
          <w:spacing w:val="-2"/>
        </w:rPr>
        <w:t>2、标准主要内容</w:t>
      </w:r>
    </w:p>
    <w:p>
      <w:pPr>
        <w:pStyle w:val="BodyText"/>
        <w:spacing w:before="183" w:line="360" w:lineRule="auto"/>
        <w:ind w:right="11" w:firstLine="481"/>
      </w:pPr>
      <w:r>
        <w:rPr>
          <w:spacing w:val="-3"/>
        </w:rPr>
        <w:t>本标准规定的主要内容有：内在质量（定量偏差、横幅</w:t>
      </w:r>
      <w:r>
        <w:rPr>
          <w:spacing w:val="-4"/>
        </w:rPr>
        <w:t>厚度差、膜定量偏差、粘合</w:t>
      </w:r>
      <w:r>
        <w:t xml:space="preserve"> </w:t>
      </w:r>
      <w:r>
        <w:rPr>
          <w:spacing w:val="-3"/>
        </w:rPr>
        <w:t>程度、耐脂度、渗漏性能、边渗透质量、润湿张力、交货水分、不可降解成分</w:t>
      </w:r>
      <w:r>
        <w:rPr>
          <w:spacing w:val="-4"/>
        </w:rPr>
        <w:t>）、生物</w:t>
      </w:r>
    </w:p>
    <w:p>
      <w:pPr>
        <w:pStyle w:val="BodyText"/>
        <w:spacing w:before="1" w:line="218" w:lineRule="auto"/>
        <w:ind w:left="19"/>
      </w:pPr>
      <w:r>
        <w:rPr>
          <w:spacing w:val="-3"/>
        </w:rPr>
        <w:t>降解/可堆肥性能等。</w:t>
      </w:r>
    </w:p>
    <w:p>
      <w:pPr>
        <w:pStyle w:val="BodyText"/>
        <w:spacing w:before="184" w:line="220" w:lineRule="auto"/>
        <w:ind w:left="492"/>
      </w:pPr>
      <w:r>
        <w:rPr>
          <w:spacing w:val="-5"/>
        </w:rPr>
        <w:t>（1）范围</w:t>
      </w:r>
    </w:p>
    <w:p>
      <w:pPr>
        <w:pStyle w:val="BodyText"/>
        <w:spacing w:before="181" w:line="468" w:lineRule="exact"/>
        <w:ind w:right="11"/>
        <w:jc w:val="right"/>
      </w:pPr>
      <w:r>
        <w:rPr>
          <w:position w:val="17"/>
        </w:rPr>
        <w:t>经综合考虑，本标准适用于以纸为基材，单面或双面淋PE、PP、PET、PLA或PBS膜</w:t>
      </w:r>
    </w:p>
    <w:p>
      <w:pPr>
        <w:pStyle w:val="BodyText"/>
        <w:spacing w:before="2" w:line="217" w:lineRule="auto"/>
        <w:ind w:left="2"/>
      </w:pPr>
      <w:r>
        <w:rPr>
          <w:spacing w:val="-1"/>
        </w:rPr>
        <w:t>后加工成形的用于食品包装的淋膜纸和纸板。</w:t>
      </w:r>
    </w:p>
    <w:p>
      <w:pPr>
        <w:pStyle w:val="BodyText"/>
        <w:spacing w:before="185" w:line="219" w:lineRule="auto"/>
        <w:ind w:left="492"/>
      </w:pPr>
      <w:r>
        <w:rPr>
          <w:spacing w:val="-3"/>
        </w:rPr>
        <w:t>（2）定量偏差</w:t>
      </w:r>
    </w:p>
    <w:p>
      <w:pPr>
        <w:pStyle w:val="BodyText"/>
        <w:spacing w:before="183" w:line="360" w:lineRule="auto"/>
        <w:ind w:left="7" w:right="23" w:firstLine="479"/>
      </w:pPr>
      <w:r>
        <w:rPr>
          <w:spacing w:val="-1"/>
        </w:rPr>
        <w:t>定量是产品的基本物理指标，由于食品包装用淋膜纸定量范围较大，从</w:t>
      </w:r>
      <w:r>
        <w:rPr>
          <w:spacing w:val="-37"/>
        </w:rPr>
        <w:t xml:space="preserve"> </w:t>
      </w:r>
      <w:r>
        <w:rPr>
          <w:spacing w:val="-1"/>
        </w:rPr>
        <w:t>20.0 g/m</w:t>
      </w:r>
      <w:r>
        <w:rPr>
          <w:spacing w:val="-1"/>
          <w:position w:val="12"/>
          <w:sz w:val="12"/>
          <w:szCs w:val="12"/>
        </w:rPr>
        <w:t>2</w:t>
      </w:r>
      <w:r>
        <w:rPr>
          <w:position w:val="12"/>
          <w:sz w:val="12"/>
          <w:szCs w:val="12"/>
        </w:rPr>
        <w:t xml:space="preserve"> </w:t>
      </w:r>
      <w:r>
        <w:t>到</w:t>
      </w:r>
      <w:r>
        <w:rPr>
          <w:spacing w:val="-41"/>
        </w:rPr>
        <w:t xml:space="preserve"> </w:t>
      </w:r>
      <w:r>
        <w:t>300 g/m</w:t>
      </w:r>
      <w:r>
        <w:rPr>
          <w:position w:val="12"/>
          <w:sz w:val="12"/>
          <w:szCs w:val="12"/>
        </w:rPr>
        <w:t>2</w:t>
      </w:r>
      <w:r>
        <w:rPr>
          <w:spacing w:val="-16"/>
          <w:position w:val="12"/>
          <w:sz w:val="12"/>
          <w:szCs w:val="12"/>
        </w:rPr>
        <w:t xml:space="preserve"> </w:t>
      </w:r>
      <w:r>
        <w:t>均有，因此不对定量进行具体规定，用定量偏差来考核产品定量均匀性，</w:t>
      </w:r>
    </w:p>
    <w:p>
      <w:pPr>
        <w:pStyle w:val="BodyText"/>
        <w:spacing w:line="219" w:lineRule="auto"/>
        <w:ind w:left="30"/>
      </w:pPr>
      <w:r>
        <w:rPr>
          <w:spacing w:val="-2"/>
        </w:rPr>
        <w:t>由于定量范围较大，维持原标准±4.0%的限定值。</w:t>
      </w:r>
    </w:p>
    <w:p>
      <w:pPr>
        <w:pStyle w:val="BodyText"/>
        <w:spacing w:before="183" w:line="218" w:lineRule="auto"/>
        <w:ind w:left="492"/>
      </w:pPr>
      <w:r>
        <w:rPr>
          <w:spacing w:val="-3"/>
        </w:rPr>
        <w:t>（3）横幅厚度差</w:t>
      </w:r>
    </w:p>
    <w:p>
      <w:pPr>
        <w:pStyle w:val="BodyText"/>
        <w:spacing w:before="185" w:line="468" w:lineRule="exact"/>
        <w:ind w:right="9"/>
        <w:jc w:val="right"/>
      </w:pPr>
      <w:r>
        <w:rPr>
          <w:spacing w:val="3"/>
          <w:position w:val="17"/>
        </w:rPr>
        <w:t>为了避免产品的厚度偏差过大对成品加工造成影响，本标准规定了横幅厚度差指</w:t>
      </w:r>
    </w:p>
    <w:p>
      <w:pPr>
        <w:pStyle w:val="BodyText"/>
        <w:spacing w:line="219" w:lineRule="auto"/>
        <w:ind w:left="1"/>
      </w:pPr>
      <w:r>
        <w:rPr>
          <w:spacing w:val="-5"/>
        </w:rPr>
        <w:t>标，根据试验数据，维持原标准≤4%的限定值。</w:t>
      </w:r>
    </w:p>
    <w:p>
      <w:pPr>
        <w:pStyle w:val="BodyText"/>
        <w:spacing w:before="183" w:line="219" w:lineRule="auto"/>
        <w:ind w:left="492"/>
        <w:sectPr>
          <w:footerReference w:type="default" r:id="rId6"/>
          <w:pgSz w:w="11906" w:h="16839"/>
          <w:pgMar w:top="1210" w:right="1293" w:bottom="1014" w:left="1597" w:header="0" w:footer="852" w:gutter="0"/>
          <w:pgNumType w:start="3"/>
          <w:cols w:space="708"/>
        </w:sectPr>
      </w:pPr>
      <w:r>
        <w:rPr>
          <w:spacing w:val="-3"/>
        </w:rPr>
        <w:t>（4）膜定量偏差</w:t>
      </w:r>
    </w:p>
    <w:p>
      <w:pPr>
        <w:pStyle w:val="BodyText"/>
        <w:spacing w:before="183" w:line="468" w:lineRule="exact"/>
        <w:ind w:right="11"/>
        <w:jc w:val="right"/>
      </w:pPr>
      <w:r>
        <w:rPr>
          <w:spacing w:val="-3"/>
          <w:position w:val="17"/>
        </w:rPr>
        <w:t>食品包装用淋膜纸原纸定量偏差有相应规定，若膜定量偏</w:t>
      </w:r>
      <w:r>
        <w:rPr>
          <w:spacing w:val="-4"/>
          <w:position w:val="17"/>
        </w:rPr>
        <w:t>差较大，会影响成品的定</w:t>
      </w:r>
    </w:p>
    <w:p>
      <w:pPr>
        <w:pStyle w:val="BodyText"/>
        <w:spacing w:before="1" w:line="217" w:lineRule="auto"/>
        <w:jc w:val="right"/>
      </w:pPr>
      <w:r>
        <w:rPr>
          <w:spacing w:val="-9"/>
        </w:rPr>
        <w:t>量偏差，因此对膜定量偏差进行规定。由于低定量淋膜纸的膜定量偏低，高定量淋膜纸的</w:t>
      </w:r>
    </w:p>
    <w:p>
      <w:pPr>
        <w:spacing w:line="217" w:lineRule="auto"/>
        <w:sectPr>
          <w:footerReference w:type="default" r:id="rId7"/>
          <w:type w:val="nextPage"/>
          <w:pgSz w:w="11906" w:h="16839"/>
          <w:pgMar w:top="1210" w:right="1293" w:bottom="1014" w:left="1597" w:header="0" w:footer="852" w:gutter="0"/>
          <w:pgNumType w:start="4"/>
          <w:cols w:space="708"/>
          <w:titlePg w:val="0"/>
        </w:sectPr>
      </w:pPr>
    </w:p>
    <w:p>
      <w:pPr>
        <w:pStyle w:val="BodyText"/>
        <w:spacing w:before="47" w:line="468" w:lineRule="exact"/>
        <w:jc w:val="right"/>
      </w:pPr>
      <w:r>
        <w:rPr>
          <w:spacing w:val="-15"/>
          <w:position w:val="17"/>
        </w:rPr>
        <w:t>膜定量较高，故不能用一个偏差值限定。根据试验数据，维</w:t>
      </w:r>
      <w:r>
        <w:rPr>
          <w:spacing w:val="-16"/>
          <w:position w:val="17"/>
        </w:rPr>
        <w:t>持原标准限定值要求，规定I型、</w:t>
      </w:r>
    </w:p>
    <w:p>
      <w:pPr>
        <w:pStyle w:val="BodyText"/>
        <w:spacing w:before="1" w:line="213" w:lineRule="auto"/>
        <w:ind w:left="42"/>
      </w:pPr>
      <w:r>
        <w:rPr>
          <w:spacing w:val="-11"/>
        </w:rPr>
        <w:t>Ⅱ型偏差为±1.0 g/m</w:t>
      </w:r>
      <w:r>
        <w:rPr>
          <w:spacing w:val="-11"/>
          <w:position w:val="12"/>
          <w:sz w:val="12"/>
          <w:szCs w:val="12"/>
        </w:rPr>
        <w:t>2</w:t>
      </w:r>
      <w:r>
        <w:rPr>
          <w:spacing w:val="-29"/>
          <w:position w:val="12"/>
          <w:sz w:val="12"/>
          <w:szCs w:val="12"/>
        </w:rPr>
        <w:t xml:space="preserve"> </w:t>
      </w:r>
      <w:r>
        <w:rPr>
          <w:spacing w:val="-11"/>
        </w:rPr>
        <w:t>，Ⅲ型偏差为±2.0 g/m</w:t>
      </w:r>
      <w:r>
        <w:rPr>
          <w:spacing w:val="-11"/>
          <w:position w:val="12"/>
          <w:sz w:val="12"/>
          <w:szCs w:val="12"/>
        </w:rPr>
        <w:t>2</w:t>
      </w:r>
      <w:r>
        <w:rPr>
          <w:spacing w:val="-11"/>
        </w:rPr>
        <w:t>。</w:t>
      </w:r>
    </w:p>
    <w:p>
      <w:pPr>
        <w:pStyle w:val="BodyText"/>
        <w:spacing w:before="190" w:line="219" w:lineRule="auto"/>
        <w:ind w:left="492"/>
      </w:pPr>
      <w:r>
        <w:rPr>
          <w:spacing w:val="-3"/>
        </w:rPr>
        <w:t>（5）粘合程度</w:t>
      </w:r>
    </w:p>
    <w:p>
      <w:pPr>
        <w:pStyle w:val="BodyText"/>
        <w:spacing w:before="182" w:line="360" w:lineRule="auto"/>
        <w:ind w:left="6" w:right="37" w:firstLine="474"/>
      </w:pPr>
      <w:r>
        <w:rPr>
          <w:spacing w:val="-2"/>
        </w:rPr>
        <w:t>粘合程度是判断原纸与膜之间是否完全粘合的指标，若出现过大面积不粘合情况，</w:t>
      </w:r>
      <w:r>
        <w:rPr>
          <w:spacing w:val="3"/>
        </w:rPr>
        <w:t xml:space="preserve"> </w:t>
      </w:r>
      <w:r>
        <w:rPr>
          <w:spacing w:val="-3"/>
        </w:rPr>
        <w:t>势必会影响产品的使用性能，并且出现外观缺陷。因此，标准</w:t>
      </w:r>
      <w:r>
        <w:rPr>
          <w:spacing w:val="-4"/>
        </w:rPr>
        <w:t>规定原纸与膜之间粘合程</w:t>
      </w:r>
    </w:p>
    <w:p>
      <w:pPr>
        <w:pStyle w:val="BodyText"/>
        <w:spacing w:line="219" w:lineRule="auto"/>
      </w:pPr>
      <w:r>
        <w:rPr>
          <w:spacing w:val="-1"/>
        </w:rPr>
        <w:t>度为大于等于80%。</w:t>
      </w:r>
    </w:p>
    <w:p>
      <w:pPr>
        <w:pStyle w:val="BodyText"/>
        <w:spacing w:before="183" w:line="220" w:lineRule="auto"/>
        <w:ind w:left="492"/>
      </w:pPr>
      <w:r>
        <w:rPr>
          <w:spacing w:val="-4"/>
        </w:rPr>
        <w:t>（6）耐脂度</w:t>
      </w:r>
    </w:p>
    <w:p>
      <w:pPr>
        <w:pStyle w:val="BodyText"/>
        <w:spacing w:before="182" w:line="360" w:lineRule="auto"/>
        <w:ind w:left="1" w:right="87" w:firstLine="481"/>
      </w:pPr>
      <w:r>
        <w:rPr>
          <w:spacing w:val="-3"/>
        </w:rPr>
        <w:t>耐脂度是指产品的耐油性能，经调研Ⅰ型产品主要</w:t>
      </w:r>
      <w:r>
        <w:rPr>
          <w:spacing w:val="-4"/>
        </w:rPr>
        <w:t>包汉堡等低油脂含量产品，企业</w:t>
      </w:r>
      <w:r>
        <w:t xml:space="preserve"> </w:t>
      </w:r>
      <w:r>
        <w:rPr>
          <w:spacing w:val="-4"/>
        </w:rPr>
        <w:t>反馈对Ⅰ型产品考核耐脂度的意义不大，参考相关团标和厂家意见，</w:t>
      </w:r>
      <w:r>
        <w:rPr>
          <w:spacing w:val="-88"/>
        </w:rPr>
        <w:t xml:space="preserve"> </w:t>
      </w:r>
      <w:r>
        <w:rPr>
          <w:spacing w:val="-4"/>
        </w:rPr>
        <w:t>Ⅰ型产品耐脂度不</w:t>
      </w:r>
      <w:r>
        <w:t xml:space="preserve"> </w:t>
      </w:r>
      <w:r>
        <w:rPr>
          <w:spacing w:val="-3"/>
        </w:rPr>
        <w:t>再做规定；对于Ⅱ型产品，测定方法采用向淋膜纸上滴食用油的方式，看</w:t>
      </w:r>
      <w:r>
        <w:rPr>
          <w:spacing w:val="-4"/>
        </w:rPr>
        <w:t>是否会出现斑</w:t>
      </w:r>
    </w:p>
    <w:p>
      <w:pPr>
        <w:pStyle w:val="BodyText"/>
        <w:spacing w:before="1" w:line="219" w:lineRule="auto"/>
        <w:ind w:left="13"/>
      </w:pPr>
      <w:r>
        <w:rPr>
          <w:spacing w:val="-1"/>
        </w:rPr>
        <w:t>点，若出现大于2 mm的斑点，或斑点数超过规定值，则表明产品耐脂性能不合格。</w:t>
      </w:r>
    </w:p>
    <w:p>
      <w:pPr>
        <w:pStyle w:val="BodyText"/>
        <w:spacing w:before="183" w:line="220" w:lineRule="auto"/>
        <w:ind w:left="492"/>
      </w:pPr>
      <w:r>
        <w:rPr>
          <w:spacing w:val="-4"/>
        </w:rPr>
        <w:t>（7）透湿度</w:t>
      </w:r>
    </w:p>
    <w:p>
      <w:pPr>
        <w:pStyle w:val="BodyText"/>
        <w:spacing w:before="181" w:line="360" w:lineRule="auto"/>
        <w:ind w:left="2" w:right="87" w:firstLine="507"/>
      </w:pPr>
      <w:r>
        <w:rPr>
          <w:spacing w:val="-4"/>
        </w:rPr>
        <w:t>由于Ⅱ型产品淋膜纸直接包装食品时实际还会与其他材料组成复合层，因</w:t>
      </w:r>
      <w:r>
        <w:rPr>
          <w:spacing w:val="-5"/>
        </w:rPr>
        <w:t>此单独的</w:t>
      </w:r>
      <w:r>
        <w:t xml:space="preserve"> </w:t>
      </w:r>
      <w:r>
        <w:rPr>
          <w:spacing w:val="-3"/>
        </w:rPr>
        <w:t>淋膜纸阻隔性能较差，不具有考察意义，因此本次修订删除了原标准中</w:t>
      </w:r>
      <w:r>
        <w:rPr>
          <w:spacing w:val="-4"/>
        </w:rPr>
        <w:t>Ⅱ型产品的透湿</w:t>
      </w:r>
    </w:p>
    <w:p>
      <w:pPr>
        <w:pStyle w:val="BodyText"/>
        <w:spacing w:before="1" w:line="220" w:lineRule="auto"/>
      </w:pPr>
      <w:r>
        <w:rPr>
          <w:spacing w:val="-3"/>
        </w:rPr>
        <w:t>度指标。</w:t>
      </w:r>
    </w:p>
    <w:p>
      <w:pPr>
        <w:pStyle w:val="BodyText"/>
        <w:spacing w:before="182" w:line="220" w:lineRule="auto"/>
        <w:ind w:left="492"/>
      </w:pPr>
      <w:r>
        <w:rPr>
          <w:spacing w:val="-3"/>
        </w:rPr>
        <w:t>（8）渗漏性能</w:t>
      </w:r>
    </w:p>
    <w:p>
      <w:pPr>
        <w:pStyle w:val="BodyText"/>
        <w:spacing w:before="181" w:line="360" w:lineRule="auto"/>
        <w:ind w:right="87" w:firstLine="481"/>
      </w:pPr>
      <w:r>
        <w:rPr>
          <w:spacing w:val="-3"/>
        </w:rPr>
        <w:t>渗漏性能是该产品重要指标，该指标主要考核用来加工</w:t>
      </w:r>
      <w:r>
        <w:rPr>
          <w:spacing w:val="-4"/>
        </w:rPr>
        <w:t>纸杯、纸碗、纸餐盒等用的</w:t>
      </w:r>
      <w:r>
        <w:t xml:space="preserve"> </w:t>
      </w:r>
      <w:r>
        <w:rPr>
          <w:spacing w:val="-3"/>
        </w:rPr>
        <w:t>Ⅲ型产品以及用于饮水纸袋的Ⅱ型产品。由于饮水纸袋、纸杯、纸碗等用来盛</w:t>
      </w:r>
      <w:r>
        <w:rPr>
          <w:spacing w:val="-4"/>
        </w:rPr>
        <w:t>装液体或</w:t>
      </w:r>
      <w:r>
        <w:t xml:space="preserve"> </w:t>
      </w:r>
      <w:r>
        <w:rPr>
          <w:spacing w:val="-3"/>
        </w:rPr>
        <w:t>固液混合物，因此，若淋膜纸渗漏性能不好，则做成成品后将影响使用。渗漏</w:t>
      </w:r>
      <w:r>
        <w:rPr>
          <w:spacing w:val="-4"/>
        </w:rPr>
        <w:t>性能要求</w:t>
      </w:r>
    </w:p>
    <w:p>
      <w:pPr>
        <w:pStyle w:val="BodyText"/>
        <w:spacing w:before="1" w:line="219" w:lineRule="auto"/>
      </w:pPr>
      <w:r>
        <w:rPr>
          <w:spacing w:val="-1"/>
        </w:rPr>
        <w:t>在规定的试验条件下无渗漏。</w:t>
      </w:r>
    </w:p>
    <w:p>
      <w:pPr>
        <w:pStyle w:val="BodyText"/>
        <w:spacing w:before="183" w:line="220" w:lineRule="auto"/>
        <w:ind w:left="492"/>
      </w:pPr>
      <w:r>
        <w:rPr>
          <w:spacing w:val="-3"/>
        </w:rPr>
        <w:t>（9）边渗透质量</w:t>
      </w:r>
    </w:p>
    <w:p>
      <w:pPr>
        <w:pStyle w:val="BodyText"/>
        <w:spacing w:before="182" w:line="467" w:lineRule="exact"/>
        <w:ind w:left="480"/>
      </w:pPr>
      <w:r>
        <w:rPr>
          <w:spacing w:val="-3"/>
          <w:position w:val="17"/>
        </w:rPr>
        <w:t>边渗透是在规定的条件下，液体从纸或纸板单位截面积渗入</w:t>
      </w:r>
      <w:r>
        <w:rPr>
          <w:spacing w:val="-4"/>
          <w:position w:val="17"/>
        </w:rPr>
        <w:t>的质量，根据本次试验</w:t>
      </w:r>
    </w:p>
    <w:p>
      <w:pPr>
        <w:pStyle w:val="BodyText"/>
        <w:spacing w:before="1" w:line="213" w:lineRule="auto"/>
      </w:pPr>
      <w:r>
        <w:rPr>
          <w:spacing w:val="-1"/>
        </w:rPr>
        <w:t>验证情况，边渗透要求为≤2.5 kg/m</w:t>
      </w:r>
      <w:r>
        <w:rPr>
          <w:spacing w:val="-1"/>
          <w:position w:val="12"/>
          <w:sz w:val="12"/>
          <w:szCs w:val="12"/>
        </w:rPr>
        <w:t>2</w:t>
      </w:r>
      <w:r>
        <w:rPr>
          <w:spacing w:val="-1"/>
        </w:rPr>
        <w:t>。</w:t>
      </w:r>
    </w:p>
    <w:p>
      <w:pPr>
        <w:pStyle w:val="BodyText"/>
        <w:spacing w:before="191" w:line="219" w:lineRule="auto"/>
        <w:ind w:left="492"/>
      </w:pPr>
      <w:r>
        <w:rPr>
          <w:spacing w:val="-3"/>
        </w:rPr>
        <w:t>（10）润湿张力</w:t>
      </w:r>
    </w:p>
    <w:p>
      <w:pPr>
        <w:pStyle w:val="BodyText"/>
        <w:spacing w:before="183" w:line="360" w:lineRule="auto"/>
        <w:ind w:right="87" w:firstLine="484"/>
      </w:pPr>
      <w:r>
        <w:rPr>
          <w:spacing w:val="-3"/>
        </w:rPr>
        <w:t>该指标主要考核淋膜面的印刷性能，仅双面淋膜</w:t>
      </w:r>
      <w:r>
        <w:rPr>
          <w:spacing w:val="-4"/>
        </w:rPr>
        <w:t>纸和纸板的印刷面考核该指标。由</w:t>
      </w:r>
      <w:r>
        <w:t xml:space="preserve"> </w:t>
      </w:r>
      <w:r>
        <w:rPr>
          <w:spacing w:val="-3"/>
        </w:rPr>
        <w:t>于PE薄膜表面属非活性，与油墨的粘结性差，为了改善它与油墨的粘结性能，需在薄膜</w:t>
      </w:r>
      <w:r>
        <w:t xml:space="preserve"> </w:t>
      </w:r>
      <w:r>
        <w:t>表面进行电晕处理，用处理型油墨印刷时，基材的处理强度需要36 mN/m（润湿张力）</w:t>
      </w:r>
    </w:p>
    <w:p>
      <w:pPr>
        <w:pStyle w:val="BodyText"/>
        <w:spacing w:before="1" w:line="218" w:lineRule="auto"/>
        <w:ind w:left="28"/>
        <w:sectPr>
          <w:footerReference w:type="default" r:id="rId8"/>
          <w:pgSz w:w="11906" w:h="16839"/>
          <w:pgMar w:top="1371" w:right="1217" w:bottom="1014" w:left="1597" w:header="0" w:footer="852" w:gutter="0"/>
          <w:pgNumType w:start="5"/>
          <w:cols w:space="708"/>
        </w:sectPr>
      </w:pPr>
      <w:r>
        <w:rPr>
          <w:spacing w:val="-1"/>
        </w:rPr>
        <w:t>以上，考虑到衰减，参考有关标准，标准规定润湿张力大于等于38 mN/</w:t>
      </w:r>
      <w:r>
        <w:rPr>
          <w:spacing w:val="-2"/>
        </w:rPr>
        <w:t>m。</w:t>
      </w:r>
    </w:p>
    <w:p>
      <w:pPr>
        <w:pStyle w:val="BodyText"/>
        <w:spacing w:before="183" w:line="219" w:lineRule="auto"/>
        <w:ind w:left="492"/>
      </w:pPr>
      <w:r>
        <w:rPr>
          <w:spacing w:val="-3"/>
        </w:rPr>
        <w:t>（11）交货水分</w:t>
      </w:r>
    </w:p>
    <w:p>
      <w:pPr>
        <w:pStyle w:val="BodyText"/>
        <w:spacing w:before="184" w:line="219" w:lineRule="auto"/>
        <w:ind w:left="480"/>
      </w:pPr>
      <w:r>
        <w:rPr>
          <w:spacing w:val="-1"/>
        </w:rPr>
        <w:t>考虑到南北地区差异较大，交货水分定为3.0%-9.0%。</w:t>
      </w:r>
    </w:p>
    <w:p>
      <w:pPr>
        <w:spacing w:line="219" w:lineRule="auto"/>
        <w:sectPr>
          <w:footerReference w:type="default" r:id="rId9"/>
          <w:type w:val="nextPage"/>
          <w:pgSz w:w="11906" w:h="16839"/>
          <w:pgMar w:top="1371" w:right="1217" w:bottom="1014" w:left="1597" w:header="0" w:footer="852" w:gutter="0"/>
          <w:pgNumType w:start="6"/>
          <w:cols w:space="708"/>
          <w:titlePg w:val="0"/>
        </w:sectPr>
      </w:pPr>
    </w:p>
    <w:p>
      <w:pPr>
        <w:pStyle w:val="BodyText"/>
        <w:spacing w:before="48" w:line="219" w:lineRule="auto"/>
        <w:ind w:left="492"/>
      </w:pPr>
      <w:r>
        <w:rPr>
          <w:spacing w:val="-3"/>
        </w:rPr>
        <w:t>（12）不可降解成分</w:t>
      </w:r>
    </w:p>
    <w:p>
      <w:pPr>
        <w:pStyle w:val="BodyText"/>
        <w:spacing w:before="182" w:line="468" w:lineRule="exact"/>
        <w:ind w:right="2"/>
        <w:jc w:val="right"/>
      </w:pPr>
      <w:r>
        <w:rPr>
          <w:spacing w:val="-3"/>
          <w:position w:val="17"/>
        </w:rPr>
        <w:t>该指标主要考核标称可降解的淋膜纸和纸板是否</w:t>
      </w:r>
      <w:r>
        <w:rPr>
          <w:spacing w:val="-4"/>
          <w:position w:val="17"/>
        </w:rPr>
        <w:t>添加了不可降解成分，仅标称可降</w:t>
      </w:r>
    </w:p>
    <w:p>
      <w:pPr>
        <w:pStyle w:val="BodyText"/>
        <w:spacing w:before="1" w:line="217" w:lineRule="auto"/>
      </w:pPr>
      <w:r>
        <w:rPr>
          <w:spacing w:val="-1"/>
        </w:rPr>
        <w:t>解的淋膜纸和纸板考核，要求为阴性。</w:t>
      </w:r>
    </w:p>
    <w:p>
      <w:pPr>
        <w:pStyle w:val="BodyText"/>
        <w:spacing w:before="184" w:line="220" w:lineRule="auto"/>
        <w:ind w:left="492"/>
      </w:pPr>
      <w:r>
        <w:rPr>
          <w:spacing w:val="-3"/>
        </w:rPr>
        <w:t>（13）生物分解性能</w:t>
      </w:r>
    </w:p>
    <w:p>
      <w:pPr>
        <w:pStyle w:val="BodyText"/>
        <w:spacing w:before="182" w:line="360" w:lineRule="auto"/>
        <w:ind w:left="1" w:firstLine="482"/>
      </w:pPr>
      <w:r>
        <w:rPr>
          <w:spacing w:val="-3"/>
        </w:rPr>
        <w:t>该指标主要考核明示可生物分解（降解）的食品</w:t>
      </w:r>
      <w:r>
        <w:rPr>
          <w:spacing w:val="-4"/>
        </w:rPr>
        <w:t>包装用淋膜纸和纸板的生物分解性</w:t>
      </w:r>
      <w:r>
        <w:t xml:space="preserve"> </w:t>
      </w:r>
      <w:r>
        <w:t>能。食品包装用淋膜纸和纸板最大生物分解率应大于等于90%或达到参比材料生物分解</w:t>
      </w:r>
      <w:r>
        <w:rPr>
          <w:spacing w:val="3"/>
        </w:rPr>
        <w:t xml:space="preserve"> </w:t>
      </w:r>
      <w:r>
        <w:rPr>
          <w:spacing w:val="3"/>
        </w:rPr>
        <w:t>率的90%以上，且原纸的最大生物分解率应大于等于90%或达到参比材料生物分解率的</w:t>
      </w:r>
      <w:r>
        <w:t xml:space="preserve"> </w:t>
      </w:r>
      <w:r>
        <w:rPr>
          <w:spacing w:val="-3"/>
        </w:rPr>
        <w:t>90%以上，除原纸外的组分大于等于1%的塑料膜的最大生物分解率应大于等于90%或达到</w:t>
      </w:r>
      <w:r>
        <w:rPr>
          <w:spacing w:val="6"/>
        </w:rPr>
        <w:t xml:space="preserve"> </w:t>
      </w:r>
      <w:r>
        <w:t>参比材料生物分解率的90%以上。仅对明示可生物分解（降解）的食品包装用淋膜纸和</w:t>
      </w:r>
    </w:p>
    <w:p>
      <w:pPr>
        <w:pStyle w:val="BodyText"/>
        <w:spacing w:line="218" w:lineRule="auto"/>
        <w:ind w:left="2"/>
      </w:pPr>
      <w:r>
        <w:rPr>
          <w:spacing w:val="-2"/>
        </w:rPr>
        <w:t>纸板考核该性能。</w:t>
      </w:r>
    </w:p>
    <w:p>
      <w:pPr>
        <w:pStyle w:val="BodyText"/>
        <w:spacing w:before="184" w:line="219" w:lineRule="auto"/>
        <w:ind w:left="492"/>
      </w:pPr>
      <w:r>
        <w:rPr>
          <w:spacing w:val="-3"/>
        </w:rPr>
        <w:t>（14）可堆肥性能</w:t>
      </w:r>
    </w:p>
    <w:p>
      <w:pPr>
        <w:pStyle w:val="BodyText"/>
        <w:spacing w:before="184" w:line="360" w:lineRule="auto"/>
        <w:ind w:right="2" w:firstLine="484"/>
      </w:pPr>
      <w:r>
        <w:rPr>
          <w:spacing w:val="-3"/>
        </w:rPr>
        <w:t>该指标仅对明示可生物分解（降解）的食品包装</w:t>
      </w:r>
      <w:r>
        <w:rPr>
          <w:spacing w:val="-4"/>
        </w:rPr>
        <w:t>用淋膜纸和纸板考核。该指标实际</w:t>
      </w:r>
      <w:r>
        <w:t xml:space="preserve"> </w:t>
      </w:r>
      <w:r>
        <w:rPr>
          <w:spacing w:val="-5"/>
        </w:rPr>
        <w:t>在生物分解性能的基础上，增加了“崩解程度</w:t>
      </w:r>
      <w:r>
        <w:rPr>
          <w:spacing w:val="-80"/>
        </w:rPr>
        <w:t xml:space="preserve"> </w:t>
      </w:r>
      <w:r>
        <w:rPr>
          <w:spacing w:val="-5"/>
        </w:rPr>
        <w:t>”和“生态毒性</w:t>
      </w:r>
      <w:r>
        <w:rPr>
          <w:spacing w:val="-88"/>
        </w:rPr>
        <w:t xml:space="preserve"> </w:t>
      </w:r>
      <w:r>
        <w:rPr>
          <w:spacing w:val="-5"/>
        </w:rPr>
        <w:t>”的要求，即崩解程度应</w:t>
      </w:r>
    </w:p>
    <w:p>
      <w:pPr>
        <w:pStyle w:val="BodyText"/>
        <w:spacing w:line="218" w:lineRule="auto"/>
        <w:ind w:left="3"/>
      </w:pPr>
      <w:r>
        <w:t>大于等于90%，堆肥样品和空白堆肥的发芽</w:t>
      </w:r>
      <w:r>
        <w:rPr>
          <w:spacing w:val="-1"/>
        </w:rPr>
        <w:t>数的百分比应大于等于90%。</w:t>
      </w:r>
    </w:p>
    <w:p>
      <w:pPr>
        <w:pStyle w:val="BodyText"/>
        <w:spacing w:before="184" w:line="220" w:lineRule="auto"/>
        <w:outlineLvl w:val="0"/>
      </w:pPr>
      <w:r>
        <w:rPr>
          <w:b/>
          <w:bCs/>
          <w:spacing w:val="-3"/>
        </w:rPr>
        <w:t>三、</w:t>
      </w:r>
      <w:r>
        <w:rPr>
          <w:spacing w:val="-3"/>
        </w:rPr>
        <w:t xml:space="preserve"> </w:t>
      </w:r>
      <w:r>
        <w:rPr>
          <w:b/>
          <w:bCs/>
          <w:spacing w:val="-3"/>
        </w:rPr>
        <w:t>主要试验（或验证）情况的分析</w:t>
      </w:r>
    </w:p>
    <w:p>
      <w:pPr>
        <w:pStyle w:val="BodyText"/>
        <w:spacing w:before="182" w:line="468" w:lineRule="exact"/>
        <w:jc w:val="right"/>
      </w:pPr>
      <w:r>
        <w:rPr>
          <w:position w:val="17"/>
        </w:rPr>
        <w:t>该标准主要在企业反馈技术资料及相关标准的基础上制定，并主要对定量偏</w:t>
      </w:r>
      <w:r>
        <w:rPr>
          <w:spacing w:val="-1"/>
          <w:position w:val="17"/>
        </w:rPr>
        <w:t>差、横</w:t>
      </w:r>
    </w:p>
    <w:p>
      <w:pPr>
        <w:pStyle w:val="BodyText"/>
        <w:spacing w:before="1" w:line="217" w:lineRule="auto"/>
        <w:ind w:left="10"/>
      </w:pPr>
      <w:r>
        <w:rPr>
          <w:spacing w:val="-1"/>
        </w:rPr>
        <w:t>幅厚度差、粘合程度等指标进行了试验验证。</w:t>
      </w:r>
    </w:p>
    <w:p>
      <w:pPr>
        <w:pStyle w:val="BodyText"/>
        <w:spacing w:before="185" w:line="219" w:lineRule="auto"/>
        <w:ind w:left="252"/>
      </w:pPr>
      <w:r>
        <w:rPr>
          <w:spacing w:val="-3"/>
        </w:rPr>
        <w:t>（1）定量偏差</w:t>
      </w:r>
    </w:p>
    <w:p>
      <w:pPr>
        <w:pStyle w:val="BodyText"/>
        <w:spacing w:before="184" w:line="219" w:lineRule="auto"/>
        <w:ind w:left="361"/>
      </w:pPr>
      <w:r>
        <w:rPr>
          <w:spacing w:val="-2"/>
        </w:rPr>
        <w:t>起草小组对</w:t>
      </w:r>
      <w:r>
        <w:rPr>
          <w:spacing w:val="-33"/>
        </w:rPr>
        <w:t xml:space="preserve"> </w:t>
      </w:r>
      <w:r>
        <w:rPr>
          <w:spacing w:val="-2"/>
        </w:rPr>
        <w:t>11</w:t>
      </w:r>
      <w:r>
        <w:rPr>
          <w:spacing w:val="-51"/>
        </w:rPr>
        <w:t xml:space="preserve"> </w:t>
      </w:r>
      <w:r>
        <w:rPr>
          <w:spacing w:val="-2"/>
        </w:rPr>
        <w:t>个样品进行了测试，试验数据如下表。</w:t>
      </w:r>
    </w:p>
    <w:p>
      <w:pPr>
        <w:spacing w:before="198" w:line="229" w:lineRule="auto"/>
        <w:ind w:left="3144"/>
        <w:rPr>
          <w:rFonts w:ascii="SimHei" w:eastAsia="SimHei" w:hAnsi="SimHei" w:cs="SimHei"/>
          <w:sz w:val="20"/>
          <w:szCs w:val="20"/>
        </w:rPr>
      </w:pPr>
      <w:r>
        <w:rPr>
          <w:rFonts w:ascii="SimHei" w:eastAsia="SimHei" w:hAnsi="SimHei" w:cs="SimHei"/>
          <w:spacing w:val="8"/>
          <w:sz w:val="20"/>
          <w:szCs w:val="20"/>
        </w:rPr>
        <w:t>表1</w:t>
      </w:r>
      <w:r>
        <w:rPr>
          <w:rFonts w:ascii="SimHei" w:eastAsia="SimHei" w:hAnsi="SimHei" w:cs="SimHei"/>
          <w:spacing w:val="8"/>
          <w:sz w:val="20"/>
          <w:szCs w:val="20"/>
        </w:rPr>
        <w:t xml:space="preserve"> </w:t>
      </w:r>
      <w:r>
        <w:rPr>
          <w:rFonts w:ascii="SimHei" w:eastAsia="SimHei" w:hAnsi="SimHei" w:cs="SimHei"/>
          <w:spacing w:val="8"/>
          <w:sz w:val="20"/>
          <w:szCs w:val="20"/>
        </w:rPr>
        <w:t>淋膜纸样品定量偏差测试结果</w:t>
      </w:r>
    </w:p>
    <w:tbl>
      <w:tblPr>
        <w:tblStyle w:val="TableNormal0"/>
        <w:tblW w:w="6762" w:type="dxa"/>
        <w:tblInd w:w="11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9"/>
        <w:gridCol w:w="1693"/>
        <w:gridCol w:w="1707"/>
        <w:gridCol w:w="1793"/>
      </w:tblGrid>
      <w:tr>
        <w:tblPrEx>
          <w:tblW w:w="6762" w:type="dxa"/>
          <w:tblInd w:w="11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569" w:type="dxa"/>
            <w:vAlign w:val="top"/>
          </w:tcPr>
          <w:p>
            <w:pPr>
              <w:pStyle w:val="TableText"/>
              <w:spacing w:before="55" w:line="228" w:lineRule="auto"/>
              <w:ind w:left="115"/>
            </w:pPr>
            <w:r>
              <w:rPr>
                <w:spacing w:val="7"/>
              </w:rPr>
              <w:t>样品编号</w:t>
            </w:r>
          </w:p>
        </w:tc>
        <w:tc>
          <w:tcPr>
            <w:tcW w:w="1693" w:type="dxa"/>
            <w:vAlign w:val="top"/>
          </w:tcPr>
          <w:p>
            <w:pPr>
              <w:pStyle w:val="TableText"/>
              <w:spacing w:before="55" w:line="228" w:lineRule="auto"/>
              <w:ind w:left="331"/>
            </w:pPr>
            <w:r>
              <w:rPr>
                <w:spacing w:val="6"/>
              </w:rPr>
              <w:t>定量偏差/%</w:t>
            </w:r>
          </w:p>
        </w:tc>
        <w:tc>
          <w:tcPr>
            <w:tcW w:w="1707" w:type="dxa"/>
            <w:vAlign w:val="top"/>
          </w:tcPr>
          <w:p>
            <w:pPr>
              <w:pStyle w:val="TableText"/>
              <w:spacing w:before="55" w:line="228" w:lineRule="auto"/>
              <w:ind w:left="649"/>
            </w:pPr>
            <w:r>
              <w:rPr>
                <w:spacing w:val="4"/>
              </w:rPr>
              <w:t>类型</w:t>
            </w:r>
          </w:p>
        </w:tc>
        <w:tc>
          <w:tcPr>
            <w:tcW w:w="1793" w:type="dxa"/>
            <w:vAlign w:val="top"/>
          </w:tcPr>
          <w:p>
            <w:pPr>
              <w:pStyle w:val="TableText"/>
              <w:spacing w:before="55" w:line="226" w:lineRule="auto"/>
              <w:ind w:left="484"/>
            </w:pPr>
            <w:r>
              <w:rPr>
                <w:spacing w:val="6"/>
              </w:rPr>
              <w:t>淋膜成分</w:t>
            </w:r>
          </w:p>
        </w:tc>
      </w:tr>
      <w:tr>
        <w:tblPrEx>
          <w:tblW w:w="6762" w:type="dxa"/>
          <w:tblInd w:w="1116" w:type="dxa"/>
          <w:tblLayout w:type="fixed"/>
        </w:tblPrEx>
        <w:trPr>
          <w:trHeight w:val="316"/>
        </w:trPr>
        <w:tc>
          <w:tcPr>
            <w:tcW w:w="1569" w:type="dxa"/>
            <w:vAlign w:val="top"/>
          </w:tcPr>
          <w:p>
            <w:pPr>
              <w:pStyle w:val="TableText"/>
              <w:spacing w:before="83" w:line="189" w:lineRule="auto"/>
              <w:ind w:left="753"/>
            </w:pPr>
            <w:r>
              <w:t>1</w:t>
            </w:r>
          </w:p>
        </w:tc>
        <w:tc>
          <w:tcPr>
            <w:tcW w:w="1693" w:type="dxa"/>
            <w:vAlign w:val="top"/>
          </w:tcPr>
          <w:p>
            <w:pPr>
              <w:pStyle w:val="TableText"/>
              <w:spacing w:before="84" w:line="189" w:lineRule="auto"/>
              <w:ind w:left="641"/>
            </w:pPr>
            <w:r>
              <w:rPr>
                <w:spacing w:val="3"/>
              </w:rPr>
              <w:t>-4.6</w:t>
            </w:r>
          </w:p>
        </w:tc>
        <w:tc>
          <w:tcPr>
            <w:tcW w:w="1707" w:type="dxa"/>
            <w:vAlign w:val="top"/>
          </w:tcPr>
          <w:p>
            <w:pPr>
              <w:pStyle w:val="TableText"/>
              <w:spacing w:before="51" w:line="235" w:lineRule="auto"/>
              <w:ind w:left="648"/>
            </w:pPr>
            <w:r>
              <w:rPr>
                <w:spacing w:val="6"/>
              </w:rPr>
              <w:t>Ⅲ型</w:t>
            </w:r>
          </w:p>
        </w:tc>
        <w:tc>
          <w:tcPr>
            <w:tcW w:w="1793" w:type="dxa"/>
            <w:vAlign w:val="top"/>
          </w:tcPr>
          <w:p>
            <w:pPr>
              <w:pStyle w:val="TableText"/>
              <w:spacing w:before="82" w:line="190" w:lineRule="auto"/>
              <w:ind w:left="741"/>
            </w:pPr>
            <w:r>
              <w:rPr>
                <w:spacing w:val="3"/>
              </w:rPr>
              <w:t>PLA</w:t>
            </w:r>
          </w:p>
        </w:tc>
      </w:tr>
      <w:tr>
        <w:tblPrEx>
          <w:tblW w:w="6762" w:type="dxa"/>
          <w:tblInd w:w="1116" w:type="dxa"/>
          <w:tblLayout w:type="fixed"/>
        </w:tblPrEx>
        <w:trPr>
          <w:trHeight w:val="317"/>
        </w:trPr>
        <w:tc>
          <w:tcPr>
            <w:tcW w:w="1569" w:type="dxa"/>
            <w:vAlign w:val="top"/>
          </w:tcPr>
          <w:p>
            <w:pPr>
              <w:pStyle w:val="TableText"/>
              <w:spacing w:before="86" w:line="189" w:lineRule="auto"/>
              <w:ind w:left="740"/>
            </w:pPr>
            <w:r>
              <w:t>2</w:t>
            </w:r>
          </w:p>
        </w:tc>
        <w:tc>
          <w:tcPr>
            <w:tcW w:w="1693" w:type="dxa"/>
            <w:vAlign w:val="top"/>
          </w:tcPr>
          <w:p>
            <w:pPr>
              <w:pStyle w:val="TableText"/>
              <w:spacing w:before="86" w:line="190" w:lineRule="auto"/>
              <w:ind w:left="641"/>
            </w:pPr>
            <w:r>
              <w:rPr>
                <w:spacing w:val="3"/>
              </w:rPr>
              <w:t>-2.1</w:t>
            </w:r>
          </w:p>
        </w:tc>
        <w:tc>
          <w:tcPr>
            <w:tcW w:w="1707" w:type="dxa"/>
            <w:vAlign w:val="top"/>
          </w:tcPr>
          <w:p>
            <w:pPr>
              <w:pStyle w:val="TableText"/>
              <w:spacing w:before="54" w:line="233" w:lineRule="auto"/>
              <w:ind w:left="648"/>
            </w:pPr>
            <w:r>
              <w:rPr>
                <w:spacing w:val="6"/>
              </w:rPr>
              <w:t>Ⅲ型</w:t>
            </w:r>
          </w:p>
        </w:tc>
        <w:tc>
          <w:tcPr>
            <w:tcW w:w="1793" w:type="dxa"/>
            <w:vAlign w:val="top"/>
          </w:tcPr>
          <w:p>
            <w:pPr>
              <w:pStyle w:val="TableText"/>
              <w:spacing w:before="87" w:line="189" w:lineRule="auto"/>
              <w:ind w:left="741"/>
            </w:pPr>
            <w:r>
              <w:rPr>
                <w:spacing w:val="2"/>
              </w:rPr>
              <w:t>PBS</w:t>
            </w:r>
          </w:p>
        </w:tc>
      </w:tr>
      <w:tr>
        <w:tblPrEx>
          <w:tblW w:w="6762" w:type="dxa"/>
          <w:tblInd w:w="1116" w:type="dxa"/>
          <w:tblLayout w:type="fixed"/>
        </w:tblPrEx>
        <w:trPr>
          <w:trHeight w:val="316"/>
        </w:trPr>
        <w:tc>
          <w:tcPr>
            <w:tcW w:w="1569" w:type="dxa"/>
            <w:vAlign w:val="top"/>
          </w:tcPr>
          <w:p>
            <w:pPr>
              <w:pStyle w:val="TableText"/>
              <w:spacing w:before="86" w:line="189" w:lineRule="auto"/>
              <w:ind w:left="742"/>
            </w:pPr>
            <w:r>
              <w:t>3</w:t>
            </w:r>
          </w:p>
        </w:tc>
        <w:tc>
          <w:tcPr>
            <w:tcW w:w="1693" w:type="dxa"/>
            <w:vAlign w:val="top"/>
          </w:tcPr>
          <w:p>
            <w:pPr>
              <w:pStyle w:val="TableText"/>
              <w:spacing w:before="86" w:line="189" w:lineRule="auto"/>
              <w:ind w:left="641"/>
            </w:pPr>
            <w:r>
              <w:rPr>
                <w:spacing w:val="3"/>
              </w:rPr>
              <w:t>-0.5</w:t>
            </w:r>
          </w:p>
        </w:tc>
        <w:tc>
          <w:tcPr>
            <w:tcW w:w="1707" w:type="dxa"/>
            <w:vAlign w:val="top"/>
          </w:tcPr>
          <w:p>
            <w:pPr>
              <w:pStyle w:val="TableText"/>
              <w:spacing w:before="53" w:line="233" w:lineRule="auto"/>
              <w:ind w:left="648"/>
            </w:pPr>
            <w:r>
              <w:rPr>
                <w:spacing w:val="6"/>
              </w:rPr>
              <w:t>Ⅲ型</w:t>
            </w:r>
          </w:p>
        </w:tc>
        <w:tc>
          <w:tcPr>
            <w:tcW w:w="1793" w:type="dxa"/>
            <w:vAlign w:val="top"/>
          </w:tcPr>
          <w:p>
            <w:pPr>
              <w:pStyle w:val="TableText"/>
              <w:spacing w:before="86" w:line="189" w:lineRule="auto"/>
              <w:ind w:left="741"/>
            </w:pPr>
            <w:r>
              <w:rPr>
                <w:spacing w:val="2"/>
              </w:rPr>
              <w:t>PBS</w:t>
            </w:r>
          </w:p>
        </w:tc>
      </w:tr>
      <w:tr>
        <w:tblPrEx>
          <w:tblW w:w="6762" w:type="dxa"/>
          <w:tblInd w:w="1116" w:type="dxa"/>
          <w:tblLayout w:type="fixed"/>
        </w:tblPrEx>
        <w:trPr>
          <w:trHeight w:val="317"/>
        </w:trPr>
        <w:tc>
          <w:tcPr>
            <w:tcW w:w="1569" w:type="dxa"/>
            <w:vAlign w:val="top"/>
          </w:tcPr>
          <w:p>
            <w:pPr>
              <w:pStyle w:val="TableText"/>
              <w:spacing w:before="87" w:line="189" w:lineRule="auto"/>
              <w:ind w:left="737"/>
            </w:pPr>
            <w:r>
              <w:t>4</w:t>
            </w:r>
          </w:p>
        </w:tc>
        <w:tc>
          <w:tcPr>
            <w:tcW w:w="1693" w:type="dxa"/>
            <w:vAlign w:val="top"/>
          </w:tcPr>
          <w:p>
            <w:pPr>
              <w:pStyle w:val="TableText"/>
              <w:spacing w:before="86" w:line="190" w:lineRule="auto"/>
              <w:ind w:left="641"/>
            </w:pPr>
            <w:r>
              <w:rPr>
                <w:spacing w:val="3"/>
              </w:rPr>
              <w:t>-1.6</w:t>
            </w:r>
          </w:p>
        </w:tc>
        <w:tc>
          <w:tcPr>
            <w:tcW w:w="1707" w:type="dxa"/>
            <w:vAlign w:val="top"/>
          </w:tcPr>
          <w:p>
            <w:pPr>
              <w:pStyle w:val="TableText"/>
              <w:spacing w:before="54" w:line="233" w:lineRule="auto"/>
              <w:ind w:left="648"/>
            </w:pPr>
            <w:r>
              <w:rPr>
                <w:spacing w:val="6"/>
              </w:rPr>
              <w:t>Ⅲ型</w:t>
            </w:r>
          </w:p>
        </w:tc>
        <w:tc>
          <w:tcPr>
            <w:tcW w:w="1793" w:type="dxa"/>
            <w:vAlign w:val="top"/>
          </w:tcPr>
          <w:p>
            <w:pPr>
              <w:pStyle w:val="TableText"/>
              <w:spacing w:before="86" w:line="190" w:lineRule="auto"/>
              <w:ind w:left="741"/>
            </w:pPr>
            <w:r>
              <w:rPr>
                <w:spacing w:val="2"/>
              </w:rPr>
              <w:t>PLA</w:t>
            </w:r>
          </w:p>
        </w:tc>
      </w:tr>
      <w:tr>
        <w:tblPrEx>
          <w:tblW w:w="6762" w:type="dxa"/>
          <w:tblInd w:w="1116" w:type="dxa"/>
          <w:tblLayout w:type="fixed"/>
        </w:tblPrEx>
        <w:trPr>
          <w:trHeight w:val="316"/>
        </w:trPr>
        <w:tc>
          <w:tcPr>
            <w:tcW w:w="1569" w:type="dxa"/>
            <w:vAlign w:val="top"/>
          </w:tcPr>
          <w:p>
            <w:pPr>
              <w:pStyle w:val="TableText"/>
              <w:spacing w:before="89" w:line="187" w:lineRule="auto"/>
              <w:ind w:left="742"/>
            </w:pPr>
            <w:r>
              <w:t>5</w:t>
            </w:r>
          </w:p>
        </w:tc>
        <w:tc>
          <w:tcPr>
            <w:tcW w:w="1693" w:type="dxa"/>
            <w:vAlign w:val="top"/>
          </w:tcPr>
          <w:p>
            <w:pPr>
              <w:pStyle w:val="TableText"/>
              <w:spacing w:before="86" w:line="189" w:lineRule="auto"/>
              <w:ind w:left="641"/>
            </w:pPr>
            <w:r>
              <w:rPr>
                <w:spacing w:val="3"/>
              </w:rPr>
              <w:t>-2.4</w:t>
            </w:r>
          </w:p>
        </w:tc>
        <w:tc>
          <w:tcPr>
            <w:tcW w:w="1707" w:type="dxa"/>
            <w:vAlign w:val="top"/>
          </w:tcPr>
          <w:p>
            <w:pPr>
              <w:pStyle w:val="TableText"/>
              <w:spacing w:before="53" w:line="233" w:lineRule="auto"/>
              <w:ind w:left="685"/>
            </w:pPr>
            <w:r>
              <w:rPr>
                <w:spacing w:val="-12"/>
              </w:rPr>
              <w:t>Ⅱ型</w:t>
            </w:r>
          </w:p>
        </w:tc>
        <w:tc>
          <w:tcPr>
            <w:tcW w:w="1793" w:type="dxa"/>
            <w:vAlign w:val="top"/>
          </w:tcPr>
          <w:p>
            <w:pPr>
              <w:pStyle w:val="TableText"/>
              <w:spacing w:before="88" w:line="187" w:lineRule="auto"/>
              <w:ind w:left="794"/>
            </w:pPr>
            <w:r>
              <w:rPr>
                <w:spacing w:val="2"/>
              </w:rPr>
              <w:t>PE</w:t>
            </w:r>
          </w:p>
        </w:tc>
      </w:tr>
      <w:tr>
        <w:tblPrEx>
          <w:tblW w:w="6762" w:type="dxa"/>
          <w:tblInd w:w="1116" w:type="dxa"/>
          <w:tblLayout w:type="fixed"/>
        </w:tblPrEx>
        <w:trPr>
          <w:trHeight w:val="316"/>
        </w:trPr>
        <w:tc>
          <w:tcPr>
            <w:tcW w:w="1569" w:type="dxa"/>
            <w:vAlign w:val="top"/>
          </w:tcPr>
          <w:p>
            <w:pPr>
              <w:pStyle w:val="TableText"/>
              <w:spacing w:before="87" w:line="189" w:lineRule="auto"/>
              <w:ind w:left="740"/>
            </w:pPr>
            <w:r>
              <w:t>6</w:t>
            </w:r>
          </w:p>
        </w:tc>
        <w:tc>
          <w:tcPr>
            <w:tcW w:w="1693" w:type="dxa"/>
            <w:vAlign w:val="top"/>
          </w:tcPr>
          <w:p>
            <w:pPr>
              <w:pStyle w:val="TableText"/>
              <w:spacing w:before="87" w:line="189" w:lineRule="auto"/>
              <w:ind w:left="695"/>
            </w:pPr>
            <w:r>
              <w:rPr>
                <w:spacing w:val="1"/>
              </w:rPr>
              <w:t>0.0</w:t>
            </w:r>
          </w:p>
        </w:tc>
        <w:tc>
          <w:tcPr>
            <w:tcW w:w="1707" w:type="dxa"/>
            <w:vAlign w:val="top"/>
          </w:tcPr>
          <w:p>
            <w:pPr>
              <w:pStyle w:val="TableText"/>
              <w:spacing w:before="54" w:line="232" w:lineRule="auto"/>
              <w:ind w:left="648"/>
            </w:pPr>
            <w:r>
              <w:rPr>
                <w:spacing w:val="6"/>
              </w:rPr>
              <w:t>Ⅲ型</w:t>
            </w:r>
          </w:p>
        </w:tc>
        <w:tc>
          <w:tcPr>
            <w:tcW w:w="1793" w:type="dxa"/>
            <w:vAlign w:val="top"/>
          </w:tcPr>
          <w:p>
            <w:pPr>
              <w:pStyle w:val="TableText"/>
              <w:spacing w:before="86" w:line="190" w:lineRule="auto"/>
              <w:ind w:left="741"/>
            </w:pPr>
            <w:r>
              <w:rPr>
                <w:spacing w:val="2"/>
              </w:rPr>
              <w:t>PLA</w:t>
            </w:r>
          </w:p>
        </w:tc>
      </w:tr>
      <w:tr>
        <w:tblPrEx>
          <w:tblW w:w="6762" w:type="dxa"/>
          <w:tblInd w:w="1116" w:type="dxa"/>
          <w:tblLayout w:type="fixed"/>
        </w:tblPrEx>
        <w:trPr>
          <w:trHeight w:val="317"/>
        </w:trPr>
        <w:tc>
          <w:tcPr>
            <w:tcW w:w="1569" w:type="dxa"/>
            <w:vAlign w:val="top"/>
          </w:tcPr>
          <w:p>
            <w:pPr>
              <w:pStyle w:val="TableText"/>
              <w:spacing w:before="90" w:line="187" w:lineRule="auto"/>
              <w:ind w:left="743"/>
            </w:pPr>
            <w:r>
              <w:t>7</w:t>
            </w:r>
          </w:p>
        </w:tc>
        <w:tc>
          <w:tcPr>
            <w:tcW w:w="1693" w:type="dxa"/>
            <w:vAlign w:val="top"/>
          </w:tcPr>
          <w:p>
            <w:pPr>
              <w:pStyle w:val="TableText"/>
              <w:spacing w:before="87" w:line="190" w:lineRule="auto"/>
              <w:ind w:left="708"/>
            </w:pPr>
            <w:r>
              <w:rPr>
                <w:spacing w:val="-3"/>
              </w:rPr>
              <w:t>1.0</w:t>
            </w:r>
          </w:p>
        </w:tc>
        <w:tc>
          <w:tcPr>
            <w:tcW w:w="1707" w:type="dxa"/>
            <w:vAlign w:val="top"/>
          </w:tcPr>
          <w:p>
            <w:pPr>
              <w:pStyle w:val="TableText"/>
              <w:spacing w:before="55" w:line="232" w:lineRule="auto"/>
              <w:ind w:left="648"/>
            </w:pPr>
            <w:r>
              <w:rPr>
                <w:spacing w:val="6"/>
              </w:rPr>
              <w:t>Ⅲ型</w:t>
            </w:r>
          </w:p>
        </w:tc>
        <w:tc>
          <w:tcPr>
            <w:tcW w:w="1793" w:type="dxa"/>
            <w:vAlign w:val="top"/>
          </w:tcPr>
          <w:p>
            <w:pPr>
              <w:pStyle w:val="TableText"/>
              <w:spacing w:before="86" w:line="190" w:lineRule="auto"/>
              <w:ind w:left="741"/>
            </w:pPr>
            <w:r>
              <w:rPr>
                <w:spacing w:val="2"/>
              </w:rPr>
              <w:t>PLA</w:t>
            </w:r>
          </w:p>
        </w:tc>
      </w:tr>
    </w:tbl>
    <w:p>
      <w:pPr>
        <w:sectPr>
          <w:footerReference w:type="default" r:id="rId10"/>
          <w:pgSz w:w="11906" w:h="16839"/>
          <w:pgMar w:top="1371" w:right="1302" w:bottom="1014" w:left="1597" w:header="0" w:footer="852" w:gutter="0"/>
          <w:pgNumType w:start="7"/>
          <w:cols w:space="708"/>
        </w:sectPr>
      </w:pPr>
    </w:p>
    <w:tbl>
      <w:tblPr>
        <w:tblStyle w:val="TableNormal1"/>
        <w:tblW w:w="6762" w:type="dxa"/>
        <w:tblInd w:w="11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9"/>
        <w:gridCol w:w="1693"/>
        <w:gridCol w:w="1707"/>
        <w:gridCol w:w="1793"/>
      </w:tblGrid>
      <w:tr>
        <w:tblPrEx>
          <w:tblW w:w="6762" w:type="dxa"/>
          <w:tblInd w:w="11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1569" w:type="dxa"/>
            <w:vAlign w:val="top"/>
          </w:tcPr>
          <w:p>
            <w:pPr>
              <w:pStyle w:val="TableText"/>
              <w:spacing w:before="90" w:line="189" w:lineRule="auto"/>
              <w:ind w:left="739"/>
            </w:pPr>
            <w:r>
              <w:t>8</w:t>
            </w:r>
          </w:p>
        </w:tc>
        <w:tc>
          <w:tcPr>
            <w:tcW w:w="1693" w:type="dxa"/>
            <w:vAlign w:val="top"/>
          </w:tcPr>
          <w:p>
            <w:pPr>
              <w:pStyle w:val="TableText"/>
              <w:spacing w:before="90" w:line="189" w:lineRule="auto"/>
              <w:ind w:left="697"/>
            </w:pPr>
            <w:r>
              <w:rPr>
                <w:spacing w:val="1"/>
              </w:rPr>
              <w:t>3.0</w:t>
            </w:r>
          </w:p>
        </w:tc>
        <w:tc>
          <w:tcPr>
            <w:tcW w:w="1707" w:type="dxa"/>
            <w:vAlign w:val="top"/>
          </w:tcPr>
          <w:p>
            <w:pPr>
              <w:pStyle w:val="TableText"/>
              <w:spacing w:before="56" w:line="231" w:lineRule="auto"/>
              <w:ind w:left="685"/>
            </w:pPr>
            <w:r>
              <w:rPr>
                <w:spacing w:val="-12"/>
              </w:rPr>
              <w:t>Ⅱ型</w:t>
            </w:r>
          </w:p>
        </w:tc>
        <w:tc>
          <w:tcPr>
            <w:tcW w:w="1793" w:type="dxa"/>
            <w:vAlign w:val="top"/>
          </w:tcPr>
          <w:p>
            <w:pPr>
              <w:pStyle w:val="TableText"/>
              <w:spacing w:before="88" w:line="190" w:lineRule="auto"/>
              <w:ind w:left="741"/>
            </w:pPr>
            <w:r>
              <w:rPr>
                <w:spacing w:val="2"/>
              </w:rPr>
              <w:t>PLA</w:t>
            </w:r>
          </w:p>
        </w:tc>
      </w:tr>
      <w:tr>
        <w:tblPrEx>
          <w:tblW w:w="6762" w:type="dxa"/>
          <w:tblInd w:w="1116" w:type="dxa"/>
          <w:tblLayout w:type="fixed"/>
        </w:tblPrEx>
        <w:trPr>
          <w:trHeight w:val="317"/>
        </w:trPr>
        <w:tc>
          <w:tcPr>
            <w:tcW w:w="1569" w:type="dxa"/>
            <w:vAlign w:val="top"/>
          </w:tcPr>
          <w:p>
            <w:pPr>
              <w:pStyle w:val="TableText"/>
              <w:spacing w:before="89" w:line="189" w:lineRule="auto"/>
              <w:ind w:left="739"/>
            </w:pPr>
            <w:r>
              <w:t>9</w:t>
            </w:r>
          </w:p>
        </w:tc>
        <w:tc>
          <w:tcPr>
            <w:tcW w:w="1693" w:type="dxa"/>
            <w:vAlign w:val="top"/>
          </w:tcPr>
          <w:p>
            <w:pPr>
              <w:pStyle w:val="TableText"/>
              <w:spacing w:before="88" w:line="190" w:lineRule="auto"/>
              <w:ind w:left="697"/>
            </w:pPr>
            <w:r>
              <w:rPr>
                <w:spacing w:val="1"/>
              </w:rPr>
              <w:t>3.1</w:t>
            </w:r>
          </w:p>
        </w:tc>
        <w:tc>
          <w:tcPr>
            <w:tcW w:w="1707" w:type="dxa"/>
            <w:vAlign w:val="top"/>
          </w:tcPr>
          <w:p>
            <w:pPr>
              <w:pStyle w:val="TableText"/>
              <w:spacing w:before="56" w:line="231" w:lineRule="auto"/>
              <w:ind w:left="685"/>
            </w:pPr>
            <w:r>
              <w:rPr>
                <w:spacing w:val="-12"/>
              </w:rPr>
              <w:t>Ⅱ型</w:t>
            </w:r>
          </w:p>
        </w:tc>
        <w:tc>
          <w:tcPr>
            <w:tcW w:w="1793" w:type="dxa"/>
            <w:vAlign w:val="top"/>
          </w:tcPr>
          <w:p>
            <w:pPr>
              <w:pStyle w:val="TableText"/>
              <w:spacing w:before="88" w:line="190" w:lineRule="auto"/>
              <w:ind w:left="741"/>
            </w:pPr>
            <w:r>
              <w:rPr>
                <w:spacing w:val="2"/>
              </w:rPr>
              <w:t>PLA</w:t>
            </w:r>
          </w:p>
        </w:tc>
      </w:tr>
      <w:tr>
        <w:tblPrEx>
          <w:tblW w:w="6762" w:type="dxa"/>
          <w:tblInd w:w="1116" w:type="dxa"/>
          <w:tblLayout w:type="fixed"/>
        </w:tblPrEx>
        <w:trPr>
          <w:trHeight w:val="317"/>
        </w:trPr>
        <w:tc>
          <w:tcPr>
            <w:tcW w:w="1569" w:type="dxa"/>
            <w:vAlign w:val="top"/>
          </w:tcPr>
          <w:p>
            <w:pPr>
              <w:pStyle w:val="TableText"/>
              <w:spacing w:before="88" w:line="190" w:lineRule="auto"/>
              <w:ind w:left="701"/>
            </w:pPr>
            <w:r>
              <w:rPr>
                <w:spacing w:val="-7"/>
              </w:rPr>
              <w:t>10</w:t>
            </w:r>
          </w:p>
        </w:tc>
        <w:tc>
          <w:tcPr>
            <w:tcW w:w="1693" w:type="dxa"/>
            <w:vAlign w:val="top"/>
          </w:tcPr>
          <w:p>
            <w:pPr>
              <w:pStyle w:val="TableText"/>
              <w:spacing w:before="89" w:line="189" w:lineRule="auto"/>
              <w:ind w:left="694"/>
            </w:pPr>
            <w:r>
              <w:rPr>
                <w:spacing w:val="2"/>
              </w:rPr>
              <w:t>9.3</w:t>
            </w:r>
          </w:p>
        </w:tc>
        <w:tc>
          <w:tcPr>
            <w:tcW w:w="1707" w:type="dxa"/>
            <w:vAlign w:val="top"/>
          </w:tcPr>
          <w:p>
            <w:pPr>
              <w:pStyle w:val="TableText"/>
              <w:spacing w:before="56" w:line="231" w:lineRule="auto"/>
              <w:ind w:left="648"/>
            </w:pPr>
            <w:r>
              <w:rPr>
                <w:spacing w:val="6"/>
              </w:rPr>
              <w:t>Ⅲ型</w:t>
            </w:r>
          </w:p>
        </w:tc>
        <w:tc>
          <w:tcPr>
            <w:tcW w:w="1793" w:type="dxa"/>
            <w:vAlign w:val="top"/>
          </w:tcPr>
          <w:p>
            <w:pPr>
              <w:pStyle w:val="TableText"/>
              <w:spacing w:before="88" w:line="190" w:lineRule="auto"/>
              <w:ind w:left="741"/>
            </w:pPr>
            <w:r>
              <w:rPr>
                <w:spacing w:val="2"/>
              </w:rPr>
              <w:t>PLA</w:t>
            </w:r>
          </w:p>
        </w:tc>
      </w:tr>
      <w:tr>
        <w:tblPrEx>
          <w:tblW w:w="6762" w:type="dxa"/>
          <w:tblInd w:w="1116" w:type="dxa"/>
          <w:tblLayout w:type="fixed"/>
        </w:tblPrEx>
        <w:trPr>
          <w:trHeight w:val="321"/>
        </w:trPr>
        <w:tc>
          <w:tcPr>
            <w:tcW w:w="1569" w:type="dxa"/>
            <w:vAlign w:val="top"/>
          </w:tcPr>
          <w:p>
            <w:pPr>
              <w:pStyle w:val="TableText"/>
              <w:spacing w:before="88" w:line="189" w:lineRule="auto"/>
              <w:ind w:left="701"/>
            </w:pPr>
            <w:r>
              <w:rPr>
                <w:spacing w:val="-7"/>
              </w:rPr>
              <w:t>11</w:t>
            </w:r>
          </w:p>
        </w:tc>
        <w:tc>
          <w:tcPr>
            <w:tcW w:w="1693" w:type="dxa"/>
            <w:vAlign w:val="top"/>
          </w:tcPr>
          <w:p>
            <w:pPr>
              <w:pStyle w:val="TableText"/>
              <w:spacing w:before="87" w:line="190" w:lineRule="auto"/>
              <w:ind w:left="641"/>
            </w:pPr>
            <w:r>
              <w:rPr>
                <w:spacing w:val="3"/>
              </w:rPr>
              <w:t>-1.7</w:t>
            </w:r>
          </w:p>
        </w:tc>
        <w:tc>
          <w:tcPr>
            <w:tcW w:w="1707" w:type="dxa"/>
            <w:vAlign w:val="top"/>
          </w:tcPr>
          <w:p>
            <w:pPr>
              <w:pStyle w:val="TableText"/>
              <w:spacing w:before="56" w:line="235" w:lineRule="auto"/>
              <w:ind w:left="648"/>
            </w:pPr>
            <w:r>
              <w:rPr>
                <w:spacing w:val="6"/>
              </w:rPr>
              <w:t>Ⅲ型</w:t>
            </w:r>
          </w:p>
        </w:tc>
        <w:tc>
          <w:tcPr>
            <w:tcW w:w="1793" w:type="dxa"/>
            <w:vAlign w:val="top"/>
          </w:tcPr>
          <w:p>
            <w:pPr>
              <w:pStyle w:val="TableText"/>
              <w:spacing w:before="87" w:line="190" w:lineRule="auto"/>
              <w:ind w:left="741"/>
            </w:pPr>
            <w:r>
              <w:rPr>
                <w:spacing w:val="2"/>
              </w:rPr>
              <w:t>PLA</w:t>
            </w:r>
          </w:p>
        </w:tc>
      </w:tr>
    </w:tbl>
    <w:p>
      <w:pPr>
        <w:rPr>
          <w:rFonts w:ascii="Arial"/>
          <w:sz w:val="21"/>
        </w:rPr>
      </w:pPr>
    </w:p>
    <w:p>
      <w:pPr>
        <w:rPr>
          <w:rFonts w:ascii="Arial" w:eastAsia="Arial" w:hAnsi="Arial" w:cs="Arial"/>
          <w:sz w:val="21"/>
          <w:szCs w:val="21"/>
        </w:rPr>
        <w:sectPr>
          <w:footerReference w:type="default" r:id="rId11"/>
          <w:type w:val="nextPage"/>
          <w:pgSz w:w="11906" w:h="16839"/>
          <w:pgMar w:top="1371" w:right="1302" w:bottom="1014" w:left="1597" w:header="0" w:footer="852" w:gutter="0"/>
          <w:pgNumType w:start="8"/>
          <w:cols w:space="708"/>
          <w:titlePg w:val="0"/>
        </w:sectPr>
      </w:pPr>
    </w:p>
    <w:p>
      <w:pPr>
        <w:spacing w:line="4059" w:lineRule="exact"/>
        <w:ind w:firstLine="999"/>
      </w:pPr>
      <w:r>
        <w:rPr>
          <w:position w:val="-81"/>
        </w:rPr>
        <w:drawing>
          <wp:inline distT="0" distB="0" distL="0" distR="0">
            <wp:extent cx="4267262" cy="257807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2"/>
                    <a:stretch>
                      <a:fillRect/>
                    </a:stretch>
                  </pic:blipFill>
                  <pic:spPr>
                    <a:xfrm>
                      <a:off x="0" y="0"/>
                      <a:ext cx="4267262" cy="2578071"/>
                    </a:xfrm>
                    <a:prstGeom prst="rect">
                      <a:avLst/>
                    </a:prstGeom>
                  </pic:spPr>
                </pic:pic>
              </a:graphicData>
            </a:graphic>
          </wp:inline>
        </w:drawing>
      </w:r>
    </w:p>
    <w:p>
      <w:pPr>
        <w:spacing w:before="28" w:line="221" w:lineRule="auto"/>
        <w:ind w:left="2800"/>
        <w:rPr>
          <w:rFonts w:ascii="SimHei" w:eastAsia="SimHei" w:hAnsi="SimHei" w:cs="SimHei"/>
          <w:sz w:val="25"/>
          <w:szCs w:val="25"/>
        </w:rPr>
      </w:pPr>
      <w:r>
        <w:rPr>
          <w:rFonts w:ascii="SimHei" w:eastAsia="SimHei" w:hAnsi="SimHei" w:cs="SimHei"/>
          <w:spacing w:val="-28"/>
          <w:w w:val="97"/>
          <w:sz w:val="25"/>
          <w:szCs w:val="25"/>
        </w:rPr>
        <w:t>图1</w:t>
      </w:r>
      <w:r>
        <w:rPr>
          <w:rFonts w:ascii="SimHei" w:eastAsia="SimHei" w:hAnsi="SimHei" w:cs="SimHei"/>
          <w:spacing w:val="-28"/>
          <w:w w:val="97"/>
          <w:sz w:val="25"/>
          <w:szCs w:val="25"/>
        </w:rPr>
        <w:t xml:space="preserve"> </w:t>
      </w:r>
      <w:r>
        <w:rPr>
          <w:rFonts w:ascii="SimHei" w:eastAsia="SimHei" w:hAnsi="SimHei" w:cs="SimHei"/>
          <w:spacing w:val="-28"/>
          <w:w w:val="97"/>
          <w:sz w:val="25"/>
          <w:szCs w:val="25"/>
        </w:rPr>
        <w:t>淋膜纸样品的定量偏差测试结果</w:t>
      </w:r>
    </w:p>
    <w:p>
      <w:pPr>
        <w:pStyle w:val="BodyText"/>
        <w:spacing w:before="182" w:line="472" w:lineRule="exact"/>
        <w:jc w:val="right"/>
        <w:rPr>
          <w:sz w:val="25"/>
          <w:szCs w:val="25"/>
        </w:rPr>
      </w:pPr>
      <w:r>
        <w:rPr>
          <w:spacing w:val="-12"/>
          <w:position w:val="16"/>
          <w:sz w:val="25"/>
          <w:szCs w:val="25"/>
        </w:rPr>
        <w:t>从结果可以看出，定量偏差在-4.6%～9.3%之间，82%的验证样品可以满足定量偏差</w:t>
      </w:r>
    </w:p>
    <w:p>
      <w:pPr>
        <w:pStyle w:val="BodyText"/>
        <w:spacing w:before="1" w:line="220" w:lineRule="auto"/>
        <w:ind w:left="10"/>
        <w:rPr>
          <w:sz w:val="25"/>
          <w:szCs w:val="25"/>
        </w:rPr>
      </w:pPr>
      <w:r>
        <w:rPr>
          <w:spacing w:val="-13"/>
          <w:sz w:val="25"/>
          <w:szCs w:val="25"/>
        </w:rPr>
        <w:t>为±4.0%的要求。</w:t>
      </w:r>
    </w:p>
    <w:p>
      <w:pPr>
        <w:pStyle w:val="BodyText"/>
        <w:spacing w:before="169" w:line="219" w:lineRule="auto"/>
        <w:ind w:left="370"/>
        <w:rPr>
          <w:sz w:val="25"/>
          <w:szCs w:val="25"/>
        </w:rPr>
      </w:pPr>
      <w:r>
        <w:rPr>
          <w:spacing w:val="1"/>
          <w:sz w:val="25"/>
          <w:szCs w:val="25"/>
        </w:rPr>
        <w:t>(2)膜定量偏差</w:t>
      </w:r>
    </w:p>
    <w:p>
      <w:pPr>
        <w:pStyle w:val="BodyText"/>
        <w:spacing w:before="163" w:line="496" w:lineRule="exact"/>
        <w:ind w:left="360"/>
        <w:rPr>
          <w:sz w:val="25"/>
          <w:szCs w:val="25"/>
        </w:rPr>
      </w:pPr>
      <w:r>
        <w:rPr>
          <w:spacing w:val="-7"/>
          <w:position w:val="18"/>
          <w:sz w:val="25"/>
          <w:szCs w:val="25"/>
        </w:rPr>
        <w:t>起草小组对9个样品进行了膜定量偏差的测试，试验数据如下表。</w:t>
      </w:r>
    </w:p>
    <w:p>
      <w:pPr>
        <w:spacing w:before="1" w:line="220" w:lineRule="auto"/>
        <w:ind w:left="3050"/>
        <w:rPr>
          <w:rFonts w:ascii="SimHei" w:eastAsia="SimHei" w:hAnsi="SimHei" w:cs="SimHei"/>
          <w:sz w:val="20"/>
          <w:szCs w:val="20"/>
        </w:rPr>
      </w:pPr>
      <w:r>
        <w:rPr>
          <w:rFonts w:ascii="SimHei" w:eastAsia="SimHei" w:hAnsi="SimHei" w:cs="SimHei"/>
          <w:spacing w:val="6"/>
          <w:sz w:val="20"/>
          <w:szCs w:val="20"/>
        </w:rPr>
        <w:t>表2</w:t>
      </w:r>
      <w:r>
        <w:rPr>
          <w:rFonts w:ascii="SimHei" w:eastAsia="SimHei" w:hAnsi="SimHei" w:cs="SimHei"/>
          <w:spacing w:val="6"/>
          <w:sz w:val="20"/>
          <w:szCs w:val="20"/>
        </w:rPr>
        <w:t xml:space="preserve"> </w:t>
      </w:r>
      <w:r>
        <w:rPr>
          <w:rFonts w:ascii="SimHei" w:eastAsia="SimHei" w:hAnsi="SimHei" w:cs="SimHei"/>
          <w:spacing w:val="6"/>
          <w:sz w:val="20"/>
          <w:szCs w:val="20"/>
        </w:rPr>
        <w:t>淋膜纸样品膜定量偏差测试结果</w:t>
      </w:r>
    </w:p>
    <w:tbl>
      <w:tblPr>
        <w:tblStyle w:val="TableNormal2"/>
        <w:tblW w:w="7530" w:type="dxa"/>
        <w:tblInd w:w="7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63"/>
        <w:gridCol w:w="3256"/>
        <w:gridCol w:w="1488"/>
        <w:gridCol w:w="1423"/>
      </w:tblGrid>
      <w:tr>
        <w:tblPrEx>
          <w:tblW w:w="7530" w:type="dxa"/>
          <w:tblInd w:w="7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4"/>
        </w:trPr>
        <w:tc>
          <w:tcPr>
            <w:tcW w:w="1363" w:type="dxa"/>
            <w:vAlign w:val="top"/>
          </w:tcPr>
          <w:p>
            <w:pPr>
              <w:pStyle w:val="TableText"/>
              <w:spacing w:before="63" w:line="219" w:lineRule="auto"/>
              <w:ind w:left="275"/>
            </w:pPr>
            <w:r>
              <w:rPr>
                <w:spacing w:val="-2"/>
              </w:rPr>
              <w:t>样品编号</w:t>
            </w:r>
          </w:p>
        </w:tc>
        <w:tc>
          <w:tcPr>
            <w:tcW w:w="3256" w:type="dxa"/>
            <w:vAlign w:val="top"/>
          </w:tcPr>
          <w:p>
            <w:pPr>
              <w:pStyle w:val="TableText"/>
              <w:spacing w:before="56" w:line="214" w:lineRule="auto"/>
              <w:ind w:left="822"/>
            </w:pPr>
            <w:r>
              <w:rPr>
                <w:spacing w:val="13"/>
              </w:rPr>
              <w:t>定量偏差/(g/m²)</w:t>
            </w:r>
          </w:p>
        </w:tc>
        <w:tc>
          <w:tcPr>
            <w:tcW w:w="1488" w:type="dxa"/>
            <w:vAlign w:val="top"/>
          </w:tcPr>
          <w:p>
            <w:pPr>
              <w:pStyle w:val="TableText"/>
              <w:spacing w:before="63" w:line="219" w:lineRule="auto"/>
              <w:ind w:left="536"/>
            </w:pPr>
            <w:r>
              <w:rPr>
                <w:spacing w:val="6"/>
              </w:rPr>
              <w:t>类型</w:t>
            </w:r>
          </w:p>
        </w:tc>
        <w:tc>
          <w:tcPr>
            <w:tcW w:w="1423" w:type="dxa"/>
            <w:vAlign w:val="top"/>
          </w:tcPr>
          <w:p>
            <w:pPr>
              <w:pStyle w:val="TableText"/>
              <w:spacing w:before="61" w:line="218" w:lineRule="auto"/>
              <w:ind w:left="308"/>
            </w:pPr>
            <w:r>
              <w:rPr>
                <w:spacing w:val="-2"/>
              </w:rPr>
              <w:t>淋膜成分</w:t>
            </w:r>
          </w:p>
        </w:tc>
      </w:tr>
      <w:tr>
        <w:tblPrEx>
          <w:tblW w:w="7530" w:type="dxa"/>
          <w:tblInd w:w="729" w:type="dxa"/>
          <w:tblLayout w:type="fixed"/>
        </w:tblPrEx>
        <w:trPr>
          <w:trHeight w:val="309"/>
        </w:trPr>
        <w:tc>
          <w:tcPr>
            <w:tcW w:w="1363" w:type="dxa"/>
            <w:vAlign w:val="top"/>
          </w:tcPr>
          <w:p>
            <w:pPr>
              <w:rPr>
                <w:rFonts w:ascii="Arial"/>
                <w:sz w:val="21"/>
              </w:rPr>
            </w:pPr>
          </w:p>
        </w:tc>
        <w:tc>
          <w:tcPr>
            <w:tcW w:w="3256" w:type="dxa"/>
            <w:vAlign w:val="top"/>
          </w:tcPr>
          <w:p>
            <w:pPr>
              <w:pStyle w:val="TableText"/>
              <w:spacing w:before="110" w:line="174" w:lineRule="auto"/>
              <w:ind w:left="1422"/>
            </w:pPr>
            <w:r>
              <w:rPr>
                <w:spacing w:val="-2"/>
              </w:rPr>
              <w:t>-5.6</w:t>
            </w:r>
          </w:p>
        </w:tc>
        <w:tc>
          <w:tcPr>
            <w:tcW w:w="1488" w:type="dxa"/>
            <w:vAlign w:val="top"/>
          </w:tcPr>
          <w:p>
            <w:pPr>
              <w:pStyle w:val="TableText"/>
              <w:spacing w:before="67" w:line="214" w:lineRule="auto"/>
              <w:ind w:left="536"/>
            </w:pPr>
            <w:r>
              <w:rPr>
                <w:spacing w:val="6"/>
              </w:rPr>
              <w:t>Ⅲ型</w:t>
            </w:r>
          </w:p>
        </w:tc>
        <w:tc>
          <w:tcPr>
            <w:tcW w:w="1423" w:type="dxa"/>
            <w:vAlign w:val="top"/>
          </w:tcPr>
          <w:p>
            <w:pPr>
              <w:pStyle w:val="TableText"/>
              <w:spacing w:before="109" w:line="175" w:lineRule="auto"/>
              <w:ind w:left="558"/>
            </w:pPr>
            <w:r>
              <w:rPr>
                <w:spacing w:val="-2"/>
              </w:rPr>
              <w:t>PLA</w:t>
            </w:r>
          </w:p>
        </w:tc>
      </w:tr>
      <w:tr>
        <w:tblPrEx>
          <w:tblW w:w="7530" w:type="dxa"/>
          <w:tblInd w:w="729" w:type="dxa"/>
          <w:tblLayout w:type="fixed"/>
        </w:tblPrEx>
        <w:trPr>
          <w:trHeight w:val="629"/>
        </w:trPr>
        <w:tc>
          <w:tcPr>
            <w:tcW w:w="1363" w:type="dxa"/>
            <w:vAlign w:val="top"/>
          </w:tcPr>
          <w:p>
            <w:pPr>
              <w:pStyle w:val="TableText"/>
              <w:spacing w:before="271" w:line="183" w:lineRule="auto"/>
              <w:ind w:left="625"/>
            </w:pPr>
            <w:r>
              <w:t>2</w:t>
            </w:r>
          </w:p>
        </w:tc>
        <w:tc>
          <w:tcPr>
            <w:tcW w:w="3256" w:type="dxa"/>
            <w:vAlign w:val="top"/>
          </w:tcPr>
          <w:p>
            <w:pPr>
              <w:pStyle w:val="TableText"/>
              <w:spacing w:before="61" w:line="330" w:lineRule="exact"/>
              <w:ind w:left="1122"/>
            </w:pPr>
            <w:r>
              <w:rPr>
                <w:spacing w:val="5"/>
                <w:position w:val="9"/>
              </w:rPr>
              <w:t>-1.5(正面)</w:t>
            </w:r>
          </w:p>
          <w:p>
            <w:pPr>
              <w:pStyle w:val="TableText"/>
              <w:spacing w:line="209" w:lineRule="auto"/>
              <w:ind w:left="1122"/>
            </w:pPr>
            <w:r>
              <w:rPr>
                <w:spacing w:val="5"/>
              </w:rPr>
              <w:t>-0.8(反面)</w:t>
            </w:r>
          </w:p>
        </w:tc>
        <w:tc>
          <w:tcPr>
            <w:tcW w:w="1488" w:type="dxa"/>
            <w:vAlign w:val="top"/>
          </w:tcPr>
          <w:p>
            <w:pPr>
              <w:pStyle w:val="TableText"/>
              <w:spacing w:before="228" w:line="227" w:lineRule="auto"/>
              <w:ind w:left="536"/>
            </w:pPr>
            <w:r>
              <w:rPr>
                <w:spacing w:val="6"/>
              </w:rPr>
              <w:t>Ⅲ型</w:t>
            </w:r>
          </w:p>
        </w:tc>
        <w:tc>
          <w:tcPr>
            <w:tcW w:w="1423" w:type="dxa"/>
            <w:vAlign w:val="top"/>
          </w:tcPr>
          <w:p>
            <w:pPr>
              <w:pStyle w:val="TableText"/>
              <w:spacing w:before="271" w:line="183" w:lineRule="auto"/>
              <w:ind w:left="558"/>
            </w:pPr>
            <w:r>
              <w:rPr>
                <w:spacing w:val="-2"/>
              </w:rPr>
              <w:t>PBS</w:t>
            </w:r>
          </w:p>
        </w:tc>
      </w:tr>
      <w:tr>
        <w:tblPrEx>
          <w:tblW w:w="7530" w:type="dxa"/>
          <w:tblInd w:w="729" w:type="dxa"/>
          <w:tblLayout w:type="fixed"/>
        </w:tblPrEx>
        <w:trPr>
          <w:trHeight w:val="309"/>
        </w:trPr>
        <w:tc>
          <w:tcPr>
            <w:tcW w:w="1363" w:type="dxa"/>
            <w:vAlign w:val="top"/>
          </w:tcPr>
          <w:p>
            <w:pPr>
              <w:pStyle w:val="TableText"/>
              <w:spacing w:before="112" w:line="172" w:lineRule="auto"/>
              <w:ind w:left="625"/>
            </w:pPr>
            <w:r>
              <w:t>3</w:t>
            </w:r>
          </w:p>
        </w:tc>
        <w:tc>
          <w:tcPr>
            <w:tcW w:w="3256" w:type="dxa"/>
            <w:vAlign w:val="top"/>
          </w:tcPr>
          <w:p>
            <w:pPr>
              <w:pStyle w:val="TableText"/>
              <w:spacing w:before="112" w:line="172" w:lineRule="auto"/>
              <w:ind w:left="1472"/>
            </w:pPr>
            <w:r>
              <w:rPr>
                <w:spacing w:val="-3"/>
              </w:rPr>
              <w:t>2.6</w:t>
            </w:r>
          </w:p>
        </w:tc>
        <w:tc>
          <w:tcPr>
            <w:tcW w:w="1488" w:type="dxa"/>
            <w:vAlign w:val="top"/>
          </w:tcPr>
          <w:p>
            <w:pPr>
              <w:pStyle w:val="TableText"/>
              <w:spacing w:before="69" w:line="212" w:lineRule="auto"/>
              <w:ind w:left="536"/>
            </w:pPr>
            <w:r>
              <w:rPr>
                <w:spacing w:val="6"/>
              </w:rPr>
              <w:t>Ⅲ型</w:t>
            </w:r>
          </w:p>
        </w:tc>
        <w:tc>
          <w:tcPr>
            <w:tcW w:w="1423" w:type="dxa"/>
            <w:vAlign w:val="top"/>
          </w:tcPr>
          <w:p>
            <w:pPr>
              <w:pStyle w:val="TableText"/>
              <w:spacing w:before="112" w:line="172" w:lineRule="auto"/>
              <w:ind w:left="558"/>
            </w:pPr>
            <w:r>
              <w:rPr>
                <w:spacing w:val="-2"/>
              </w:rPr>
              <w:t>PBS</w:t>
            </w:r>
          </w:p>
        </w:tc>
      </w:tr>
      <w:tr>
        <w:tblPrEx>
          <w:tblW w:w="7530" w:type="dxa"/>
          <w:tblInd w:w="729" w:type="dxa"/>
          <w:tblLayout w:type="fixed"/>
        </w:tblPrEx>
        <w:trPr>
          <w:trHeight w:val="309"/>
        </w:trPr>
        <w:tc>
          <w:tcPr>
            <w:tcW w:w="1363" w:type="dxa"/>
            <w:vAlign w:val="top"/>
          </w:tcPr>
          <w:p>
            <w:pPr>
              <w:pStyle w:val="TableText"/>
              <w:spacing w:before="113" w:line="171" w:lineRule="auto"/>
              <w:ind w:left="625"/>
            </w:pPr>
            <w:r>
              <w:t>4</w:t>
            </w:r>
          </w:p>
        </w:tc>
        <w:tc>
          <w:tcPr>
            <w:tcW w:w="3256" w:type="dxa"/>
            <w:vAlign w:val="top"/>
          </w:tcPr>
          <w:p>
            <w:pPr>
              <w:pStyle w:val="TableText"/>
              <w:spacing w:before="113" w:line="171" w:lineRule="auto"/>
              <w:ind w:left="1422"/>
            </w:pPr>
            <w:r>
              <w:rPr>
                <w:spacing w:val="-2"/>
              </w:rPr>
              <w:t>-0.6</w:t>
            </w:r>
          </w:p>
        </w:tc>
        <w:tc>
          <w:tcPr>
            <w:tcW w:w="1488" w:type="dxa"/>
            <w:vAlign w:val="top"/>
          </w:tcPr>
          <w:p>
            <w:pPr>
              <w:pStyle w:val="TableText"/>
              <w:spacing w:before="70" w:line="211" w:lineRule="auto"/>
              <w:ind w:left="536"/>
            </w:pPr>
            <w:r>
              <w:rPr>
                <w:spacing w:val="6"/>
              </w:rPr>
              <w:t>Ⅲ型</w:t>
            </w:r>
          </w:p>
        </w:tc>
        <w:tc>
          <w:tcPr>
            <w:tcW w:w="1423" w:type="dxa"/>
            <w:vAlign w:val="top"/>
          </w:tcPr>
          <w:p>
            <w:pPr>
              <w:pStyle w:val="TableText"/>
              <w:spacing w:before="112" w:line="172" w:lineRule="auto"/>
              <w:ind w:left="558"/>
            </w:pPr>
            <w:r>
              <w:rPr>
                <w:spacing w:val="-2"/>
              </w:rPr>
              <w:t>PLA</w:t>
            </w:r>
          </w:p>
        </w:tc>
      </w:tr>
      <w:tr>
        <w:tblPrEx>
          <w:tblW w:w="7530" w:type="dxa"/>
          <w:tblInd w:w="729" w:type="dxa"/>
          <w:tblLayout w:type="fixed"/>
        </w:tblPrEx>
        <w:trPr>
          <w:trHeight w:val="309"/>
        </w:trPr>
        <w:tc>
          <w:tcPr>
            <w:tcW w:w="1363" w:type="dxa"/>
            <w:vAlign w:val="top"/>
          </w:tcPr>
          <w:p>
            <w:pPr>
              <w:pStyle w:val="TableText"/>
              <w:spacing w:before="115" w:line="169" w:lineRule="auto"/>
              <w:ind w:left="625"/>
            </w:pPr>
            <w:r>
              <w:t>5</w:t>
            </w:r>
          </w:p>
        </w:tc>
        <w:tc>
          <w:tcPr>
            <w:tcW w:w="3256" w:type="dxa"/>
            <w:vAlign w:val="top"/>
          </w:tcPr>
          <w:p>
            <w:pPr>
              <w:pStyle w:val="TableText"/>
              <w:spacing w:before="113" w:line="171" w:lineRule="auto"/>
              <w:ind w:left="1422"/>
            </w:pPr>
            <w:r>
              <w:rPr>
                <w:spacing w:val="-2"/>
              </w:rPr>
              <w:t>-1.1</w:t>
            </w:r>
          </w:p>
        </w:tc>
        <w:tc>
          <w:tcPr>
            <w:tcW w:w="1488" w:type="dxa"/>
            <w:vAlign w:val="top"/>
          </w:tcPr>
          <w:p>
            <w:pPr>
              <w:pStyle w:val="TableText"/>
              <w:spacing w:before="71" w:line="210" w:lineRule="auto"/>
              <w:ind w:left="536"/>
            </w:pPr>
            <w:r>
              <w:rPr>
                <w:spacing w:val="-22"/>
              </w:rPr>
              <w:t>Ⅱ</w:t>
            </w:r>
            <w:r>
              <w:rPr>
                <w:spacing w:val="-30"/>
              </w:rPr>
              <w:t xml:space="preserve"> </w:t>
            </w:r>
            <w:r>
              <w:rPr>
                <w:spacing w:val="-22"/>
              </w:rPr>
              <w:t>型</w:t>
            </w:r>
          </w:p>
        </w:tc>
        <w:tc>
          <w:tcPr>
            <w:tcW w:w="1423" w:type="dxa"/>
            <w:vAlign w:val="top"/>
          </w:tcPr>
          <w:p>
            <w:pPr>
              <w:pStyle w:val="TableText"/>
              <w:spacing w:before="115" w:line="169" w:lineRule="auto"/>
              <w:ind w:left="608"/>
            </w:pPr>
            <w:r>
              <w:rPr>
                <w:color w:val="71003C"/>
                <w:spacing w:val="-2"/>
              </w:rPr>
              <w:t>PE</w:t>
            </w:r>
          </w:p>
        </w:tc>
      </w:tr>
      <w:tr>
        <w:tblPrEx>
          <w:tblW w:w="7530" w:type="dxa"/>
          <w:tblInd w:w="729" w:type="dxa"/>
          <w:tblLayout w:type="fixed"/>
        </w:tblPrEx>
        <w:trPr>
          <w:trHeight w:val="309"/>
        </w:trPr>
        <w:tc>
          <w:tcPr>
            <w:tcW w:w="1363" w:type="dxa"/>
            <w:vAlign w:val="top"/>
          </w:tcPr>
          <w:p>
            <w:pPr>
              <w:pStyle w:val="TableText"/>
              <w:spacing w:before="115" w:line="169" w:lineRule="auto"/>
              <w:ind w:left="625"/>
            </w:pPr>
            <w:r>
              <w:t>6</w:t>
            </w:r>
          </w:p>
        </w:tc>
        <w:tc>
          <w:tcPr>
            <w:tcW w:w="3256" w:type="dxa"/>
            <w:vAlign w:val="top"/>
          </w:tcPr>
          <w:p>
            <w:pPr>
              <w:pStyle w:val="TableText"/>
              <w:spacing w:before="114" w:line="170" w:lineRule="auto"/>
              <w:ind w:left="1422"/>
            </w:pPr>
            <w:r>
              <w:rPr>
                <w:spacing w:val="-2"/>
              </w:rPr>
              <w:t>-1.9</w:t>
            </w:r>
          </w:p>
        </w:tc>
        <w:tc>
          <w:tcPr>
            <w:tcW w:w="1488" w:type="dxa"/>
            <w:vAlign w:val="top"/>
          </w:tcPr>
          <w:p>
            <w:pPr>
              <w:pStyle w:val="TableText"/>
              <w:spacing w:before="72" w:line="209" w:lineRule="auto"/>
              <w:ind w:left="536"/>
            </w:pPr>
            <w:r>
              <w:rPr>
                <w:spacing w:val="6"/>
              </w:rPr>
              <w:t>Ⅲ型</w:t>
            </w:r>
          </w:p>
        </w:tc>
        <w:tc>
          <w:tcPr>
            <w:tcW w:w="1423" w:type="dxa"/>
            <w:vAlign w:val="top"/>
          </w:tcPr>
          <w:p>
            <w:pPr>
              <w:pStyle w:val="TableText"/>
              <w:spacing w:before="113" w:line="171" w:lineRule="auto"/>
              <w:ind w:left="558"/>
            </w:pPr>
            <w:r>
              <w:rPr>
                <w:color w:val="6F003B"/>
                <w:spacing w:val="-2"/>
              </w:rPr>
              <w:t>PLA</w:t>
            </w:r>
          </w:p>
        </w:tc>
      </w:tr>
      <w:tr>
        <w:tblPrEx>
          <w:tblW w:w="7530" w:type="dxa"/>
          <w:tblInd w:w="729" w:type="dxa"/>
          <w:tblLayout w:type="fixed"/>
        </w:tblPrEx>
        <w:trPr>
          <w:trHeight w:val="629"/>
        </w:trPr>
        <w:tc>
          <w:tcPr>
            <w:tcW w:w="1363" w:type="dxa"/>
            <w:vAlign w:val="top"/>
          </w:tcPr>
          <w:p>
            <w:pPr>
              <w:pStyle w:val="TableText"/>
              <w:spacing w:before="277" w:line="182" w:lineRule="auto"/>
              <w:ind w:left="625"/>
            </w:pPr>
            <w:r>
              <w:t>7</w:t>
            </w:r>
          </w:p>
        </w:tc>
        <w:tc>
          <w:tcPr>
            <w:tcW w:w="3256" w:type="dxa"/>
            <w:vAlign w:val="top"/>
          </w:tcPr>
          <w:p>
            <w:pPr>
              <w:pStyle w:val="TableText"/>
              <w:spacing w:before="96" w:line="300" w:lineRule="exact"/>
              <w:ind w:left="1122"/>
            </w:pPr>
            <w:r>
              <w:rPr>
                <w:spacing w:val="5"/>
                <w:position w:val="7"/>
              </w:rPr>
              <w:t>-0.1(正面)</w:t>
            </w:r>
          </w:p>
          <w:p>
            <w:pPr>
              <w:pStyle w:val="TableText"/>
              <w:spacing w:line="205" w:lineRule="auto"/>
              <w:ind w:left="1122"/>
            </w:pPr>
            <w:r>
              <w:rPr>
                <w:spacing w:val="5"/>
              </w:rPr>
              <w:t>-0.4(反面)</w:t>
            </w:r>
          </w:p>
        </w:tc>
        <w:tc>
          <w:tcPr>
            <w:tcW w:w="1488" w:type="dxa"/>
            <w:vAlign w:val="top"/>
          </w:tcPr>
          <w:p>
            <w:pPr>
              <w:pStyle w:val="TableText"/>
              <w:spacing w:before="233" w:line="227" w:lineRule="auto"/>
              <w:ind w:left="536"/>
            </w:pPr>
            <w:r>
              <w:rPr>
                <w:spacing w:val="6"/>
              </w:rPr>
              <w:t>Ⅲ型</w:t>
            </w:r>
          </w:p>
        </w:tc>
        <w:tc>
          <w:tcPr>
            <w:tcW w:w="1423" w:type="dxa"/>
            <w:vAlign w:val="top"/>
          </w:tcPr>
          <w:p>
            <w:pPr>
              <w:pStyle w:val="TableText"/>
              <w:spacing w:before="275" w:line="184" w:lineRule="auto"/>
              <w:ind w:left="558"/>
            </w:pPr>
            <w:r>
              <w:rPr>
                <w:spacing w:val="-2"/>
              </w:rPr>
              <w:t>PLA</w:t>
            </w:r>
          </w:p>
        </w:tc>
      </w:tr>
      <w:tr>
        <w:tblPrEx>
          <w:tblW w:w="7530" w:type="dxa"/>
          <w:tblInd w:w="729" w:type="dxa"/>
          <w:tblLayout w:type="fixed"/>
        </w:tblPrEx>
        <w:trPr>
          <w:trHeight w:val="619"/>
        </w:trPr>
        <w:tc>
          <w:tcPr>
            <w:tcW w:w="1363" w:type="dxa"/>
            <w:vAlign w:val="top"/>
          </w:tcPr>
          <w:p>
            <w:pPr>
              <w:pStyle w:val="TableText"/>
              <w:spacing w:before="267" w:line="183" w:lineRule="auto"/>
              <w:ind w:left="625"/>
            </w:pPr>
            <w:r>
              <w:t>8</w:t>
            </w:r>
          </w:p>
        </w:tc>
        <w:tc>
          <w:tcPr>
            <w:tcW w:w="3256" w:type="dxa"/>
            <w:vAlign w:val="top"/>
          </w:tcPr>
          <w:p>
            <w:pPr>
              <w:pStyle w:val="TableText"/>
              <w:spacing w:before="77" w:line="310" w:lineRule="exact"/>
              <w:ind w:left="1172"/>
            </w:pPr>
            <w:r>
              <w:rPr>
                <w:spacing w:val="6"/>
                <w:position w:val="8"/>
              </w:rPr>
              <w:t>0.7(正面)</w:t>
            </w:r>
          </w:p>
          <w:p>
            <w:pPr>
              <w:pStyle w:val="TableText"/>
              <w:spacing w:line="204" w:lineRule="auto"/>
              <w:ind w:left="1172"/>
            </w:pPr>
            <w:r>
              <w:rPr>
                <w:spacing w:val="6"/>
              </w:rPr>
              <w:t>0.1(反面)</w:t>
            </w:r>
          </w:p>
        </w:tc>
        <w:tc>
          <w:tcPr>
            <w:tcW w:w="1488" w:type="dxa"/>
            <w:vAlign w:val="top"/>
          </w:tcPr>
          <w:p>
            <w:pPr>
              <w:pStyle w:val="TableText"/>
              <w:spacing w:before="224" w:line="227" w:lineRule="auto"/>
              <w:ind w:left="536"/>
            </w:pPr>
            <w:r>
              <w:rPr>
                <w:spacing w:val="6"/>
              </w:rPr>
              <w:t>Ⅲ型</w:t>
            </w:r>
          </w:p>
        </w:tc>
        <w:tc>
          <w:tcPr>
            <w:tcW w:w="1423" w:type="dxa"/>
            <w:vAlign w:val="top"/>
          </w:tcPr>
          <w:p>
            <w:pPr>
              <w:pStyle w:val="TableText"/>
              <w:spacing w:before="266" w:line="184" w:lineRule="auto"/>
              <w:ind w:left="558"/>
            </w:pPr>
            <w:r>
              <w:rPr>
                <w:spacing w:val="-2"/>
              </w:rPr>
              <w:t>PLA</w:t>
            </w:r>
          </w:p>
        </w:tc>
      </w:tr>
      <w:tr>
        <w:tblPrEx>
          <w:tblW w:w="7530" w:type="dxa"/>
          <w:tblInd w:w="729" w:type="dxa"/>
          <w:tblLayout w:type="fixed"/>
        </w:tblPrEx>
        <w:trPr>
          <w:trHeight w:val="623"/>
        </w:trPr>
        <w:tc>
          <w:tcPr>
            <w:tcW w:w="1363" w:type="dxa"/>
            <w:vAlign w:val="top"/>
          </w:tcPr>
          <w:p>
            <w:pPr>
              <w:pStyle w:val="TableText"/>
              <w:spacing w:before="268" w:line="183" w:lineRule="auto"/>
              <w:ind w:left="625"/>
            </w:pPr>
            <w:r>
              <w:t>9</w:t>
            </w:r>
          </w:p>
        </w:tc>
        <w:tc>
          <w:tcPr>
            <w:tcW w:w="3256" w:type="dxa"/>
            <w:vAlign w:val="top"/>
          </w:tcPr>
          <w:p>
            <w:pPr>
              <w:pStyle w:val="TableText"/>
              <w:spacing w:before="98" w:line="300" w:lineRule="exact"/>
              <w:ind w:left="1122"/>
            </w:pPr>
            <w:r>
              <w:rPr>
                <w:spacing w:val="5"/>
                <w:position w:val="7"/>
              </w:rPr>
              <w:t>-1.5(正面)</w:t>
            </w:r>
          </w:p>
          <w:p>
            <w:pPr>
              <w:pStyle w:val="TableText"/>
              <w:spacing w:line="197" w:lineRule="auto"/>
              <w:ind w:left="1122"/>
            </w:pPr>
            <w:r>
              <w:rPr>
                <w:spacing w:val="5"/>
              </w:rPr>
              <w:t>-2.1(反面)</w:t>
            </w:r>
          </w:p>
        </w:tc>
        <w:tc>
          <w:tcPr>
            <w:tcW w:w="1488" w:type="dxa"/>
            <w:vAlign w:val="top"/>
          </w:tcPr>
          <w:p>
            <w:pPr>
              <w:pStyle w:val="TableText"/>
              <w:spacing w:before="225" w:line="227" w:lineRule="auto"/>
              <w:ind w:left="536"/>
            </w:pPr>
            <w:r>
              <w:rPr>
                <w:spacing w:val="6"/>
              </w:rPr>
              <w:t>Ⅲ型</w:t>
            </w:r>
          </w:p>
        </w:tc>
        <w:tc>
          <w:tcPr>
            <w:tcW w:w="1423" w:type="dxa"/>
            <w:vAlign w:val="top"/>
          </w:tcPr>
          <w:p>
            <w:pPr>
              <w:pStyle w:val="TableText"/>
              <w:spacing w:before="267" w:line="184" w:lineRule="auto"/>
              <w:ind w:left="558"/>
            </w:pPr>
            <w:r>
              <w:rPr>
                <w:spacing w:val="-2"/>
              </w:rPr>
              <w:t>PLA</w:t>
            </w:r>
          </w:p>
        </w:tc>
      </w:tr>
    </w:tbl>
    <w:p>
      <w:pPr>
        <w:sectPr>
          <w:footerReference w:type="default" r:id="rId13"/>
          <w:pgSz w:w="11910" w:h="16840"/>
          <w:pgMar w:top="1179" w:right="1327" w:bottom="987" w:left="1589" w:header="0" w:footer="849" w:gutter="0"/>
          <w:pgNumType w:start="9"/>
          <w:cols w:space="708"/>
        </w:sectPr>
      </w:pPr>
    </w:p>
    <w:p>
      <w:pPr>
        <w:pStyle w:val="BodyText"/>
        <w:spacing w:before="95" w:line="355" w:lineRule="auto"/>
        <w:ind w:right="1" w:firstLine="479"/>
        <w:jc w:val="both"/>
        <w:rPr>
          <w:sz w:val="25"/>
          <w:szCs w:val="25"/>
        </w:rPr>
      </w:pPr>
      <w:r>
        <w:rPr>
          <w:spacing w:val="-4"/>
          <w:sz w:val="25"/>
          <w:szCs w:val="25"/>
        </w:rPr>
        <w:t>从表中看出，膜定量偏差在-5.6</w:t>
      </w:r>
      <w:r>
        <w:rPr>
          <w:spacing w:val="-44"/>
          <w:sz w:val="25"/>
          <w:szCs w:val="25"/>
        </w:rPr>
        <w:t xml:space="preserve"> </w:t>
      </w:r>
      <w:r>
        <w:rPr>
          <w:rFonts w:ascii="Times New Roman" w:eastAsia="Times New Roman" w:hAnsi="Times New Roman" w:cs="Times New Roman"/>
          <w:spacing w:val="-4"/>
          <w:sz w:val="25"/>
          <w:szCs w:val="25"/>
        </w:rPr>
        <w:t>g/m²</w:t>
      </w:r>
      <w:r>
        <w:rPr>
          <w:spacing w:val="-4"/>
          <w:sz w:val="25"/>
          <w:szCs w:val="25"/>
        </w:rPr>
        <w:t>~</w:t>
      </w:r>
      <w:r>
        <w:rPr>
          <w:rFonts w:ascii="Times New Roman" w:eastAsia="Times New Roman" w:hAnsi="Times New Roman" w:cs="Times New Roman"/>
          <w:spacing w:val="-4"/>
          <w:sz w:val="25"/>
          <w:szCs w:val="25"/>
        </w:rPr>
        <w:t>2.6g/m²</w:t>
      </w:r>
      <w:r>
        <w:rPr>
          <w:rFonts w:ascii="Times New Roman" w:eastAsia="Times New Roman" w:hAnsi="Times New Roman" w:cs="Times New Roman"/>
          <w:spacing w:val="56"/>
          <w:w w:val="101"/>
          <w:sz w:val="25"/>
          <w:szCs w:val="25"/>
        </w:rPr>
        <w:t xml:space="preserve"> </w:t>
      </w:r>
      <w:r>
        <w:rPr>
          <w:spacing w:val="-4"/>
          <w:sz w:val="25"/>
          <w:szCs w:val="25"/>
        </w:rPr>
        <w:t>之间，62.5%的Ⅲ型验证样品可以</w:t>
      </w:r>
      <w:r>
        <w:rPr>
          <w:sz w:val="25"/>
          <w:szCs w:val="25"/>
        </w:rPr>
        <w:t xml:space="preserve"> </w:t>
      </w:r>
      <w:r>
        <w:rPr>
          <w:spacing w:val="-5"/>
          <w:sz w:val="25"/>
          <w:szCs w:val="25"/>
        </w:rPr>
        <w:t>满足膜定量偏差为±2.0 g/m²的要求；验证了1批次的Ⅱ型样品，结果为-1.1 g/m²,</w:t>
      </w:r>
    </w:p>
    <w:p>
      <w:pPr>
        <w:pStyle w:val="BodyText"/>
        <w:spacing w:before="1" w:line="213" w:lineRule="auto"/>
        <w:rPr>
          <w:sz w:val="25"/>
          <w:szCs w:val="25"/>
        </w:rPr>
      </w:pPr>
      <w:r>
        <w:rPr>
          <w:spacing w:val="-10"/>
          <w:sz w:val="25"/>
          <w:szCs w:val="25"/>
        </w:rPr>
        <w:t>不满足膜定量偏差为±1.0 g/m²的要求。</w:t>
      </w:r>
    </w:p>
    <w:p>
      <w:pPr>
        <w:pStyle w:val="BodyText"/>
        <w:spacing w:before="179" w:line="219" w:lineRule="auto"/>
        <w:ind w:left="350"/>
        <w:rPr>
          <w:sz w:val="25"/>
          <w:szCs w:val="25"/>
        </w:rPr>
      </w:pPr>
      <w:r>
        <w:rPr>
          <w:spacing w:val="1"/>
          <w:sz w:val="25"/>
          <w:szCs w:val="25"/>
        </w:rPr>
        <w:t>(3)粘合程度</w:t>
      </w:r>
    </w:p>
    <w:p>
      <w:pPr>
        <w:pStyle w:val="BodyText"/>
        <w:spacing w:before="163" w:line="462" w:lineRule="exact"/>
        <w:jc w:val="right"/>
        <w:rPr>
          <w:sz w:val="25"/>
          <w:szCs w:val="25"/>
        </w:rPr>
      </w:pPr>
      <w:r>
        <w:rPr>
          <w:spacing w:val="-7"/>
          <w:position w:val="15"/>
          <w:sz w:val="25"/>
          <w:szCs w:val="25"/>
        </w:rPr>
        <w:t>为了验证粘合程度测试方法，起草小组选择了23个样品进行了验证试验，结果如</w:t>
      </w:r>
    </w:p>
    <w:p>
      <w:pPr>
        <w:pStyle w:val="BodyText"/>
        <w:spacing w:before="1" w:line="220" w:lineRule="auto"/>
        <w:ind w:left="10"/>
        <w:rPr>
          <w:sz w:val="25"/>
          <w:szCs w:val="25"/>
        </w:rPr>
      </w:pPr>
      <w:r>
        <w:rPr>
          <w:spacing w:val="-22"/>
          <w:sz w:val="25"/>
          <w:szCs w:val="25"/>
        </w:rPr>
        <w:t>下表。</w:t>
      </w:r>
    </w:p>
    <w:p>
      <w:pPr>
        <w:spacing w:line="220" w:lineRule="auto"/>
        <w:rPr>
          <w:sz w:val="25"/>
          <w:szCs w:val="25"/>
        </w:rPr>
      </w:pPr>
      <w:r>
        <w:rPr>
          <w:sz w:val="25"/>
          <w:szCs w:val="25"/>
        </w:rPr>
        <w:br/>
      </w:r>
      <w:r>
        <w:rPr>
          <w:sz w:val="25"/>
          <w:szCs w:val="25"/>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kern w:val="0"/>
            <w:sz w:val="30"/>
            <w:szCs w:val="30"/>
            <w:u w:val="single" w:color="0000EE"/>
          </w:rPr>
          <w:t>https://d.book118.com/258063037067006025</w:t>
        </w:r>
      </w:hyperlink>
    </w:p>
    <w:p>
      <w:pPr>
        <w:spacing w:line="220" w:lineRule="auto"/>
        <w:rPr>
          <w:sz w:val="25"/>
          <w:szCs w:val="25"/>
        </w:rPr>
      </w:pPr>
    </w:p>
    <w:sectPr>
      <w:footerReference w:type="default" r:id="rId15"/>
      <w:type w:val="nextPage"/>
      <w:pgSz w:w="11910" w:h="16840"/>
      <w:pgMar w:top="1179" w:right="1327" w:bottom="987" w:left="1589" w:header="0" w:footer="849" w:gutter="0"/>
      <w:pgNumType w:start="1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6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4450"/>
      <w:rPr>
        <w:sz w:val="14"/>
        <w:szCs w:val="14"/>
      </w:rPr>
    </w:pPr>
    <w:r>
      <w:rPr>
        <w:sz w:val="14"/>
        <w:szCs w:val="14"/>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4450"/>
      <w:rPr>
        <w:sz w:val="14"/>
        <w:szCs w:val="14"/>
      </w:rPr>
    </w:pPr>
    <w:r>
      <w:rPr>
        <w:sz w:val="14"/>
        <w:szCs w:val="14"/>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image" Target="media/image1.jpeg" /><Relationship Id="rId13" Type="http://schemas.openxmlformats.org/officeDocument/2006/relationships/footer" Target="footer9.xml" /><Relationship Id="rId14" Type="http://schemas.openxmlformats.org/officeDocument/2006/relationships/hyperlink" Target="https://d.book118.com/258063037067006025"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2024-01-12T11:05:41Z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2024-01-12T11:05:44Z</vt:filetime>
  </property>
  <property fmtid="{D5CDD505-2E9C-101B-9397-08002B2CF9AE}" pid="3" name="CRO">
    <vt:lpwstr>wqlLaW5nc29mdCBQREYgdG8gV1BTIDkw</vt:lpwstr>
  </property>
  <property fmtid="{D5CDD505-2E9C-101B-9397-08002B2CF9AE}" pid="4" name="UsrData">
    <vt:lpwstr>65a0ac83d022c600205a0029wl</vt:lpwstr>
  </property>
</Properties>
</file>