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证券登记、结算机构服务项目规划设计纲要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74" w:history="1">
        <w:r>
          <w:rPr>
            <w:rFonts w:ascii="仿宋" w:eastAsia="仿宋" w:hAnsi="仿宋" w:cs="仿宋" w:hint="eastAsia"/>
            <w:lang w:eastAsia="zh-CN"/>
          </w:rPr>
          <w:t>概论</w:t>
        </w:r>
        <w:r>
          <w:tab/>
        </w:r>
        <w:r>
          <w:fldChar w:fldCharType="begin"/>
        </w:r>
        <w:r>
          <w:instrText xml:space="preserve"> PAGEREF _Toc20374 \h </w:instrText>
        </w:r>
        <w:r>
          <w:fldChar w:fldCharType="separate"/>
        </w:r>
        <w:r>
          <w:t>3</w:t>
        </w:r>
        <w:r>
          <w:fldChar w:fldCharType="end"/>
        </w:r>
      </w:hyperlink>
    </w:p>
    <w:p>
      <w:pPr>
        <w:pStyle w:val="TOC1"/>
        <w:tabs>
          <w:tab w:val="right" w:leader="dot" w:pos="8306"/>
        </w:tabs>
      </w:pPr>
      <w:hyperlink w:anchor="_Toc2735" w:history="1">
        <w:r>
          <w:rPr>
            <w:rFonts w:ascii="仿宋" w:eastAsia="仿宋" w:hAnsi="仿宋" w:cs="仿宋" w:hint="eastAsia"/>
            <w:lang w:eastAsia="zh-CN"/>
          </w:rPr>
          <w:t>一、证券登记、结算机构服务项目土建工程</w:t>
        </w:r>
        <w:r>
          <w:tab/>
        </w:r>
        <w:r>
          <w:fldChar w:fldCharType="begin"/>
        </w:r>
        <w:r>
          <w:instrText xml:space="preserve"> PAGEREF _Toc2735 \h </w:instrText>
        </w:r>
        <w:r>
          <w:fldChar w:fldCharType="separate"/>
        </w:r>
        <w:r>
          <w:t>3</w:t>
        </w:r>
        <w:r>
          <w:fldChar w:fldCharType="end"/>
        </w:r>
      </w:hyperlink>
    </w:p>
    <w:p>
      <w:pPr>
        <w:pStyle w:val="TOC2"/>
        <w:tabs>
          <w:tab w:val="right" w:leader="dot" w:pos="8306"/>
        </w:tabs>
      </w:pPr>
      <w:hyperlink w:anchor="_Toc10405" w:history="1">
        <w:r>
          <w:rPr>
            <w:rFonts w:ascii="仿宋" w:eastAsia="仿宋" w:hAnsi="仿宋" w:cs="仿宋" w:hint="eastAsia"/>
            <w:lang w:eastAsia="zh-CN"/>
          </w:rPr>
          <w:t>(一)、建筑工程设计原则</w:t>
        </w:r>
        <w:r>
          <w:tab/>
        </w:r>
        <w:r>
          <w:fldChar w:fldCharType="begin"/>
        </w:r>
        <w:r>
          <w:instrText xml:space="preserve"> PAGEREF _Toc10405 \h </w:instrText>
        </w:r>
        <w:r>
          <w:fldChar w:fldCharType="separate"/>
        </w:r>
        <w:r>
          <w:t>3</w:t>
        </w:r>
        <w:r>
          <w:fldChar w:fldCharType="end"/>
        </w:r>
      </w:hyperlink>
    </w:p>
    <w:p>
      <w:pPr>
        <w:pStyle w:val="TOC2"/>
        <w:tabs>
          <w:tab w:val="right" w:leader="dot" w:pos="8306"/>
        </w:tabs>
      </w:pPr>
      <w:hyperlink w:anchor="_Toc29494" w:history="1">
        <w:r>
          <w:rPr>
            <w:rFonts w:ascii="仿宋" w:eastAsia="仿宋" w:hAnsi="仿宋" w:cs="仿宋" w:hint="eastAsia"/>
            <w:lang w:eastAsia="zh-CN"/>
          </w:rPr>
          <w:t>(二)、土建工程设计年限及安全等级</w:t>
        </w:r>
        <w:r>
          <w:tab/>
        </w:r>
        <w:r>
          <w:fldChar w:fldCharType="begin"/>
        </w:r>
        <w:r>
          <w:instrText xml:space="preserve"> PAGEREF _Toc29494 \h </w:instrText>
        </w:r>
        <w:r>
          <w:fldChar w:fldCharType="separate"/>
        </w:r>
        <w:r>
          <w:t>4</w:t>
        </w:r>
        <w:r>
          <w:fldChar w:fldCharType="end"/>
        </w:r>
      </w:hyperlink>
    </w:p>
    <w:p>
      <w:pPr>
        <w:pStyle w:val="TOC2"/>
        <w:tabs>
          <w:tab w:val="right" w:leader="dot" w:pos="8306"/>
        </w:tabs>
      </w:pPr>
      <w:hyperlink w:anchor="_Toc12182" w:history="1">
        <w:r>
          <w:rPr>
            <w:rFonts w:ascii="仿宋" w:eastAsia="仿宋" w:hAnsi="仿宋" w:cs="仿宋" w:hint="eastAsia"/>
            <w:lang w:eastAsia="zh-CN"/>
          </w:rPr>
          <w:t>(三)、建筑工程设计总体要求</w:t>
        </w:r>
        <w:r>
          <w:tab/>
        </w:r>
        <w:r>
          <w:fldChar w:fldCharType="begin"/>
        </w:r>
        <w:r>
          <w:instrText xml:space="preserve"> PAGEREF _Toc12182 \h </w:instrText>
        </w:r>
        <w:r>
          <w:fldChar w:fldCharType="separate"/>
        </w:r>
        <w:r>
          <w:t>5</w:t>
        </w:r>
        <w:r>
          <w:fldChar w:fldCharType="end"/>
        </w:r>
      </w:hyperlink>
    </w:p>
    <w:p>
      <w:pPr>
        <w:pStyle w:val="TOC2"/>
        <w:tabs>
          <w:tab w:val="right" w:leader="dot" w:pos="8306"/>
        </w:tabs>
      </w:pPr>
      <w:hyperlink w:anchor="_Toc18919" w:history="1">
        <w:r>
          <w:rPr>
            <w:rFonts w:ascii="仿宋" w:eastAsia="仿宋" w:hAnsi="仿宋" w:cs="仿宋" w:hint="eastAsia"/>
            <w:lang w:eastAsia="zh-CN"/>
          </w:rPr>
          <w:t>(四)、土建工程建设指标</w:t>
        </w:r>
        <w:r>
          <w:tab/>
        </w:r>
        <w:r>
          <w:fldChar w:fldCharType="begin"/>
        </w:r>
        <w:r>
          <w:instrText xml:space="preserve"> PAGEREF _Toc18919 \h </w:instrText>
        </w:r>
        <w:r>
          <w:fldChar w:fldCharType="separate"/>
        </w:r>
        <w:r>
          <w:t>6</w:t>
        </w:r>
        <w:r>
          <w:fldChar w:fldCharType="end"/>
        </w:r>
      </w:hyperlink>
    </w:p>
    <w:p>
      <w:pPr>
        <w:pStyle w:val="TOC1"/>
        <w:tabs>
          <w:tab w:val="right" w:leader="dot" w:pos="8306"/>
        </w:tabs>
      </w:pPr>
      <w:hyperlink w:anchor="_Toc24979" w:history="1">
        <w:r>
          <w:rPr>
            <w:rFonts w:ascii="仿宋" w:eastAsia="仿宋" w:hAnsi="仿宋" w:cs="仿宋" w:hint="eastAsia"/>
            <w:lang w:eastAsia="zh-CN"/>
          </w:rPr>
          <w:t>二、市场分析、调研</w:t>
        </w:r>
        <w:r>
          <w:tab/>
        </w:r>
        <w:r>
          <w:fldChar w:fldCharType="begin"/>
        </w:r>
        <w:r>
          <w:instrText xml:space="preserve"> PAGEREF _Toc24979 \h </w:instrText>
        </w:r>
        <w:r>
          <w:fldChar w:fldCharType="separate"/>
        </w:r>
        <w:r>
          <w:t>6</w:t>
        </w:r>
        <w:r>
          <w:fldChar w:fldCharType="end"/>
        </w:r>
      </w:hyperlink>
    </w:p>
    <w:p>
      <w:pPr>
        <w:pStyle w:val="TOC2"/>
        <w:tabs>
          <w:tab w:val="right" w:leader="dot" w:pos="8306"/>
        </w:tabs>
      </w:pPr>
      <w:hyperlink w:anchor="_Toc10213" w:history="1">
        <w:r>
          <w:rPr>
            <w:rFonts w:ascii="仿宋" w:eastAsia="仿宋" w:hAnsi="仿宋" w:cs="仿宋" w:hint="eastAsia"/>
            <w:lang w:eastAsia="zh-CN"/>
          </w:rPr>
          <w:t>(一)、证券登记、结算机构服务行业分析</w:t>
        </w:r>
        <w:r>
          <w:tab/>
        </w:r>
        <w:r>
          <w:fldChar w:fldCharType="begin"/>
        </w:r>
        <w:r>
          <w:instrText xml:space="preserve"> PAGEREF _Toc10213 \h </w:instrText>
        </w:r>
        <w:r>
          <w:fldChar w:fldCharType="separate"/>
        </w:r>
        <w:r>
          <w:t>6</w:t>
        </w:r>
        <w:r>
          <w:fldChar w:fldCharType="end"/>
        </w:r>
      </w:hyperlink>
    </w:p>
    <w:p>
      <w:pPr>
        <w:pStyle w:val="TOC2"/>
        <w:tabs>
          <w:tab w:val="right" w:leader="dot" w:pos="8306"/>
        </w:tabs>
      </w:pPr>
      <w:hyperlink w:anchor="_Toc10592" w:history="1">
        <w:r>
          <w:rPr>
            <w:rFonts w:ascii="仿宋" w:eastAsia="仿宋" w:hAnsi="仿宋" w:cs="仿宋" w:hint="eastAsia"/>
            <w:lang w:eastAsia="zh-CN"/>
          </w:rPr>
          <w:t>(二)、证券登记、结算机构服务市场分析预测</w:t>
        </w:r>
        <w:r>
          <w:tab/>
        </w:r>
        <w:r>
          <w:fldChar w:fldCharType="begin"/>
        </w:r>
        <w:r>
          <w:instrText xml:space="preserve"> PAGEREF _Toc10592 \h </w:instrText>
        </w:r>
        <w:r>
          <w:fldChar w:fldCharType="separate"/>
        </w:r>
        <w:r>
          <w:t>7</w:t>
        </w:r>
        <w:r>
          <w:fldChar w:fldCharType="end"/>
        </w:r>
      </w:hyperlink>
    </w:p>
    <w:p>
      <w:pPr>
        <w:pStyle w:val="TOC1"/>
        <w:tabs>
          <w:tab w:val="right" w:leader="dot" w:pos="8306"/>
        </w:tabs>
      </w:pPr>
      <w:hyperlink w:anchor="_Toc29255" w:history="1">
        <w:r>
          <w:rPr>
            <w:rFonts w:ascii="仿宋" w:eastAsia="仿宋" w:hAnsi="仿宋" w:cs="仿宋" w:hint="eastAsia"/>
            <w:lang w:eastAsia="zh-CN"/>
          </w:rPr>
          <w:t>三、证券登记、结算机构服务项目危机管理</w:t>
        </w:r>
        <w:r>
          <w:tab/>
        </w:r>
        <w:r>
          <w:fldChar w:fldCharType="begin"/>
        </w:r>
        <w:r>
          <w:instrText xml:space="preserve"> PAGEREF _Toc29255 \h </w:instrText>
        </w:r>
        <w:r>
          <w:fldChar w:fldCharType="separate"/>
        </w:r>
        <w:r>
          <w:t>8</w:t>
        </w:r>
        <w:r>
          <w:fldChar w:fldCharType="end"/>
        </w:r>
      </w:hyperlink>
    </w:p>
    <w:p>
      <w:pPr>
        <w:pStyle w:val="TOC2"/>
        <w:tabs>
          <w:tab w:val="right" w:leader="dot" w:pos="8306"/>
        </w:tabs>
      </w:pPr>
      <w:hyperlink w:anchor="_Toc3963" w:history="1">
        <w:r>
          <w:rPr>
            <w:rFonts w:ascii="仿宋" w:eastAsia="仿宋" w:hAnsi="仿宋" w:cs="仿宋" w:hint="eastAsia"/>
            <w:lang w:eastAsia="zh-CN"/>
          </w:rPr>
          <w:t>(一)、危机预警与识别</w:t>
        </w:r>
        <w:r>
          <w:tab/>
        </w:r>
        <w:r>
          <w:fldChar w:fldCharType="begin"/>
        </w:r>
        <w:r>
          <w:instrText xml:space="preserve"> PAGEREF _Toc3963 \h </w:instrText>
        </w:r>
        <w:r>
          <w:fldChar w:fldCharType="separate"/>
        </w:r>
        <w:r>
          <w:t>8</w:t>
        </w:r>
        <w:r>
          <w:fldChar w:fldCharType="end"/>
        </w:r>
      </w:hyperlink>
    </w:p>
    <w:p>
      <w:pPr>
        <w:pStyle w:val="TOC2"/>
        <w:tabs>
          <w:tab w:val="right" w:leader="dot" w:pos="8306"/>
        </w:tabs>
      </w:pPr>
      <w:hyperlink w:anchor="_Toc28753" w:history="1">
        <w:r>
          <w:rPr>
            <w:rFonts w:ascii="仿宋" w:eastAsia="仿宋" w:hAnsi="仿宋" w:cs="仿宋" w:hint="eastAsia"/>
            <w:lang w:eastAsia="zh-CN"/>
          </w:rPr>
          <w:t>(二)、危机应对与恢复</w:t>
        </w:r>
        <w:r>
          <w:tab/>
        </w:r>
        <w:r>
          <w:fldChar w:fldCharType="begin"/>
        </w:r>
        <w:r>
          <w:instrText xml:space="preserve"> PAGEREF _Toc28753 \h </w:instrText>
        </w:r>
        <w:r>
          <w:fldChar w:fldCharType="separate"/>
        </w:r>
        <w:r>
          <w:t>9</w:t>
        </w:r>
        <w:r>
          <w:fldChar w:fldCharType="end"/>
        </w:r>
      </w:hyperlink>
    </w:p>
    <w:p>
      <w:pPr>
        <w:pStyle w:val="TOC1"/>
        <w:tabs>
          <w:tab w:val="right" w:leader="dot" w:pos="8306"/>
        </w:tabs>
      </w:pPr>
      <w:hyperlink w:anchor="_Toc1005" w:history="1">
        <w:r>
          <w:rPr>
            <w:rFonts w:ascii="仿宋" w:eastAsia="仿宋" w:hAnsi="仿宋" w:cs="仿宋" w:hint="eastAsia"/>
            <w:lang w:eastAsia="zh-CN"/>
          </w:rPr>
          <w:t>四、证券登记、结算机构服务项目概论</w:t>
        </w:r>
        <w:r>
          <w:tab/>
        </w:r>
        <w:r>
          <w:fldChar w:fldCharType="begin"/>
        </w:r>
        <w:r>
          <w:instrText xml:space="preserve"> PAGEREF _Toc1005 \h </w:instrText>
        </w:r>
        <w:r>
          <w:fldChar w:fldCharType="separate"/>
        </w:r>
        <w:r>
          <w:t>11</w:t>
        </w:r>
        <w:r>
          <w:fldChar w:fldCharType="end"/>
        </w:r>
      </w:hyperlink>
    </w:p>
    <w:p>
      <w:pPr>
        <w:pStyle w:val="TOC2"/>
        <w:tabs>
          <w:tab w:val="right" w:leader="dot" w:pos="8306"/>
        </w:tabs>
      </w:pPr>
      <w:hyperlink w:anchor="_Toc18547" w:history="1">
        <w:r>
          <w:rPr>
            <w:rFonts w:ascii="仿宋" w:eastAsia="仿宋" w:hAnsi="仿宋" w:cs="仿宋" w:hint="eastAsia"/>
            <w:lang w:eastAsia="zh-CN"/>
          </w:rPr>
          <w:t>(一)、证券登记、结算机构服务项目概况</w:t>
        </w:r>
        <w:r>
          <w:tab/>
        </w:r>
        <w:r>
          <w:fldChar w:fldCharType="begin"/>
        </w:r>
        <w:r>
          <w:instrText xml:space="preserve"> PAGEREF _Toc18547 \h </w:instrText>
        </w:r>
        <w:r>
          <w:fldChar w:fldCharType="separate"/>
        </w:r>
        <w:r>
          <w:t>11</w:t>
        </w:r>
        <w:r>
          <w:fldChar w:fldCharType="end"/>
        </w:r>
      </w:hyperlink>
    </w:p>
    <w:p>
      <w:pPr>
        <w:pStyle w:val="TOC2"/>
        <w:tabs>
          <w:tab w:val="right" w:leader="dot" w:pos="8306"/>
        </w:tabs>
      </w:pPr>
      <w:hyperlink w:anchor="_Toc22465" w:history="1">
        <w:r>
          <w:rPr>
            <w:rFonts w:ascii="仿宋" w:eastAsia="仿宋" w:hAnsi="仿宋" w:cs="仿宋" w:hint="eastAsia"/>
            <w:lang w:eastAsia="zh-CN"/>
          </w:rPr>
          <w:t>(二)、证券登记、结算机构服务项目目标</w:t>
        </w:r>
        <w:r>
          <w:tab/>
        </w:r>
        <w:r>
          <w:fldChar w:fldCharType="begin"/>
        </w:r>
        <w:r>
          <w:instrText xml:space="preserve"> PAGEREF _Toc22465 \h </w:instrText>
        </w:r>
        <w:r>
          <w:fldChar w:fldCharType="separate"/>
        </w:r>
        <w:r>
          <w:t>13</w:t>
        </w:r>
        <w:r>
          <w:fldChar w:fldCharType="end"/>
        </w:r>
      </w:hyperlink>
    </w:p>
    <w:p>
      <w:pPr>
        <w:pStyle w:val="TOC2"/>
        <w:tabs>
          <w:tab w:val="right" w:leader="dot" w:pos="8306"/>
        </w:tabs>
      </w:pPr>
      <w:hyperlink w:anchor="_Toc16994" w:history="1">
        <w:r>
          <w:rPr>
            <w:rFonts w:ascii="仿宋" w:eastAsia="仿宋" w:hAnsi="仿宋" w:cs="仿宋" w:hint="eastAsia"/>
            <w:lang w:eastAsia="zh-CN"/>
          </w:rPr>
          <w:t>(三)、证券登记、结算机构服务项目提出的理由</w:t>
        </w:r>
        <w:r>
          <w:tab/>
        </w:r>
        <w:r>
          <w:fldChar w:fldCharType="begin"/>
        </w:r>
        <w:r>
          <w:instrText xml:space="preserve"> PAGEREF _Toc16994 \h </w:instrText>
        </w:r>
        <w:r>
          <w:fldChar w:fldCharType="separate"/>
        </w:r>
        <w:r>
          <w:t>14</w:t>
        </w:r>
        <w:r>
          <w:fldChar w:fldCharType="end"/>
        </w:r>
      </w:hyperlink>
    </w:p>
    <w:p>
      <w:pPr>
        <w:pStyle w:val="TOC2"/>
        <w:tabs>
          <w:tab w:val="right" w:leader="dot" w:pos="8306"/>
        </w:tabs>
      </w:pPr>
      <w:hyperlink w:anchor="_Toc27473" w:history="1">
        <w:r>
          <w:rPr>
            <w:rFonts w:ascii="仿宋" w:eastAsia="仿宋" w:hAnsi="仿宋" w:cs="仿宋" w:hint="eastAsia"/>
            <w:lang w:eastAsia="zh-CN"/>
          </w:rPr>
          <w:t>(四)、证券登记、结算机构服务项目意义</w:t>
        </w:r>
        <w:r>
          <w:tab/>
        </w:r>
        <w:r>
          <w:fldChar w:fldCharType="begin"/>
        </w:r>
        <w:r>
          <w:instrText xml:space="preserve"> PAGEREF _Toc27473 \h </w:instrText>
        </w:r>
        <w:r>
          <w:fldChar w:fldCharType="separate"/>
        </w:r>
        <w:r>
          <w:t>16</w:t>
        </w:r>
        <w:r>
          <w:fldChar w:fldCharType="end"/>
        </w:r>
      </w:hyperlink>
    </w:p>
    <w:p>
      <w:pPr>
        <w:pStyle w:val="TOC2"/>
        <w:tabs>
          <w:tab w:val="right" w:leader="dot" w:pos="8306"/>
        </w:tabs>
      </w:pPr>
      <w:hyperlink w:anchor="_Toc24254" w:history="1">
        <w:r>
          <w:rPr>
            <w:rFonts w:ascii="仿宋" w:eastAsia="仿宋" w:hAnsi="仿宋" w:cs="仿宋" w:hint="eastAsia"/>
            <w:lang w:eastAsia="zh-CN"/>
          </w:rPr>
          <w:t>(五)、证券登记、结算机构服务项目背景</w:t>
        </w:r>
        <w:r>
          <w:tab/>
        </w:r>
        <w:r>
          <w:fldChar w:fldCharType="begin"/>
        </w:r>
        <w:r>
          <w:instrText xml:space="preserve"> PAGEREF _Toc24254 \h </w:instrText>
        </w:r>
        <w:r>
          <w:fldChar w:fldCharType="separate"/>
        </w:r>
        <w:r>
          <w:t>17</w:t>
        </w:r>
        <w:r>
          <w:fldChar w:fldCharType="end"/>
        </w:r>
      </w:hyperlink>
    </w:p>
    <w:p>
      <w:pPr>
        <w:pStyle w:val="TOC1"/>
        <w:tabs>
          <w:tab w:val="right" w:leader="dot" w:pos="8306"/>
        </w:tabs>
      </w:pPr>
      <w:hyperlink w:anchor="_Toc32699" w:history="1">
        <w:r>
          <w:rPr>
            <w:rFonts w:ascii="仿宋" w:eastAsia="仿宋" w:hAnsi="仿宋" w:cs="仿宋" w:hint="eastAsia"/>
            <w:lang w:eastAsia="zh-CN"/>
          </w:rPr>
          <w:t>五、产品规划分析</w:t>
        </w:r>
        <w:r>
          <w:tab/>
        </w:r>
        <w:r>
          <w:fldChar w:fldCharType="begin"/>
        </w:r>
        <w:r>
          <w:instrText xml:space="preserve"> PAGEREF _Toc32699 \h </w:instrText>
        </w:r>
        <w:r>
          <w:fldChar w:fldCharType="separate"/>
        </w:r>
        <w:r>
          <w:t>18</w:t>
        </w:r>
        <w:r>
          <w:fldChar w:fldCharType="end"/>
        </w:r>
      </w:hyperlink>
    </w:p>
    <w:p>
      <w:pPr>
        <w:pStyle w:val="TOC2"/>
        <w:tabs>
          <w:tab w:val="right" w:leader="dot" w:pos="8306"/>
        </w:tabs>
      </w:pPr>
      <w:hyperlink w:anchor="_Toc6435" w:history="1">
        <w:r>
          <w:rPr>
            <w:rFonts w:ascii="仿宋" w:eastAsia="仿宋" w:hAnsi="仿宋" w:cs="仿宋" w:hint="eastAsia"/>
            <w:lang w:eastAsia="zh-CN"/>
          </w:rPr>
          <w:t>(一)、产品规划</w:t>
        </w:r>
        <w:r>
          <w:tab/>
        </w:r>
        <w:r>
          <w:fldChar w:fldCharType="begin"/>
        </w:r>
        <w:r>
          <w:instrText xml:space="preserve"> PAGEREF _Toc6435 \h </w:instrText>
        </w:r>
        <w:r>
          <w:fldChar w:fldCharType="separate"/>
        </w:r>
        <w:r>
          <w:t>18</w:t>
        </w:r>
        <w:r>
          <w:fldChar w:fldCharType="end"/>
        </w:r>
      </w:hyperlink>
    </w:p>
    <w:p>
      <w:pPr>
        <w:pStyle w:val="TOC2"/>
        <w:tabs>
          <w:tab w:val="right" w:leader="dot" w:pos="8306"/>
        </w:tabs>
      </w:pPr>
      <w:hyperlink w:anchor="_Toc19776" w:history="1">
        <w:r>
          <w:rPr>
            <w:rFonts w:ascii="仿宋" w:eastAsia="仿宋" w:hAnsi="仿宋" w:cs="仿宋" w:hint="eastAsia"/>
            <w:lang w:eastAsia="zh-CN"/>
          </w:rPr>
          <w:t>(二)、建设规模</w:t>
        </w:r>
        <w:r>
          <w:tab/>
        </w:r>
        <w:r>
          <w:fldChar w:fldCharType="begin"/>
        </w:r>
        <w:r>
          <w:instrText xml:space="preserve"> PAGEREF _Toc19776 \h </w:instrText>
        </w:r>
        <w:r>
          <w:fldChar w:fldCharType="separate"/>
        </w:r>
        <w:r>
          <w:t>19</w:t>
        </w:r>
        <w:r>
          <w:fldChar w:fldCharType="end"/>
        </w:r>
      </w:hyperlink>
    </w:p>
    <w:p>
      <w:pPr>
        <w:pStyle w:val="TOC1"/>
        <w:tabs>
          <w:tab w:val="right" w:leader="dot" w:pos="8306"/>
        </w:tabs>
      </w:pPr>
      <w:hyperlink w:anchor="_Toc3997" w:history="1">
        <w:r>
          <w:rPr>
            <w:rFonts w:ascii="仿宋" w:eastAsia="仿宋" w:hAnsi="仿宋" w:cs="仿宋" w:hint="eastAsia"/>
            <w:lang w:eastAsia="zh-CN"/>
          </w:rPr>
          <w:t>六、证券登记、结算机构服务项目绩效评估</w:t>
        </w:r>
        <w:r>
          <w:tab/>
        </w:r>
        <w:r>
          <w:fldChar w:fldCharType="begin"/>
        </w:r>
        <w:r>
          <w:instrText xml:space="preserve"> PAGEREF _Toc3997 \h </w:instrText>
        </w:r>
        <w:r>
          <w:fldChar w:fldCharType="separate"/>
        </w:r>
        <w:r>
          <w:t>20</w:t>
        </w:r>
        <w:r>
          <w:fldChar w:fldCharType="end"/>
        </w:r>
      </w:hyperlink>
    </w:p>
    <w:p>
      <w:pPr>
        <w:pStyle w:val="TOC2"/>
        <w:tabs>
          <w:tab w:val="right" w:leader="dot" w:pos="8306"/>
        </w:tabs>
      </w:pPr>
      <w:hyperlink w:anchor="_Toc19803" w:history="1">
        <w:r>
          <w:rPr>
            <w:rFonts w:ascii="仿宋" w:eastAsia="仿宋" w:hAnsi="仿宋" w:cs="仿宋" w:hint="eastAsia"/>
            <w:lang w:eastAsia="zh-CN"/>
          </w:rPr>
          <w:t>(一)、绩效评估指标</w:t>
        </w:r>
        <w:r>
          <w:tab/>
        </w:r>
        <w:r>
          <w:fldChar w:fldCharType="begin"/>
        </w:r>
        <w:r>
          <w:instrText xml:space="preserve"> PAGEREF _Toc19803 \h </w:instrText>
        </w:r>
        <w:r>
          <w:fldChar w:fldCharType="separate"/>
        </w:r>
        <w:r>
          <w:t>20</w:t>
        </w:r>
        <w:r>
          <w:fldChar w:fldCharType="end"/>
        </w:r>
      </w:hyperlink>
    </w:p>
    <w:p>
      <w:pPr>
        <w:pStyle w:val="TOC2"/>
        <w:tabs>
          <w:tab w:val="right" w:leader="dot" w:pos="8306"/>
        </w:tabs>
      </w:pPr>
      <w:hyperlink w:anchor="_Toc25297" w:history="1">
        <w:r>
          <w:rPr>
            <w:rFonts w:ascii="仿宋" w:eastAsia="仿宋" w:hAnsi="仿宋" w:cs="仿宋" w:hint="eastAsia"/>
            <w:lang w:eastAsia="zh-CN"/>
          </w:rPr>
          <w:t>(二)、绩效评估方法</w:t>
        </w:r>
        <w:r>
          <w:tab/>
        </w:r>
        <w:r>
          <w:fldChar w:fldCharType="begin"/>
        </w:r>
        <w:r>
          <w:instrText xml:space="preserve"> PAGEREF _Toc25297 \h </w:instrText>
        </w:r>
        <w:r>
          <w:fldChar w:fldCharType="separate"/>
        </w:r>
        <w:r>
          <w:t>21</w:t>
        </w:r>
        <w:r>
          <w:fldChar w:fldCharType="end"/>
        </w:r>
      </w:hyperlink>
    </w:p>
    <w:p>
      <w:pPr>
        <w:pStyle w:val="TOC2"/>
        <w:tabs>
          <w:tab w:val="right" w:leader="dot" w:pos="8306"/>
        </w:tabs>
      </w:pPr>
      <w:hyperlink w:anchor="_Toc24273" w:history="1">
        <w:r>
          <w:rPr>
            <w:rFonts w:ascii="仿宋" w:eastAsia="仿宋" w:hAnsi="仿宋" w:cs="仿宋" w:hint="eastAsia"/>
            <w:lang w:eastAsia="zh-CN"/>
          </w:rPr>
          <w:t>(三)、绩效评估周期</w:t>
        </w:r>
        <w:r>
          <w:tab/>
        </w:r>
        <w:r>
          <w:fldChar w:fldCharType="begin"/>
        </w:r>
        <w:r>
          <w:instrText xml:space="preserve"> PAGEREF _Toc24273 \h </w:instrText>
        </w:r>
        <w:r>
          <w:fldChar w:fldCharType="separate"/>
        </w:r>
        <w:r>
          <w:t>22</w:t>
        </w:r>
        <w:r>
          <w:fldChar w:fldCharType="end"/>
        </w:r>
      </w:hyperlink>
    </w:p>
    <w:p>
      <w:pPr>
        <w:pStyle w:val="TOC1"/>
        <w:tabs>
          <w:tab w:val="right" w:leader="dot" w:pos="8306"/>
        </w:tabs>
      </w:pPr>
      <w:hyperlink w:anchor="_Toc31835" w:history="1">
        <w:r>
          <w:rPr>
            <w:rFonts w:ascii="仿宋" w:eastAsia="仿宋" w:hAnsi="仿宋" w:cs="仿宋" w:hint="eastAsia"/>
            <w:lang w:eastAsia="zh-CN"/>
          </w:rPr>
          <w:t>七、证券登记、结算机构服务项目社会影响</w:t>
        </w:r>
        <w:r>
          <w:tab/>
        </w:r>
        <w:r>
          <w:fldChar w:fldCharType="begin"/>
        </w:r>
        <w:r>
          <w:instrText xml:space="preserve"> PAGEREF _Toc31835 \h </w:instrText>
        </w:r>
        <w:r>
          <w:fldChar w:fldCharType="separate"/>
        </w:r>
        <w:r>
          <w:t>24</w:t>
        </w:r>
        <w:r>
          <w:fldChar w:fldCharType="end"/>
        </w:r>
      </w:hyperlink>
    </w:p>
    <w:p>
      <w:pPr>
        <w:pStyle w:val="TOC2"/>
        <w:tabs>
          <w:tab w:val="right" w:leader="dot" w:pos="8306"/>
        </w:tabs>
      </w:pPr>
      <w:hyperlink w:anchor="_Toc23310" w:history="1">
        <w:r>
          <w:rPr>
            <w:rFonts w:ascii="仿宋" w:eastAsia="仿宋" w:hAnsi="仿宋" w:cs="仿宋" w:hint="eastAsia"/>
            <w:lang w:eastAsia="zh-CN"/>
          </w:rPr>
          <w:t>(一)、社会责任与义务</w:t>
        </w:r>
        <w:r>
          <w:tab/>
        </w:r>
        <w:r>
          <w:fldChar w:fldCharType="begin"/>
        </w:r>
        <w:r>
          <w:instrText xml:space="preserve"> PAGEREF _Toc23310 \h </w:instrText>
        </w:r>
        <w:r>
          <w:fldChar w:fldCharType="separate"/>
        </w:r>
        <w:r>
          <w:t>24</w:t>
        </w:r>
        <w:r>
          <w:fldChar w:fldCharType="end"/>
        </w:r>
      </w:hyperlink>
    </w:p>
    <w:p>
      <w:pPr>
        <w:pStyle w:val="TOC2"/>
        <w:tabs>
          <w:tab w:val="right" w:leader="dot" w:pos="8306"/>
        </w:tabs>
      </w:pPr>
      <w:hyperlink w:anchor="_Toc5426" w:history="1">
        <w:r>
          <w:rPr>
            <w:rFonts w:ascii="仿宋" w:eastAsia="仿宋" w:hAnsi="仿宋" w:cs="仿宋" w:hint="eastAsia"/>
            <w:lang w:eastAsia="zh-CN"/>
          </w:rPr>
          <w:t>(二)、社会参与与沟通</w:t>
        </w:r>
        <w:r>
          <w:tab/>
        </w:r>
        <w:r>
          <w:fldChar w:fldCharType="begin"/>
        </w:r>
        <w:r>
          <w:instrText xml:space="preserve"> PAGEREF _Toc5426 \h </w:instrText>
        </w:r>
        <w:r>
          <w:fldChar w:fldCharType="separate"/>
        </w:r>
        <w:r>
          <w:t>24</w:t>
        </w:r>
        <w:r>
          <w:fldChar w:fldCharType="end"/>
        </w:r>
      </w:hyperlink>
    </w:p>
    <w:p>
      <w:pPr>
        <w:pStyle w:val="TOC1"/>
        <w:tabs>
          <w:tab w:val="right" w:leader="dot" w:pos="8306"/>
        </w:tabs>
      </w:pPr>
      <w:hyperlink w:anchor="_Toc12162" w:history="1">
        <w:r>
          <w:rPr>
            <w:rFonts w:ascii="仿宋" w:eastAsia="仿宋" w:hAnsi="仿宋" w:cs="仿宋" w:hint="eastAsia"/>
            <w:lang w:eastAsia="zh-CN"/>
          </w:rPr>
          <w:t>八、证券登记、结算机构服务项目创新与研发</w:t>
        </w:r>
        <w:r>
          <w:tab/>
        </w:r>
        <w:r>
          <w:fldChar w:fldCharType="begin"/>
        </w:r>
        <w:r>
          <w:instrText xml:space="preserve"> PAGEREF _Toc12162 \h </w:instrText>
        </w:r>
        <w:r>
          <w:fldChar w:fldCharType="separate"/>
        </w:r>
        <w:r>
          <w:t>25</w:t>
        </w:r>
        <w:r>
          <w:fldChar w:fldCharType="end"/>
        </w:r>
      </w:hyperlink>
    </w:p>
    <w:p>
      <w:pPr>
        <w:pStyle w:val="TOC2"/>
        <w:tabs>
          <w:tab w:val="right" w:leader="dot" w:pos="8306"/>
        </w:tabs>
      </w:pPr>
      <w:hyperlink w:anchor="_Toc25614" w:history="1">
        <w:r>
          <w:rPr>
            <w:rFonts w:ascii="仿宋" w:eastAsia="仿宋" w:hAnsi="仿宋" w:cs="仿宋" w:hint="eastAsia"/>
            <w:lang w:eastAsia="zh-CN"/>
          </w:rPr>
          <w:t>(一)、创新策略与方向</w:t>
        </w:r>
        <w:r>
          <w:tab/>
        </w:r>
        <w:r>
          <w:fldChar w:fldCharType="begin"/>
        </w:r>
        <w:r>
          <w:instrText xml:space="preserve"> PAGEREF _Toc25614 \h </w:instrText>
        </w:r>
        <w:r>
          <w:fldChar w:fldCharType="separate"/>
        </w:r>
        <w:r>
          <w:t>25</w:t>
        </w:r>
        <w:r>
          <w:fldChar w:fldCharType="end"/>
        </w:r>
      </w:hyperlink>
    </w:p>
    <w:p>
      <w:pPr>
        <w:pStyle w:val="TOC2"/>
        <w:tabs>
          <w:tab w:val="right" w:leader="dot" w:pos="8306"/>
        </w:tabs>
      </w:pPr>
      <w:hyperlink w:anchor="_Toc25315" w:history="1">
        <w:r>
          <w:rPr>
            <w:rFonts w:ascii="仿宋" w:eastAsia="仿宋" w:hAnsi="仿宋" w:cs="仿宋" w:hint="eastAsia"/>
            <w:lang w:eastAsia="zh-CN"/>
          </w:rPr>
          <w:t>(二)、研发规划与投入</w:t>
        </w:r>
        <w:r>
          <w:tab/>
        </w:r>
        <w:r>
          <w:fldChar w:fldCharType="begin"/>
        </w:r>
        <w:r>
          <w:instrText xml:space="preserve"> PAGEREF _Toc25315 \h </w:instrText>
        </w:r>
        <w:r>
          <w:fldChar w:fldCharType="separate"/>
        </w:r>
        <w:r>
          <w:t>27</w:t>
        </w:r>
        <w:r>
          <w:fldChar w:fldCharType="end"/>
        </w:r>
      </w:hyperlink>
    </w:p>
    <w:p>
      <w:pPr>
        <w:pStyle w:val="TOC1"/>
        <w:tabs>
          <w:tab w:val="right" w:leader="dot" w:pos="8306"/>
        </w:tabs>
      </w:pPr>
      <w:hyperlink w:anchor="_Toc23591" w:history="1">
        <w:r>
          <w:rPr>
            <w:rFonts w:ascii="仿宋" w:eastAsia="仿宋" w:hAnsi="仿宋" w:cs="仿宋" w:hint="eastAsia"/>
            <w:lang w:eastAsia="zh-CN"/>
          </w:rPr>
          <w:t>九、证券登记、结算机构服务项目经营效益</w:t>
        </w:r>
        <w:r>
          <w:tab/>
        </w:r>
        <w:r>
          <w:fldChar w:fldCharType="begin"/>
        </w:r>
        <w:r>
          <w:instrText xml:space="preserve"> PAGEREF _Toc23591 \h </w:instrText>
        </w:r>
        <w:r>
          <w:fldChar w:fldCharType="separate"/>
        </w:r>
        <w:r>
          <w:t>29</w:t>
        </w:r>
        <w:r>
          <w:fldChar w:fldCharType="end"/>
        </w:r>
      </w:hyperlink>
    </w:p>
    <w:p>
      <w:pPr>
        <w:pStyle w:val="TOC2"/>
        <w:tabs>
          <w:tab w:val="right" w:leader="dot" w:pos="8306"/>
        </w:tabs>
      </w:pPr>
      <w:hyperlink w:anchor="_Toc28028" w:history="1">
        <w:r>
          <w:rPr>
            <w:rFonts w:ascii="仿宋" w:eastAsia="仿宋" w:hAnsi="仿宋" w:cs="仿宋" w:hint="eastAsia"/>
            <w:lang w:eastAsia="zh-CN"/>
          </w:rPr>
          <w:t>(一)、经济评价财务测算</w:t>
        </w:r>
        <w:r>
          <w:tab/>
        </w:r>
        <w:r>
          <w:fldChar w:fldCharType="begin"/>
        </w:r>
        <w:r>
          <w:instrText xml:space="preserve"> PAGEREF _Toc28028 \h </w:instrText>
        </w:r>
        <w:r>
          <w:fldChar w:fldCharType="separate"/>
        </w:r>
        <w:r>
          <w:t>29</w:t>
        </w:r>
        <w:r>
          <w:fldChar w:fldCharType="end"/>
        </w:r>
      </w:hyperlink>
    </w:p>
    <w:p>
      <w:pPr>
        <w:pStyle w:val="TOC2"/>
        <w:tabs>
          <w:tab w:val="right" w:leader="dot" w:pos="8306"/>
        </w:tabs>
      </w:pPr>
      <w:hyperlink w:anchor="_Toc26313" w:history="1">
        <w:r>
          <w:rPr>
            <w:rFonts w:ascii="仿宋" w:eastAsia="仿宋" w:hAnsi="仿宋" w:cs="仿宋" w:hint="eastAsia"/>
            <w:lang w:eastAsia="zh-CN"/>
          </w:rPr>
          <w:t>(二)、证券登记、结算机构服务项目盈利能力分析</w:t>
        </w:r>
        <w:r>
          <w:tab/>
        </w:r>
        <w:r>
          <w:fldChar w:fldCharType="begin"/>
        </w:r>
        <w:r>
          <w:instrText xml:space="preserve"> PAGEREF _Toc26313 \h </w:instrText>
        </w:r>
        <w:r>
          <w:fldChar w:fldCharType="separate"/>
        </w:r>
        <w:r>
          <w:t>30</w:t>
        </w:r>
        <w:r>
          <w:fldChar w:fldCharType="end"/>
        </w:r>
      </w:hyperlink>
    </w:p>
    <w:p>
      <w:pPr>
        <w:pStyle w:val="TOC1"/>
        <w:tabs>
          <w:tab w:val="right" w:leader="dot" w:pos="8306"/>
        </w:tabs>
      </w:pPr>
      <w:hyperlink w:anchor="_Toc17648" w:history="1">
        <w:r>
          <w:rPr>
            <w:rFonts w:ascii="仿宋" w:eastAsia="仿宋" w:hAnsi="仿宋" w:cs="仿宋" w:hint="eastAsia"/>
            <w:lang w:eastAsia="zh-CN"/>
          </w:rPr>
          <w:t>十、证券登记、结算机构服务项目人力资源管理</w:t>
        </w:r>
        <w:r>
          <w:tab/>
        </w:r>
        <w:r>
          <w:fldChar w:fldCharType="begin"/>
        </w:r>
        <w:r>
          <w:instrText xml:space="preserve"> PAGEREF _Toc17648 \h </w:instrText>
        </w:r>
        <w:r>
          <w:fldChar w:fldCharType="separate"/>
        </w:r>
        <w:r>
          <w:t>31</w:t>
        </w:r>
        <w:r>
          <w:fldChar w:fldCharType="end"/>
        </w:r>
      </w:hyperlink>
    </w:p>
    <w:p>
      <w:pPr>
        <w:pStyle w:val="TOC2"/>
        <w:tabs>
          <w:tab w:val="right" w:leader="dot" w:pos="8306"/>
        </w:tabs>
      </w:pPr>
      <w:hyperlink w:anchor="_Toc5765" w:history="1">
        <w:r>
          <w:rPr>
            <w:rFonts w:ascii="仿宋" w:eastAsia="仿宋" w:hAnsi="仿宋" w:cs="仿宋" w:hint="eastAsia"/>
            <w:lang w:eastAsia="zh-CN"/>
          </w:rPr>
          <w:t>(一)、建立健全的预算管理制度</w:t>
        </w:r>
        <w:r>
          <w:tab/>
        </w:r>
        <w:r>
          <w:fldChar w:fldCharType="begin"/>
        </w:r>
        <w:r>
          <w:instrText xml:space="preserve"> PAGEREF _Toc5765 \h </w:instrText>
        </w:r>
        <w:r>
          <w:fldChar w:fldCharType="separate"/>
        </w:r>
        <w:r>
          <w:t>31</w:t>
        </w:r>
        <w:r>
          <w:fldChar w:fldCharType="end"/>
        </w:r>
      </w:hyperlink>
    </w:p>
    <w:p>
      <w:pPr>
        <w:pStyle w:val="TOC2"/>
        <w:tabs>
          <w:tab w:val="right" w:leader="dot" w:pos="8306"/>
        </w:tabs>
      </w:pPr>
      <w:hyperlink w:anchor="_Toc16153" w:history="1">
        <w:r>
          <w:rPr>
            <w:rFonts w:ascii="仿宋" w:eastAsia="仿宋" w:hAnsi="仿宋" w:cs="仿宋" w:hint="eastAsia"/>
            <w:lang w:eastAsia="zh-CN"/>
          </w:rPr>
          <w:t>(二)、加强资金流动监控</w:t>
        </w:r>
        <w:r>
          <w:tab/>
        </w:r>
        <w:r>
          <w:fldChar w:fldCharType="begin"/>
        </w:r>
        <w:r>
          <w:instrText xml:space="preserve"> PAGEREF _Toc16153 \h </w:instrText>
        </w:r>
        <w:r>
          <w:fldChar w:fldCharType="separate"/>
        </w:r>
        <w:r>
          <w:t>33</w:t>
        </w:r>
        <w:r>
          <w:fldChar w:fldCharType="end"/>
        </w:r>
      </w:hyperlink>
    </w:p>
    <w:p>
      <w:pPr>
        <w:pStyle w:val="TOC2"/>
        <w:tabs>
          <w:tab w:val="right" w:leader="dot" w:pos="8306"/>
        </w:tabs>
      </w:pPr>
      <w:hyperlink w:anchor="_Toc2323" w:history="1">
        <w:r>
          <w:rPr>
            <w:rFonts w:ascii="仿宋" w:eastAsia="仿宋" w:hAnsi="仿宋" w:cs="仿宋" w:hint="eastAsia"/>
            <w:lang w:eastAsia="zh-CN"/>
          </w:rPr>
          <w:t>(三)、制定完善的风险控制机制</w:t>
        </w:r>
        <w:r>
          <w:tab/>
        </w:r>
        <w:r>
          <w:fldChar w:fldCharType="begin"/>
        </w:r>
        <w:r>
          <w:instrText xml:space="preserve"> PAGEREF _Toc2323 \h </w:instrText>
        </w:r>
        <w:r>
          <w:fldChar w:fldCharType="separate"/>
        </w:r>
        <w:r>
          <w:t>34</w:t>
        </w:r>
        <w:r>
          <w:fldChar w:fldCharType="end"/>
        </w:r>
      </w:hyperlink>
    </w:p>
    <w:p>
      <w:pPr>
        <w:pStyle w:val="TOC2"/>
        <w:tabs>
          <w:tab w:val="right" w:leader="dot" w:pos="8306"/>
        </w:tabs>
      </w:pPr>
      <w:hyperlink w:anchor="_Toc19698" w:history="1">
        <w:r>
          <w:rPr>
            <w:rFonts w:ascii="仿宋" w:eastAsia="仿宋" w:hAnsi="仿宋" w:cs="仿宋" w:hint="eastAsia"/>
            <w:lang w:eastAsia="zh-CN"/>
          </w:rPr>
          <w:t>(四)、优化成本管理</w:t>
        </w:r>
        <w:r>
          <w:tab/>
        </w:r>
        <w:r>
          <w:fldChar w:fldCharType="begin"/>
        </w:r>
        <w:r>
          <w:instrText xml:space="preserve"> PAGEREF _Toc19698 \h </w:instrText>
        </w:r>
        <w:r>
          <w:fldChar w:fldCharType="separate"/>
        </w:r>
        <w:r>
          <w:t>36</w:t>
        </w:r>
        <w:r>
          <w:fldChar w:fldCharType="end"/>
        </w:r>
      </w:hyperlink>
    </w:p>
    <w:p>
      <w:pPr>
        <w:pStyle w:val="TOC1"/>
        <w:tabs>
          <w:tab w:val="right" w:leader="dot" w:pos="8306"/>
        </w:tabs>
      </w:pPr>
      <w:hyperlink w:anchor="_Toc5409" w:history="1">
        <w:r>
          <w:rPr>
            <w:rFonts w:ascii="仿宋" w:eastAsia="仿宋" w:hAnsi="仿宋" w:cs="仿宋" w:hint="eastAsia"/>
            <w:lang w:eastAsia="zh-CN"/>
          </w:rPr>
          <w:t>十一、证券登记、结算机构服务项目投资规划</w:t>
        </w:r>
        <w:r>
          <w:tab/>
        </w:r>
        <w:r>
          <w:fldChar w:fldCharType="begin"/>
        </w:r>
        <w:r>
          <w:instrText xml:space="preserve"> PAGEREF _Toc5409 \h </w:instrText>
        </w:r>
        <w:r>
          <w:fldChar w:fldCharType="separate"/>
        </w:r>
        <w:r>
          <w:t>37</w:t>
        </w:r>
        <w:r>
          <w:fldChar w:fldCharType="end"/>
        </w:r>
      </w:hyperlink>
    </w:p>
    <w:p>
      <w:pPr>
        <w:pStyle w:val="TOC2"/>
        <w:tabs>
          <w:tab w:val="right" w:leader="dot" w:pos="8306"/>
        </w:tabs>
      </w:pPr>
      <w:hyperlink w:anchor="_Toc21924" w:history="1">
        <w:r>
          <w:rPr>
            <w:rFonts w:ascii="仿宋" w:eastAsia="仿宋" w:hAnsi="仿宋" w:cs="仿宋" w:hint="eastAsia"/>
            <w:lang w:eastAsia="zh-CN"/>
          </w:rPr>
          <w:t>(一)、证券登记、结算机构服务项目总投资估算</w:t>
        </w:r>
        <w:r>
          <w:tab/>
        </w:r>
        <w:r>
          <w:fldChar w:fldCharType="begin"/>
        </w:r>
        <w:r>
          <w:instrText xml:space="preserve"> PAGEREF _Toc21924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8" w:history="1">
        <w:r>
          <w:rPr>
            <w:rFonts w:ascii="仿宋" w:eastAsia="仿宋" w:hAnsi="仿宋" w:cs="仿宋" w:hint="eastAsia"/>
            <w:lang w:eastAsia="zh-CN"/>
          </w:rPr>
          <w:t>(二)、资金筹措</w:t>
        </w:r>
        <w:r>
          <w:tab/>
        </w:r>
        <w:r>
          <w:fldChar w:fldCharType="begin"/>
        </w:r>
        <w:r>
          <w:instrText xml:space="preserve"> PAGEREF _Toc2968 \h </w:instrText>
        </w:r>
        <w:r>
          <w:fldChar w:fldCharType="separate"/>
        </w:r>
        <w:r>
          <w:t>38</w:t>
        </w:r>
        <w:r>
          <w:fldChar w:fldCharType="end"/>
        </w:r>
      </w:hyperlink>
    </w:p>
    <w:p>
      <w:pPr>
        <w:pStyle w:val="TOC1"/>
        <w:tabs>
          <w:tab w:val="right" w:leader="dot" w:pos="8306"/>
        </w:tabs>
      </w:pPr>
      <w:hyperlink w:anchor="_Toc31539" w:history="1">
        <w:r>
          <w:rPr>
            <w:rFonts w:ascii="仿宋" w:eastAsia="仿宋" w:hAnsi="仿宋" w:cs="仿宋" w:hint="eastAsia"/>
            <w:lang w:eastAsia="zh-CN"/>
          </w:rPr>
          <w:t>十二、证券登记、结算机构服务项目计划安排</w:t>
        </w:r>
        <w:r>
          <w:tab/>
        </w:r>
        <w:r>
          <w:fldChar w:fldCharType="begin"/>
        </w:r>
        <w:r>
          <w:instrText xml:space="preserve"> PAGEREF _Toc31539 \h </w:instrText>
        </w:r>
        <w:r>
          <w:fldChar w:fldCharType="separate"/>
        </w:r>
        <w:r>
          <w:t>39</w:t>
        </w:r>
        <w:r>
          <w:fldChar w:fldCharType="end"/>
        </w:r>
      </w:hyperlink>
    </w:p>
    <w:p>
      <w:pPr>
        <w:pStyle w:val="TOC2"/>
        <w:tabs>
          <w:tab w:val="right" w:leader="dot" w:pos="8306"/>
        </w:tabs>
      </w:pPr>
      <w:hyperlink w:anchor="_Toc20522" w:history="1">
        <w:r>
          <w:rPr>
            <w:rFonts w:ascii="仿宋" w:eastAsia="仿宋" w:hAnsi="仿宋" w:cs="仿宋" w:hint="eastAsia"/>
            <w:lang w:eastAsia="zh-CN"/>
          </w:rPr>
          <w:t>(一)、建设周期</w:t>
        </w:r>
        <w:r>
          <w:tab/>
        </w:r>
        <w:r>
          <w:fldChar w:fldCharType="begin"/>
        </w:r>
        <w:r>
          <w:instrText xml:space="preserve"> PAGEREF _Toc20522 \h </w:instrText>
        </w:r>
        <w:r>
          <w:fldChar w:fldCharType="separate"/>
        </w:r>
        <w:r>
          <w:t>39</w:t>
        </w:r>
        <w:r>
          <w:fldChar w:fldCharType="end"/>
        </w:r>
      </w:hyperlink>
    </w:p>
    <w:p>
      <w:pPr>
        <w:pStyle w:val="TOC2"/>
        <w:tabs>
          <w:tab w:val="right" w:leader="dot" w:pos="8306"/>
        </w:tabs>
      </w:pPr>
      <w:hyperlink w:anchor="_Toc7520" w:history="1">
        <w:r>
          <w:rPr>
            <w:rFonts w:ascii="仿宋" w:eastAsia="仿宋" w:hAnsi="仿宋" w:cs="仿宋" w:hint="eastAsia"/>
            <w:lang w:eastAsia="zh-CN"/>
          </w:rPr>
          <w:t>(二)、建设进度</w:t>
        </w:r>
        <w:r>
          <w:tab/>
        </w:r>
        <w:r>
          <w:fldChar w:fldCharType="begin"/>
        </w:r>
        <w:r>
          <w:instrText xml:space="preserve"> PAGEREF _Toc7520 \h </w:instrText>
        </w:r>
        <w:r>
          <w:fldChar w:fldCharType="separate"/>
        </w:r>
        <w:r>
          <w:t>40</w:t>
        </w:r>
        <w:r>
          <w:fldChar w:fldCharType="end"/>
        </w:r>
      </w:hyperlink>
    </w:p>
    <w:p>
      <w:pPr>
        <w:pStyle w:val="TOC2"/>
        <w:tabs>
          <w:tab w:val="right" w:leader="dot" w:pos="8306"/>
        </w:tabs>
      </w:pPr>
      <w:hyperlink w:anchor="_Toc27423" w:history="1">
        <w:r>
          <w:rPr>
            <w:rFonts w:ascii="仿宋" w:eastAsia="仿宋" w:hAnsi="仿宋" w:cs="仿宋" w:hint="eastAsia"/>
            <w:lang w:eastAsia="zh-CN"/>
          </w:rPr>
          <w:t>(三)、进度安排注意事项</w:t>
        </w:r>
        <w:r>
          <w:tab/>
        </w:r>
        <w:r>
          <w:fldChar w:fldCharType="begin"/>
        </w:r>
        <w:r>
          <w:instrText xml:space="preserve"> PAGEREF _Toc27423 \h </w:instrText>
        </w:r>
        <w:r>
          <w:fldChar w:fldCharType="separate"/>
        </w:r>
        <w:r>
          <w:t>41</w:t>
        </w:r>
        <w:r>
          <w:fldChar w:fldCharType="end"/>
        </w:r>
      </w:hyperlink>
    </w:p>
    <w:p>
      <w:pPr>
        <w:pStyle w:val="TOC2"/>
        <w:tabs>
          <w:tab w:val="right" w:leader="dot" w:pos="8306"/>
        </w:tabs>
      </w:pPr>
      <w:hyperlink w:anchor="_Toc21681" w:history="1">
        <w:r>
          <w:rPr>
            <w:rFonts w:ascii="仿宋" w:eastAsia="仿宋" w:hAnsi="仿宋" w:cs="仿宋" w:hint="eastAsia"/>
            <w:lang w:eastAsia="zh-CN"/>
          </w:rPr>
          <w:t>(四)、人力资源配置</w:t>
        </w:r>
        <w:r>
          <w:tab/>
        </w:r>
        <w:r>
          <w:fldChar w:fldCharType="begin"/>
        </w:r>
        <w:r>
          <w:instrText xml:space="preserve"> PAGEREF _Toc21681 \h </w:instrText>
        </w:r>
        <w:r>
          <w:fldChar w:fldCharType="separate"/>
        </w:r>
        <w:r>
          <w:t>43</w:t>
        </w:r>
        <w:r>
          <w:fldChar w:fldCharType="end"/>
        </w:r>
      </w:hyperlink>
    </w:p>
    <w:p>
      <w:pPr>
        <w:pStyle w:val="TOC1"/>
        <w:tabs>
          <w:tab w:val="right" w:leader="dot" w:pos="8306"/>
        </w:tabs>
      </w:pPr>
      <w:hyperlink w:anchor="_Toc1724" w:history="1">
        <w:r>
          <w:rPr>
            <w:rFonts w:ascii="仿宋" w:eastAsia="仿宋" w:hAnsi="仿宋" w:cs="仿宋" w:hint="eastAsia"/>
            <w:lang w:eastAsia="zh-CN"/>
          </w:rPr>
          <w:t>十三、利益相关者分析与沟通计划</w:t>
        </w:r>
        <w:r>
          <w:tab/>
        </w:r>
        <w:r>
          <w:fldChar w:fldCharType="begin"/>
        </w:r>
        <w:r>
          <w:instrText xml:space="preserve"> PAGEREF _Toc1724 \h </w:instrText>
        </w:r>
        <w:r>
          <w:fldChar w:fldCharType="separate"/>
        </w:r>
        <w:r>
          <w:t>44</w:t>
        </w:r>
        <w:r>
          <w:fldChar w:fldCharType="end"/>
        </w:r>
      </w:hyperlink>
    </w:p>
    <w:p>
      <w:pPr>
        <w:pStyle w:val="TOC2"/>
        <w:tabs>
          <w:tab w:val="right" w:leader="dot" w:pos="8306"/>
        </w:tabs>
      </w:pPr>
      <w:hyperlink w:anchor="_Toc11979" w:history="1">
        <w:r>
          <w:rPr>
            <w:rFonts w:ascii="仿宋" w:eastAsia="仿宋" w:hAnsi="仿宋" w:cs="仿宋" w:hint="eastAsia"/>
            <w:lang w:eastAsia="zh-CN"/>
          </w:rPr>
          <w:t>(一)、利益相关者分析</w:t>
        </w:r>
        <w:r>
          <w:tab/>
        </w:r>
        <w:r>
          <w:fldChar w:fldCharType="begin"/>
        </w:r>
        <w:r>
          <w:instrText xml:space="preserve"> PAGEREF _Toc11979 \h </w:instrText>
        </w:r>
        <w:r>
          <w:fldChar w:fldCharType="separate"/>
        </w:r>
        <w:r>
          <w:t>44</w:t>
        </w:r>
        <w:r>
          <w:fldChar w:fldCharType="end"/>
        </w:r>
      </w:hyperlink>
    </w:p>
    <w:p>
      <w:pPr>
        <w:pStyle w:val="TOC2"/>
        <w:tabs>
          <w:tab w:val="right" w:leader="dot" w:pos="8306"/>
        </w:tabs>
      </w:pPr>
      <w:hyperlink w:anchor="_Toc7356" w:history="1">
        <w:r>
          <w:rPr>
            <w:rFonts w:ascii="仿宋" w:eastAsia="仿宋" w:hAnsi="仿宋" w:cs="仿宋" w:hint="eastAsia"/>
            <w:lang w:eastAsia="zh-CN"/>
          </w:rPr>
          <w:t>(二)、沟通计划</w:t>
        </w:r>
        <w:r>
          <w:tab/>
        </w:r>
        <w:r>
          <w:fldChar w:fldCharType="begin"/>
        </w:r>
        <w:r>
          <w:instrText xml:space="preserve"> PAGEREF _Toc7356 \h </w:instrText>
        </w:r>
        <w:r>
          <w:fldChar w:fldCharType="separate"/>
        </w:r>
        <w:r>
          <w:t>45</w:t>
        </w:r>
        <w:r>
          <w:fldChar w:fldCharType="end"/>
        </w:r>
      </w:hyperlink>
    </w:p>
    <w:p>
      <w:pPr>
        <w:pStyle w:val="TOC1"/>
        <w:tabs>
          <w:tab w:val="right" w:leader="dot" w:pos="8306"/>
        </w:tabs>
      </w:pPr>
      <w:hyperlink w:anchor="_Toc32380" w:history="1">
        <w:r>
          <w:rPr>
            <w:rFonts w:ascii="仿宋" w:eastAsia="仿宋" w:hAnsi="仿宋" w:cs="仿宋" w:hint="eastAsia"/>
            <w:lang w:eastAsia="zh-CN"/>
          </w:rPr>
          <w:t>十四、证券登记、结算机构服务项目实施保障措施</w:t>
        </w:r>
        <w:r>
          <w:tab/>
        </w:r>
        <w:r>
          <w:fldChar w:fldCharType="begin"/>
        </w:r>
        <w:r>
          <w:instrText xml:space="preserve"> PAGEREF _Toc32380 \h </w:instrText>
        </w:r>
        <w:r>
          <w:fldChar w:fldCharType="separate"/>
        </w:r>
        <w:r>
          <w:t>46</w:t>
        </w:r>
        <w:r>
          <w:fldChar w:fldCharType="end"/>
        </w:r>
      </w:hyperlink>
    </w:p>
    <w:p>
      <w:pPr>
        <w:pStyle w:val="TOC2"/>
        <w:tabs>
          <w:tab w:val="right" w:leader="dot" w:pos="8306"/>
        </w:tabs>
      </w:pPr>
      <w:hyperlink w:anchor="_Toc31921" w:history="1">
        <w:r>
          <w:rPr>
            <w:rFonts w:ascii="仿宋" w:eastAsia="仿宋" w:hAnsi="仿宋" w:cs="仿宋" w:hint="eastAsia"/>
            <w:lang w:eastAsia="zh-CN"/>
          </w:rPr>
          <w:t>(一)、证券登记、结算机构服务项目实施保障机制</w:t>
        </w:r>
        <w:r>
          <w:tab/>
        </w:r>
        <w:r>
          <w:fldChar w:fldCharType="begin"/>
        </w:r>
        <w:r>
          <w:instrText xml:space="preserve"> PAGEREF _Toc31921 \h </w:instrText>
        </w:r>
        <w:r>
          <w:fldChar w:fldCharType="separate"/>
        </w:r>
        <w:r>
          <w:t>46</w:t>
        </w:r>
        <w:r>
          <w:fldChar w:fldCharType="end"/>
        </w:r>
      </w:hyperlink>
    </w:p>
    <w:p>
      <w:pPr>
        <w:pStyle w:val="TOC2"/>
        <w:tabs>
          <w:tab w:val="right" w:leader="dot" w:pos="8306"/>
        </w:tabs>
      </w:pPr>
      <w:hyperlink w:anchor="_Toc25891" w:history="1">
        <w:r>
          <w:rPr>
            <w:rFonts w:ascii="仿宋" w:eastAsia="仿宋" w:hAnsi="仿宋" w:cs="仿宋" w:hint="eastAsia"/>
            <w:lang w:eastAsia="zh-CN"/>
          </w:rPr>
          <w:t>(二)、证券登记、结算机构服务项目法律合规要求</w:t>
        </w:r>
        <w:r>
          <w:tab/>
        </w:r>
        <w:r>
          <w:fldChar w:fldCharType="begin"/>
        </w:r>
        <w:r>
          <w:instrText xml:space="preserve"> PAGEREF _Toc25891 \h </w:instrText>
        </w:r>
        <w:r>
          <w:fldChar w:fldCharType="separate"/>
        </w:r>
        <w:r>
          <w:t>50</w:t>
        </w:r>
        <w:r>
          <w:fldChar w:fldCharType="end"/>
        </w:r>
      </w:hyperlink>
    </w:p>
    <w:p>
      <w:pPr>
        <w:pStyle w:val="TOC2"/>
        <w:tabs>
          <w:tab w:val="right" w:leader="dot" w:pos="8306"/>
        </w:tabs>
      </w:pPr>
      <w:hyperlink w:anchor="_Toc23111" w:history="1">
        <w:r>
          <w:rPr>
            <w:rFonts w:ascii="仿宋" w:eastAsia="仿宋" w:hAnsi="仿宋" w:cs="仿宋" w:hint="eastAsia"/>
            <w:lang w:eastAsia="zh-CN"/>
          </w:rPr>
          <w:t>(三)、证券登记、结算机构服务项目合同管理与法律事务</w:t>
        </w:r>
        <w:r>
          <w:tab/>
        </w:r>
        <w:r>
          <w:fldChar w:fldCharType="begin"/>
        </w:r>
        <w:r>
          <w:instrText xml:space="preserve"> PAGEREF _Toc23111 \h </w:instrText>
        </w:r>
        <w:r>
          <w:fldChar w:fldCharType="separate"/>
        </w:r>
        <w:r>
          <w:t>55</w:t>
        </w:r>
        <w:r>
          <w:fldChar w:fldCharType="end"/>
        </w:r>
      </w:hyperlink>
    </w:p>
    <w:p>
      <w:pPr>
        <w:pStyle w:val="TOC2"/>
        <w:tabs>
          <w:tab w:val="right" w:leader="dot" w:pos="8306"/>
        </w:tabs>
      </w:pPr>
      <w:hyperlink w:anchor="_Toc10336" w:history="1">
        <w:r>
          <w:rPr>
            <w:rFonts w:ascii="仿宋" w:eastAsia="仿宋" w:hAnsi="仿宋" w:cs="仿宋" w:hint="eastAsia"/>
            <w:lang w:eastAsia="zh-CN"/>
          </w:rPr>
          <w:t>(四)、证券登记、结算机构服务项目知识产权保护策略</w:t>
        </w:r>
        <w:r>
          <w:tab/>
        </w:r>
        <w:r>
          <w:fldChar w:fldCharType="begin"/>
        </w:r>
        <w:r>
          <w:instrText xml:space="preserve"> PAGEREF _Toc10336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35"/>
      <w:r>
        <w:rPr>
          <w:rFonts w:ascii="仿宋" w:eastAsia="仿宋" w:hAnsi="仿宋" w:cs="仿宋" w:hint="eastAsia"/>
          <w:sz w:val="28"/>
          <w:lang w:eastAsia="zh-CN"/>
        </w:rPr>
        <w:t>一、证券登记、结算机构服务项目土建工程</w:t>
      </w:r>
      <w:bookmarkEnd w:id="2"/>
    </w:p>
    <w:p>
      <w:pPr>
        <w:pStyle w:val="Heading2"/>
        <w:rPr>
          <w:rFonts w:ascii="仿宋" w:eastAsia="仿宋" w:hAnsi="仿宋" w:cs="仿宋" w:hint="eastAsia"/>
          <w:lang w:eastAsia="zh-CN"/>
        </w:rPr>
      </w:pPr>
      <w:bookmarkStart w:id="3" w:name="_Toc1040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在证券登记、结算机构服务项目的建筑工程设计中，我们将秉承一系列重要的设计原则，以确保证券登记、结算机构服务项目建筑在功能、美观、可持续性等方面达到最佳效果。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首要原则是确保建筑的功能性得到最大化的发挥。我们将充分理解证券登记、结算机构服务项目的实际需求，合理布局各个功能区域，保证建筑在满足业务需求的同时，提供高效的工作环境。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在建筑设计中，我们将综合考虑建设和运营成本。通过精细的经济效益分析，确保设计方案在高效利用资源的同时，对证券登记、结算机构服务项目的长期盈利能力有积极的贡献。</w:t>
      </w:r>
    </w:p>
    <w:p>
      <w:pPr>
        <w:pStyle w:val="Heading2"/>
        <w:ind w:firstLine="560" w:firstLineChars="200"/>
        <w:rPr>
          <w:rFonts w:ascii="仿宋" w:eastAsia="仿宋" w:hAnsi="仿宋" w:cs="仿宋" w:hint="eastAsia"/>
          <w:sz w:val="28"/>
          <w:lang w:eastAsia="zh-CN"/>
        </w:rPr>
      </w:pPr>
      <w:bookmarkStart w:id="4" w:name="_Toc2949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的土建工程设计中，我们将精准设定设计年限，结合证券登记、结算机构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证券登记、结算机构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218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证券登记、结算机构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证券登记、结算机构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证券登记、结算机构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91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本期工程证券登记、结算机构服务项目预计总建筑面积XXX平方米，其中：计容建筑面积XXX平方米，计划建筑工程投资XX万元，占证券登记、结算机构服务项目总投资的XX%。</w:t>
      </w:r>
    </w:p>
    <w:p>
      <w:pPr>
        <w:pStyle w:val="Heading1"/>
        <w:ind w:firstLine="560" w:firstLineChars="200"/>
        <w:rPr>
          <w:rFonts w:ascii="仿宋" w:eastAsia="仿宋" w:hAnsi="仿宋" w:cs="仿宋" w:hint="eastAsia"/>
          <w:sz w:val="28"/>
          <w:lang w:eastAsia="zh-CN"/>
        </w:rPr>
      </w:pPr>
      <w:bookmarkStart w:id="7" w:name="_Toc24979"/>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0213"/>
      <w:r>
        <w:rPr>
          <w:rFonts w:ascii="仿宋" w:eastAsia="仿宋" w:hAnsi="仿宋" w:cs="仿宋" w:hint="eastAsia"/>
          <w:lang w:eastAsia="zh-CN"/>
        </w:rPr>
        <w:t>(一)、证券登记、结算机构服务行业分析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行业一直以来都是市场的关注焦点。行业内的发展趋势、竞争态势以及潜在机会都对证券登记、结算机构服务项目的推进产生深远的影响。通过深入研究行业的整体概貌，我们将更好地理解行业的核心特征，为证券登记、结算机构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行业，技术一直是推动创新和发展的关键因素。我们将对当前技术趋势进行详尽分析，包括但不限于人工智能、大数据应用、先进制造技术等。这有助于证券登记、结算机构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证券登记、结算机构服务项目成功的基础。我们将对主要竞争对手进行深入研究，包括其市场份额、产品特点、市场定位等。通过全面了解竞争对手的优势和劣势，证券登记、结算机构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0592"/>
      <w:r>
        <w:rPr>
          <w:rFonts w:ascii="仿宋" w:eastAsia="仿宋" w:hAnsi="仿宋" w:cs="仿宋" w:hint="eastAsia"/>
          <w:sz w:val="28"/>
          <w:lang w:eastAsia="zh-CN"/>
        </w:rPr>
        <w:t>(二)、证券登记、结算机构服务市场分析预测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证券登记、结算机构服务市场未来的增长趋势。这包括市场的整体规模、各细分领域的发展趋势等。证券登记、结算机构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证券登记、结算机构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证券登记、结算机构服务项目实施过程中需要充分考虑的因素。我们将对市场风险进行全面评估，包括但不限于政策法规风险、市场竞争风险、技术变革风险等。通过对潜在风险的深入分析，证券登记、结算机构服务项目可以制定相应的风险缓解策略，降低不确定性对证券登记、结算机构服务项目的影响。</w:t>
      </w:r>
    </w:p>
    <w:p>
      <w:pPr>
        <w:pStyle w:val="Heading1"/>
        <w:ind w:firstLine="560" w:firstLineChars="200"/>
        <w:rPr>
          <w:rFonts w:ascii="仿宋" w:eastAsia="仿宋" w:hAnsi="仿宋" w:cs="仿宋" w:hint="eastAsia"/>
          <w:sz w:val="28"/>
          <w:lang w:eastAsia="zh-CN"/>
        </w:rPr>
      </w:pPr>
      <w:bookmarkStart w:id="10" w:name="_Toc29255"/>
      <w:r>
        <w:rPr>
          <w:rFonts w:ascii="仿宋" w:eastAsia="仿宋" w:hAnsi="仿宋" w:cs="仿宋" w:hint="eastAsia"/>
          <w:sz w:val="28"/>
          <w:lang w:eastAsia="zh-CN"/>
        </w:rPr>
        <w:t>三、证券登记、结算机构服务项目危机管理</w:t>
      </w:r>
      <w:bookmarkEnd w:id="10"/>
    </w:p>
    <w:p>
      <w:pPr>
        <w:pStyle w:val="Heading2"/>
        <w:rPr>
          <w:rFonts w:ascii="仿宋" w:eastAsia="仿宋" w:hAnsi="仿宋" w:cs="仿宋" w:hint="eastAsia"/>
          <w:lang w:eastAsia="zh-CN"/>
        </w:rPr>
      </w:pPr>
      <w:bookmarkStart w:id="11" w:name="_Toc3963"/>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危机管理中，危机预警与识别是确保证券登记、结算机构服务项目稳健运行的核心步骤。通过建立全面的监测机制，证券登记、结算机构服务项目团队旨在及时发现和理解潜在的风险和危机因素，以便采取及时的预防和应对措施，确保证券登记、结算机构服务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证券登记、结算机构服务项目团队全面分析了整个证券登记、结算机构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证券登记、结算机构服务项目团队着重于明确定义证券登记、结算机构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证券登记、结算机构服务项目进展的持续监控，团队能够及时发现潜在问题并作出迅速反应。证券登记、结算机构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证券登记、结算机构服务项目得以更有序、可控地推进。</w:t>
      </w:r>
    </w:p>
    <w:p>
      <w:pPr>
        <w:pStyle w:val="Heading2"/>
        <w:ind w:firstLine="560" w:firstLineChars="200"/>
        <w:rPr>
          <w:rFonts w:ascii="仿宋" w:eastAsia="仿宋" w:hAnsi="仿宋" w:cs="仿宋" w:hint="eastAsia"/>
          <w:sz w:val="28"/>
          <w:lang w:eastAsia="zh-CN"/>
        </w:rPr>
      </w:pPr>
      <w:bookmarkStart w:id="12" w:name="_Toc28753"/>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在危机发生时，证券登记、结算机构服务项目团队立即行动，成立了应急小组。该小组的任务是迅速制定并实施紧急应对措施，以最小化潜在损失。以下是采取的主要措施：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暂停证券登记、结算机构服务项目进度：为遏制危机蔓延，证券登记、结算机构服务项目暂时停止进行，以便全面评估当前状况。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资源重新分配：重新评估证券登记、结算机构服务项目资源的分配，确保最大限度地减小损失。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实时沟通：与关键利益相关者建立实时沟通机制，向他们传递证券登记、结算机构服务项目危机的实际状况，保障证券登记、结算机构服务项目核心利益。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在紧急应对的同时，证券登记、结算机构服务项目团队强调了团队协作和有效沟通的重要性。以下是团队协作的关键举措：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信息共享机制：建立了信息共享平台，确保团队成员能够及时获取证券登记、结算机构服务项目危机的实时信息。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领导者沟通：证券登记、结算机构服务项目领导者通过定期会议和即时沟通工具，指导团队应对危机，保持团队稳定运行。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随着危机得到初步控制，证券登记、结算机构服务项目团队转向制定恢复计划，以确保证券登记、结算机构服务项目能够从中迅速恢复。主要恢复计划包括：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修复受损的进度计划：重新评估证券登记、结算机构服务项目进度，制定修复计划，确保证券登记、结算机构服务项目尽快回归正常进程。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重新调整资源分配：优化资源分配，确保证券登记、结算机构服务项目在有限资源下高效运转。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风险管理机制加强：对证券登记、结算机构服务项目风险进行全面评估，制定更强化的风险管理策略，以预防未来可能的危机。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005"/>
      <w:r>
        <w:rPr>
          <w:rFonts w:ascii="仿宋" w:eastAsia="仿宋" w:hAnsi="仿宋" w:cs="仿宋" w:hint="eastAsia"/>
          <w:sz w:val="28"/>
          <w:lang w:eastAsia="zh-CN"/>
        </w:rPr>
        <w:t>四、证券登记、结算机构服务项目概论</w:t>
      </w:r>
      <w:bookmarkEnd w:id="13"/>
    </w:p>
    <w:p>
      <w:pPr>
        <w:pStyle w:val="Heading2"/>
        <w:rPr>
          <w:rFonts w:ascii="仿宋" w:eastAsia="仿宋" w:hAnsi="仿宋" w:cs="仿宋" w:hint="eastAsia"/>
          <w:lang w:eastAsia="zh-CN"/>
        </w:rPr>
      </w:pPr>
      <w:bookmarkStart w:id="14" w:name="_Toc18547"/>
      <w:r>
        <w:rPr>
          <w:rFonts w:ascii="仿宋" w:eastAsia="仿宋" w:hAnsi="仿宋" w:cs="仿宋" w:hint="eastAsia"/>
          <w:lang w:eastAsia="zh-CN"/>
        </w:rPr>
        <w:t>(一)、证券登记、结算机构服务项目概况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起源追溯至对市场的深入洞察。市场的不断演变与变革为证券登记、结算机构服务项目提供了难得的机遇。当前市场存在的需求缺口和变革的大环境共同构成了证券登记、结算机构服务项目的背景。这个证券登记、结算机构服务项目旨在充分利用市场机遇，填补行业中尚未满足的需求，为客户提供全新的解决方案。市场的变革和需求的增长使得这个证券登记、结算机构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证券登记、结算机构服务项目名称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正式命名为证券登记、结算机构服务。这个名称不仅仅是一个标识，更代表了证券登记、结算机构服务项目的核心理念和愿景。它蕴含着证券登记、结算机构服务项目所要解决问题的关键字，具有强烈的表达和辨识度，为证券登记、结算机构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证券登记、结算机构服务项目目标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核心目标是提供一种全新、高效的解决方案，满足客户日益增长的需求。证券登记、结算机构服务项目追求的不仅仅是满足市场需求，更是在市场中获得卓越的竞争优势。通过不断提升产品或服务的质量和创新水平，证券登记、结算机构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证券登记、结算机构服务项目范围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全面涵盖了产品研发、制造、市场推广和售后服务，确保从产品设计到最终用户体验的全方位关注。这一全面的证券登记、结算机构服务项目范围是为了确保证券登记、结算机构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证券登记、结算机构服务项目时间表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计划在未来18个月内完成，包括研发、测试、市场试点和正式推出等不同阶段。这个时间表的合理设计是为了确保证券登记、结算机构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证券登记、结算机构服务项目预算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总预算估算为XX百万美元，主要分配在研发、市场推广、人员培训和运营等方面。这一充足的预算为证券登记、结算机构服务项目提供了充足的资源，确保证券登记、结算机构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证券登记、结算机构服务项目风险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可能面临的风险包括市场接受度低、技术难题、竞争激烈等。证券登记、结算机构服务项目团队已经制定了相应的风险应对计划，通过前瞻性的风险管理，确保证券登记、结算机构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证券登记、结算机构服务项目团队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汇聚了一支经验丰富、多领域专业素养的核心团队，确保证券登记、结算机构服务项目在各个方面都能拥有高水平的执行力。团队的协同作战是证券登记、结算机构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证券登记、结算机构服务项目背景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证券登记、结算机构服务项目的背景根植于市场对更高效、创新产品的渴望，同时也受到科技发展对行业格局的深刻改变的影响。这为证券登记、结算机构服务项目提供了广阔的发展空间和市场需求。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证券登记、结算机构服务项目现状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截至目前，证券登记、结算机构服务项目已完成市场调研和技术验证，取得了初步的成功。这为证券登记、结算机构服务项目在未来的发展奠定了坚实的基础，为更远大的目标打下了坚实的基石。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2465"/>
      <w:r>
        <w:rPr>
          <w:rFonts w:ascii="仿宋" w:eastAsia="仿宋" w:hAnsi="仿宋" w:cs="仿宋" w:hint="eastAsia"/>
          <w:sz w:val="28"/>
          <w:lang w:eastAsia="zh-CN"/>
        </w:rPr>
        <w:t>(二)、证券登记、结算机构服务项目目标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证券登记、结算机构服务项目首要业务目标是在市场中占据有利地位，实现产品/服务的成功推广和销售。通过不断提升产品质量、创新性，证券登记、结算机构服务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在科技迅速发展的时代，证券登记、结算机构服务项目着眼于技术创新。通过持续的研发和技术升级，证券登记、结算机构服务项目旨在推出更具创新性的产品或服务，以满足市场对新鲜、先进解决方案的需求。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证券登记、结算机构服务项目设定了客户满意度目标。通过提供卓越的产品质量和优质的客户服务，证券登记、结算机构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注重社会责任和可持续发展。通过实施环保、社会责任证券登记、结算机构服务项目，证券登记、结算机构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证券登记、结算机构服务项目的团队是实现目标的核心驱动力。因此，证券登记、结算机构服务项目设定了团队发展目标，包括提升团队成员的专业技能、培养领导力，以及搭建协同高效的团队工作氛围。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6994"/>
      <w:r>
        <w:rPr>
          <w:rFonts w:ascii="仿宋" w:eastAsia="仿宋" w:hAnsi="仿宋" w:cs="仿宋" w:hint="eastAsia"/>
          <w:sz w:val="28"/>
          <w:lang w:eastAsia="zh-CN"/>
        </w:rPr>
        <w:t>(三)、证券登记、结算机构服务项目提出的理由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证券登记、结算机构服务项目提出的理由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源于对市场机遇的深刻洞察。当前市场中存在的需求缺口和行业发展趋势表明，有巨大的商业机会等待被开发。通过准确捕捉市场机遇，证券登记、结算机构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理念基于对技术创新的信仰。通过持续的研发和技术投入，证券登记、结算机构服务项目有望推出更具创新性的产品或服务。在科技飞速发展的当下，证券登记、结算机构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是为了增强企业的行业竞争力。通过提升产品或服务的质量和独特性，证券登记、结算机构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响应了消费者需求的变化。随着社会和科技的不断发展，消费者对产品和服务的需求也在发生变化。通过深入了解并及时回应消费者的新需求，证券登记、结算机构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证券登记、结算机构服务项目的提出是企业战略发展规划的一部分。在面对日益激烈的市场竞争和不断变化的商业环境中，证券登记、结算机构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不仅仅是基于商业考量，还注重社会责任。通过推出环保、社会责任等方面的证券登记、结算机构服务项目，证券登记、结算机构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反映了对利益相关者期望的关注。包括客户、员工、投资者等利益相关者在企业发展中都有着各自的期望，证券登记、结算机构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7473"/>
      <w:r>
        <w:rPr>
          <w:rFonts w:ascii="仿宋" w:eastAsia="仿宋" w:hAnsi="仿宋" w:cs="仿宋" w:hint="eastAsia"/>
          <w:sz w:val="28"/>
          <w:lang w:eastAsia="zh-CN"/>
        </w:rPr>
        <w:t>(四)、证券登记、结算机构服务项目意义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在实施证券登记、结算机构服务项目的过程中，我们不仅仅是在追逐商业成功，更是为企业和社会的多个层面创造了深远的意义。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首要意义在于提升企业的市场竞争力。通过持续的创新和对产品质量的高标准要求，证券登记、结算机构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https://d.book118.com/265112210331011043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421892"/>
    <w:rsid w:val="464218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11221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2024-01-17T12:59:00Z</dcterms:created>
  <dcterms:modified xsi:type="dcterms:W3CDTF">2024-01-17T12:59:26Z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694A7523F0674EB0816A0D331C16A1FE_11</vt:lpwstr>
  </property>
  <property fmtid="{D5CDD505-2E9C-101B-9397-08002B2CF9AE}" pid="3" name="KSOProductBuildVer">
    <vt:lpwstr>2052-12.1.0.16120</vt:lpwstr>
  </property>
</Properties>
</file>