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29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3"/>
          <w:sz w:val="19"/>
          <w:szCs w:val="19"/>
        </w:rPr>
        <w:t>91.</w:t>
      </w:r>
      <w:r>
        <w:rPr>
          <w:spacing w:val="-2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040.99</w:t>
      </w:r>
    </w:p>
    <w:p>
      <w:pPr>
        <w:pStyle w:val="BodyText"/>
        <w:spacing w:line="203" w:lineRule="auto"/>
        <w:ind w:left="3"/>
        <w:rPr>
          <w:sz w:val="19"/>
          <w:szCs w:val="19"/>
        </w:rPr>
      </w:pPr>
      <w:r>
        <w:rPr>
          <w:spacing w:val="15"/>
          <w:w w:val="125"/>
          <w:sz w:val="19"/>
          <w:szCs w:val="19"/>
        </w:rPr>
        <w:t>P53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66" w:line="209" w:lineRule="auto"/>
        <w:ind w:right="11"/>
        <w:jc w:val="right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25"/>
          <w:sz w:val="51"/>
          <w:szCs w:val="51"/>
        </w:rPr>
        <w:t>中华人民共和国城镇建设行业标准</w:t>
      </w:r>
    </w:p>
    <w:p>
      <w:pPr>
        <w:pStyle w:val="BodyText"/>
        <w:spacing w:line="431" w:lineRule="auto"/>
      </w:pPr>
    </w:p>
    <w:p>
      <w:pPr>
        <w:pStyle w:val="BodyText"/>
        <w:spacing w:before="75" w:line="210" w:lineRule="auto"/>
        <w:ind w:left="7342"/>
        <w:rPr>
          <w:sz w:val="26"/>
          <w:szCs w:val="26"/>
        </w:rPr>
      </w:pPr>
      <w:r>
        <w:rPr>
          <w:sz w:val="26"/>
          <w:szCs w:val="26"/>
        </w:rPr>
        <w:t>CJ</w:t>
      </w:r>
      <w:r>
        <w:rPr>
          <w:spacing w:val="22"/>
          <w:sz w:val="26"/>
          <w:szCs w:val="26"/>
        </w:rPr>
        <w:t>/T483</w:t>
      </w:r>
      <w:r>
        <w:rPr>
          <w:spacing w:val="22"/>
          <w:position w:val="3"/>
          <w:sz w:val="26"/>
          <w:szCs w:val="26"/>
        </w:rPr>
        <w:t>—</w:t>
      </w:r>
      <w:r>
        <w:rPr>
          <w:spacing w:val="-45"/>
          <w:position w:val="3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2015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66" w:line="209" w:lineRule="auto"/>
        <w:ind w:left="2376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33"/>
          <w:sz w:val="51"/>
          <w:szCs w:val="51"/>
        </w:rPr>
        <w:t>埋地式垃圾收集装置</w:t>
      </w:r>
    </w:p>
    <w:p>
      <w:pPr>
        <w:pStyle w:val="BodyText"/>
        <w:spacing w:line="428" w:lineRule="auto"/>
      </w:pPr>
    </w:p>
    <w:p>
      <w:pPr>
        <w:pStyle w:val="BodyText"/>
        <w:spacing w:before="74" w:line="193" w:lineRule="auto"/>
        <w:ind w:left="2934"/>
        <w:rPr>
          <w:sz w:val="26"/>
          <w:szCs w:val="26"/>
        </w:rPr>
      </w:pPr>
      <w:r>
        <w:rPr>
          <w:spacing w:val="8"/>
          <w:sz w:val="26"/>
          <w:szCs w:val="26"/>
        </w:rPr>
        <w:t>Buried</w:t>
      </w:r>
      <w:r>
        <w:rPr>
          <w:spacing w:val="-26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garbagecollection</w:t>
      </w:r>
      <w:r>
        <w:rPr>
          <w:spacing w:val="-25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device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pgSz w:w="11900" w:h="16840"/>
          <w:pgMar w:top="769" w:right="1136" w:bottom="0" w:left="1139" w:header="0" w:footer="0" w:gutter="0"/>
          <w:cols w:num="1" w:space="708" w:equalWidth="0">
            <w:col w:w="9624" w:space="0"/>
          </w:cols>
        </w:sectPr>
      </w:pPr>
    </w:p>
    <w:p/>
    <w:p/>
    <w:p/>
    <w:p/>
    <w:p/>
    <w:p/>
    <w:p/>
    <w:p/>
    <w:p/>
    <w:p/>
    <w:p/>
    <w:p/>
    <w:p>
      <w:pPr>
        <w:sectPr>
          <w:type w:val="nextPage"/>
          <w:pgSz w:w="11900" w:h="16840"/>
          <w:pgMar w:top="769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8" w:line="171" w:lineRule="auto"/>
        <w:ind w:left="1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2015-07-</w:t>
      </w:r>
      <w:r>
        <w:rPr>
          <w:spacing w:val="5"/>
          <w:position w:val="1"/>
          <w:sz w:val="26"/>
          <w:szCs w:val="26"/>
        </w:rPr>
        <w:t>03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6" w:line="171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2016-01-</w:t>
      </w:r>
      <w:r>
        <w:rPr>
          <w:spacing w:val="5"/>
          <w:position w:val="1"/>
          <w:sz w:val="26"/>
          <w:szCs w:val="26"/>
        </w:rPr>
        <w:t>01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实施</w:t>
      </w:r>
    </w:p>
    <w:p>
      <w:pPr>
        <w:spacing w:line="171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93" w:lineRule="auto"/>
      </w:pPr>
    </w:p>
    <w:p>
      <w:pPr>
        <w:spacing w:before="94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0" w:name="bookmark4"/>
                            <w:bookmarkEnd w:id="0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0" w:name="bookmark4"/>
                      <w:bookmarkEnd w:id="0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483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before="95" w:line="209" w:lineRule="auto"/>
        <w:ind w:left="4035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264898576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05"/>
            </w:tabs>
            <w:spacing w:before="81" w:line="182" w:lineRule="auto"/>
            <w:ind w:left="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Ⅰ</w:t>
          </w:r>
        </w:p>
        <w:p>
          <w:pPr>
            <w:tabs>
              <w:tab w:val="right" w:leader="dot" w:pos="9255"/>
            </w:tabs>
            <w:spacing w:before="100" w:line="180" w:lineRule="auto"/>
            <w:ind w:left="9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99" w:line="181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规范性引用文件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102" w:line="181" w:lineRule="auto"/>
            <w:ind w:left="6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102" w:line="181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position w:val="-2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分类与结构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5"/>
            </w:tabs>
            <w:spacing w:before="101" w:line="182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 xml:space="preserve">5   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型号与标记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5"/>
            </w:tabs>
            <w:spacing w:before="97" w:line="183" w:lineRule="auto"/>
            <w:ind w:left="8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3"/>
              <w:position w:val="-2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要求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5"/>
            </w:tabs>
            <w:spacing w:before="101" w:line="179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试验方法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19"/>
                <w:position w:val="-2"/>
                <w:sz w:val="19"/>
                <w:szCs w:val="19"/>
              </w:rPr>
              <w:t>5</w:t>
            </w:r>
          </w:hyperlink>
        </w:p>
        <w:p>
          <w:pPr>
            <w:tabs>
              <w:tab w:val="right" w:leader="dot" w:pos="9257"/>
            </w:tabs>
            <w:spacing w:before="102" w:line="180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检验规则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9257"/>
            </w:tabs>
            <w:spacing w:before="102" w:line="182" w:lineRule="auto"/>
            <w:ind w:left="8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-3"/>
              <w:position w:val="-2"/>
              <w:sz w:val="19"/>
              <w:szCs w:val="19"/>
            </w:rPr>
            <w:t xml:space="preserve">9  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标志</w:t>
          </w:r>
          <w:r>
            <w:rPr>
              <w:rFonts w:ascii="Microsoft YaHei" w:eastAsia="Microsoft YaHei" w:hAnsi="Microsoft YaHei" w:cs="Microsoft YaHei"/>
              <w:spacing w:val="-2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、包装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、运输和贮存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23"/>
                <w:position w:val="-2"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9255"/>
            </w:tabs>
            <w:spacing w:before="98" w:line="179" w:lineRule="auto"/>
            <w:ind w:left="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附录 A(资料性附录)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故障分类与故障统计原则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5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2"/>
              <w:sz w:val="19"/>
              <w:szCs w:val="19"/>
            </w:rPr>
            <w:t>0</w:t>
          </w:r>
        </w:p>
      </w:sdtContent>
    </w:sdt>
    <w:p>
      <w:pPr>
        <w:spacing w:line="179" w:lineRule="auto"/>
        <w:rPr>
          <w:rFonts w:ascii="Microsoft YaHei" w:eastAsia="Microsoft YaHei" w:hAnsi="Microsoft YaHei" w:cs="Microsoft YaHei"/>
          <w:sz w:val="19"/>
          <w:szCs w:val="19"/>
        </w:rPr>
        <w:sectPr>
          <w:pgSz w:w="11906" w:h="16838"/>
          <w:pgMar w:top="1255" w:right="1297" w:bottom="0" w:left="1350" w:header="0" w:footer="0" w:gutter="0"/>
          <w:pgNumType w:start="5"/>
          <w:cols w:space="708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" w:name="bookmark5"/>
                            <w:bookmarkEnd w:id="1"/>
                            <w:bookmarkStart w:id="2" w:name="bookmark6"/>
                            <w:bookmarkEnd w:id="2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336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" w:name="bookmark5"/>
                      <w:bookmarkEnd w:id="1"/>
                      <w:bookmarkStart w:id="2" w:name="bookmark6"/>
                      <w:bookmarkEnd w:id="2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483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7" w:lineRule="auto"/>
        <w:ind w:left="357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2" w:line="17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54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7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本标准由住房和城乡建设部市容环境卫生标准化技术委员会归口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68" w:line="207" w:lineRule="auto"/>
        <w:ind w:right="28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本标准起草单位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:上海美申环境设施设备有限公司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、上海市环境工程设计科学研究院有限公司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本标准主要起草人 :王涤平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、王彦林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、王征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、刘婷婷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、李佳艺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、李林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、张大惠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。</w:t>
      </w:r>
    </w:p>
    <w:p>
      <w:pPr>
        <w:spacing w:line="207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5"/>
          <w:pgSz w:w="11906" w:h="16838"/>
          <w:pgMar w:top="1255" w:right="1301" w:bottom="1462" w:left="1771" w:header="0" w:footer="1276" w:gutter="0"/>
          <w:pgNumType w:start="6"/>
          <w:cols w:space="708"/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5408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483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51" w:lineRule="auto"/>
      </w:pPr>
    </w:p>
    <w:p>
      <w:pPr>
        <w:pStyle w:val="BodyText"/>
        <w:spacing w:line="351" w:lineRule="auto"/>
      </w:pPr>
    </w:p>
    <w:p>
      <w:pPr>
        <w:spacing w:before="94" w:line="210" w:lineRule="auto"/>
        <w:ind w:left="3209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0"/>
          <w:sz w:val="29"/>
          <w:szCs w:val="29"/>
        </w:rPr>
        <w:t>埋地式垃圾收集装置</w:t>
      </w: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81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83" w:lineRule="auto"/>
      </w:pPr>
    </w:p>
    <w:p>
      <w:pPr>
        <w:spacing w:before="82" w:line="208" w:lineRule="auto"/>
        <w:ind w:left="4" w:right="77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本标准规定了埋地式垃圾收集装置的术语和定义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、分类与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结构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、型号与标记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、要求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、试验方法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、检验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规则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、标志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。</w:t>
      </w:r>
    </w:p>
    <w:p>
      <w:pPr>
        <w:spacing w:before="68" w:line="204" w:lineRule="auto"/>
        <w:ind w:left="4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本标准适用于以 240L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660L或 110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0L塑料垃圾桶作为收集容器的埋地式垃圾收集装置的设计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制造和使用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。采用其他收集容器的收集装置参照执行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pStyle w:val="BodyText"/>
        <w:spacing w:line="302" w:lineRule="auto"/>
      </w:pPr>
    </w:p>
    <w:p>
      <w:pPr>
        <w:spacing w:before="82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75" w:lineRule="auto"/>
      </w:pPr>
    </w:p>
    <w:p>
      <w:pPr>
        <w:spacing w:before="82" w:line="206" w:lineRule="auto"/>
        <w:ind w:left="4" w:right="7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75" w:line="22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/T191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包装储运图示标志</w:t>
      </w:r>
    </w:p>
    <w:p>
      <w:pPr>
        <w:spacing w:before="1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/T699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优质碳素结构钢</w:t>
      </w:r>
    </w:p>
    <w:p>
      <w:pPr>
        <w:spacing w:before="64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4"/>
          <w:position w:val="-1"/>
          <w:sz w:val="19"/>
          <w:szCs w:val="19"/>
        </w:rPr>
        <w:t>/T700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碳素结构钢</w:t>
      </w:r>
    </w:p>
    <w:p>
      <w:pPr>
        <w:spacing w:before="69" w:line="18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3096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声环境质量标准</w:t>
      </w:r>
    </w:p>
    <w:p>
      <w:pPr>
        <w:spacing w:before="59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/T3766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液压系统通用技术条件</w:t>
      </w:r>
    </w:p>
    <w:p>
      <w:pPr>
        <w:spacing w:before="66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5226.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机械电气安全   机械电气设备    第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1部分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通用技术条件</w:t>
      </w:r>
    </w:p>
    <w:p>
      <w:pPr>
        <w:spacing w:before="45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/T7935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液压元件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通用技术条件</w:t>
      </w:r>
    </w:p>
    <w:p>
      <w:pPr>
        <w:spacing w:before="58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/T12467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1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金属材料熔焊质量要求   第</w:t>
      </w:r>
      <w:r>
        <w:rPr>
          <w:rFonts w:ascii="Microsoft YaHei" w:eastAsia="Microsoft YaHei" w:hAnsi="Microsoft YaHei" w:cs="Microsoft YaHei"/>
          <w:spacing w:val="23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1部分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:质量要求相应等级的选择准则</w:t>
      </w:r>
    </w:p>
    <w:p>
      <w:pPr>
        <w:spacing w:line="459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30" type="#_x0000_t202" style="width:324.15pt;height:25pt;margin-top:15.01pt;margin-left:-0.79pt;position:absolute;z-index:251667456" filled="f" stroked="f">
            <o:lock v:ext="edit" aspectratio="f"/>
            <v:textbox inset="0,0,0,0">
              <w:txbxContent>
                <w:p>
                  <w:pPr>
                    <w:spacing w:before="20" w:line="459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8"/>
                      <w:sz w:val="19"/>
                      <w:szCs w:val="19"/>
                    </w:rPr>
                    <w:t>件   第 1部分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9"/>
                      <w:sz w:val="19"/>
                      <w:szCs w:val="19"/>
                    </w:rPr>
                    <w:t>: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额定电压</w:t>
                  </w:r>
                  <w:r>
                    <w:rPr>
                      <w:rFonts w:ascii="Microsoft YaHei" w:eastAsia="Microsoft YaHei" w:hAnsi="Microsoft YaHei" w:cs="Microsoft YaHei"/>
                      <w:spacing w:val="22"/>
                      <w:w w:val="101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1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kV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U</w:t>
                  </w:r>
                  <w:r>
                    <w:rPr>
                      <w:rFonts w:ascii="Microsoft YaHei" w:eastAsia="Microsoft YaHei" w:hAnsi="Microsoft YaHei" w:cs="Microsoft YaHei"/>
                      <w:position w:val="5"/>
                      <w:sz w:val="10"/>
                      <w:szCs w:val="10"/>
                    </w:rPr>
                    <w:t>m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w w:val="101"/>
                      <w:position w:val="5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-28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1.</w:t>
                  </w:r>
                  <w:r>
                    <w:rPr>
                      <w:rFonts w:ascii="Microsoft YaHei" w:eastAsia="Microsoft YaHei" w:hAnsi="Microsoft YaHei" w:cs="Microsoft YaHei"/>
                      <w:spacing w:val="-28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kV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)和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w w:val="101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kV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U</w:t>
                  </w:r>
                  <w:r>
                    <w:rPr>
                      <w:rFonts w:ascii="Microsoft YaHei" w:eastAsia="Microsoft YaHei" w:hAnsi="Microsoft YaHei" w:cs="Microsoft YaHei"/>
                      <w:position w:val="5"/>
                      <w:sz w:val="10"/>
                      <w:szCs w:val="10"/>
                    </w:rPr>
                    <w:t>m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w w:val="101"/>
                      <w:position w:val="5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pacing w:val="-31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3.</w:t>
                  </w:r>
                  <w:r>
                    <w:rPr>
                      <w:rFonts w:ascii="Microsoft YaHei" w:eastAsia="Microsoft YaHei" w:hAnsi="Microsoft YaHei" w:cs="Microsoft YaHei"/>
                      <w:spacing w:val="-25"/>
                      <w:position w:val="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6</w:t>
                  </w:r>
                  <w:r>
                    <w:rPr>
                      <w:rFonts w:ascii="Microsoft YaHei" w:eastAsia="Microsoft YaHei" w:hAnsi="Microsoft YaHei" w:cs="Microsoft YaHei"/>
                      <w:position w:val="7"/>
                      <w:sz w:val="19"/>
                      <w:szCs w:val="19"/>
                    </w:rPr>
                    <w:t>kV</w:t>
                  </w:r>
                  <w:r>
                    <w:rPr>
                      <w:rFonts w:ascii="Microsoft YaHei" w:eastAsia="Microsoft YaHei" w:hAnsi="Microsoft YaHei" w:cs="Microsoft YaHei"/>
                      <w:spacing w:val="28"/>
                      <w:position w:val="7"/>
                      <w:sz w:val="19"/>
                      <w:szCs w:val="19"/>
                    </w:rPr>
                    <w:t>)电缆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position w:val="7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/T12706</w:t>
      </w:r>
      <w:r>
        <w:rPr>
          <w:rFonts w:ascii="Microsoft YaHei" w:eastAsia="Microsoft YaHei" w:hAnsi="Microsoft YaHei" w:cs="Microsoft YaHei"/>
          <w:spacing w:val="21"/>
          <w:position w:val="6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1"/>
          <w:position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6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5"/>
          <w:position w:val="6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额定电压</w:t>
      </w:r>
      <w:r>
        <w:rPr>
          <w:rFonts w:ascii="Microsoft YaHei" w:eastAsia="Microsoft YaHei" w:hAnsi="Microsoft YaHei" w:cs="Microsoft YaHei"/>
          <w:spacing w:val="33"/>
          <w:w w:val="101"/>
          <w:position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position w:val="7"/>
          <w:sz w:val="19"/>
          <w:szCs w:val="19"/>
        </w:rPr>
        <w:t>kV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position w:val="7"/>
          <w:sz w:val="19"/>
          <w:szCs w:val="19"/>
        </w:rPr>
        <w:t>U</w:t>
      </w:r>
      <w:r>
        <w:rPr>
          <w:rFonts w:ascii="Microsoft YaHei" w:eastAsia="Microsoft YaHei" w:hAnsi="Microsoft YaHei" w:cs="Microsoft YaHei"/>
          <w:position w:val="5"/>
          <w:sz w:val="10"/>
          <w:szCs w:val="10"/>
        </w:rPr>
        <w:t>m</w:t>
      </w:r>
      <w:r>
        <w:rPr>
          <w:rFonts w:ascii="Microsoft YaHei" w:eastAsia="Microsoft YaHei" w:hAnsi="Microsoft YaHei" w:cs="Microsoft YaHei"/>
          <w:spacing w:val="23"/>
          <w:w w:val="101"/>
          <w:position w:val="5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6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19"/>
          <w:position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6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18"/>
          <w:position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position w:val="7"/>
          <w:sz w:val="19"/>
          <w:szCs w:val="19"/>
        </w:rPr>
        <w:t>kV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-13"/>
          <w:position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到</w:t>
      </w:r>
      <w:r>
        <w:rPr>
          <w:rFonts w:ascii="Microsoft YaHei" w:eastAsia="Microsoft YaHei" w:hAnsi="Microsoft YaHei" w:cs="Microsoft YaHei"/>
          <w:spacing w:val="28"/>
          <w:w w:val="101"/>
          <w:position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35</w:t>
      </w:r>
      <w:r>
        <w:rPr>
          <w:rFonts w:ascii="Microsoft YaHei" w:eastAsia="Microsoft YaHei" w:hAnsi="Microsoft YaHei" w:cs="Microsoft YaHei"/>
          <w:position w:val="7"/>
          <w:sz w:val="19"/>
          <w:szCs w:val="19"/>
        </w:rPr>
        <w:t>kV</w:t>
      </w:r>
      <w:r>
        <w:rPr>
          <w:rFonts w:ascii="Microsoft YaHei" w:eastAsia="Microsoft YaHei" w:hAnsi="Microsoft YaHei" w:cs="Microsoft YaHei"/>
          <w:spacing w:val="21"/>
          <w:position w:val="7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position w:val="7"/>
          <w:sz w:val="19"/>
          <w:szCs w:val="19"/>
        </w:rPr>
        <w:t>U</w:t>
      </w:r>
      <w:r>
        <w:rPr>
          <w:rFonts w:ascii="Microsoft YaHei" w:eastAsia="Microsoft YaHei" w:hAnsi="Microsoft YaHei" w:cs="Microsoft YaHei"/>
          <w:position w:val="5"/>
          <w:sz w:val="10"/>
          <w:szCs w:val="10"/>
        </w:rPr>
        <w:t>m</w:t>
      </w:r>
      <w:r>
        <w:rPr>
          <w:rFonts w:ascii="Microsoft YaHei" w:eastAsia="Microsoft YaHei" w:hAnsi="Microsoft YaHei" w:cs="Microsoft YaHei"/>
          <w:spacing w:val="23"/>
          <w:w w:val="101"/>
          <w:position w:val="5"/>
          <w:sz w:val="10"/>
          <w:szCs w:val="10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6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25"/>
          <w:position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6"/>
          <w:sz w:val="19"/>
          <w:szCs w:val="19"/>
        </w:rPr>
        <w:t>40.</w:t>
      </w:r>
      <w:r>
        <w:rPr>
          <w:rFonts w:ascii="Microsoft YaHei" w:eastAsia="Microsoft YaHei" w:hAnsi="Microsoft YaHei" w:cs="Microsoft YaHei"/>
          <w:spacing w:val="-15"/>
          <w:position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position w:val="8"/>
          <w:sz w:val="19"/>
          <w:szCs w:val="19"/>
        </w:rPr>
        <w:t>kV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-20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挤包</w:t>
      </w:r>
      <w:r>
        <w:rPr>
          <w:rFonts w:ascii="Microsoft YaHei" w:eastAsia="Microsoft YaHei" w:hAnsi="Microsoft YaHei" w:cs="Microsoft YaHei"/>
          <w:spacing w:val="-27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绝</w:t>
      </w:r>
      <w:r>
        <w:rPr>
          <w:rFonts w:ascii="Microsoft YaHei" w:eastAsia="Microsoft YaHei" w:hAnsi="Microsoft YaHei" w:cs="Microsoft YaHei"/>
          <w:spacing w:val="-26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缘</w:t>
      </w:r>
      <w:r>
        <w:rPr>
          <w:rFonts w:ascii="Microsoft YaHei" w:eastAsia="Microsoft YaHei" w:hAnsi="Microsoft YaHei" w:cs="Microsoft YaHei"/>
          <w:spacing w:val="-9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电</w:t>
      </w:r>
      <w:r>
        <w:rPr>
          <w:rFonts w:ascii="Microsoft YaHei" w:eastAsia="Microsoft YaHei" w:hAnsi="Microsoft YaHei" w:cs="Microsoft YaHei"/>
          <w:spacing w:val="-27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力</w:t>
      </w:r>
      <w:r>
        <w:rPr>
          <w:rFonts w:ascii="Microsoft YaHei" w:eastAsia="Microsoft YaHei" w:hAnsi="Microsoft YaHei" w:cs="Microsoft YaHei"/>
          <w:spacing w:val="-9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电</w:t>
      </w:r>
      <w:r>
        <w:rPr>
          <w:rFonts w:ascii="Microsoft YaHei" w:eastAsia="Microsoft YaHei" w:hAnsi="Microsoft YaHei" w:cs="Microsoft YaHei"/>
          <w:spacing w:val="-26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缆</w:t>
      </w:r>
      <w:r>
        <w:rPr>
          <w:rFonts w:ascii="Microsoft YaHei" w:eastAsia="Microsoft YaHei" w:hAnsi="Microsoft YaHei" w:cs="Microsoft YaHei"/>
          <w:spacing w:val="-28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及</w:t>
      </w:r>
      <w:r>
        <w:rPr>
          <w:rFonts w:ascii="Microsoft YaHei" w:eastAsia="Microsoft YaHei" w:hAnsi="Microsoft YaHei" w:cs="Microsoft YaHei"/>
          <w:spacing w:val="-15"/>
          <w:position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8"/>
          <w:sz w:val="19"/>
          <w:szCs w:val="19"/>
        </w:rPr>
        <w:t>附</w:t>
      </w:r>
    </w:p>
    <w:p>
      <w:pPr>
        <w:spacing w:before="249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/T13306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标牌</w:t>
      </w:r>
    </w:p>
    <w:p>
      <w:pPr>
        <w:spacing w:before="57" w:line="232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/T13384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机电产品包装通用技术条件</w:t>
      </w:r>
    </w:p>
    <w:p>
      <w:pPr>
        <w:spacing w:before="1" w:line="183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 xml:space="preserve">19517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国家电气设备安全技术规范</w:t>
      </w:r>
    </w:p>
    <w:p>
      <w:pPr>
        <w:spacing w:before="55" w:line="22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50303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建筑电气工程施工质量验收规范</w:t>
      </w:r>
    </w:p>
    <w:p>
      <w:pPr>
        <w:spacing w:line="177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/T5946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工程机械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涂装通用技术条件</w:t>
      </w:r>
    </w:p>
    <w:p>
      <w:pPr>
        <w:pStyle w:val="BodyText"/>
        <w:spacing w:line="304" w:lineRule="auto"/>
        <w:sectPr>
          <w:footerReference w:type="default" r:id="rId6"/>
          <w:pgSz w:w="11906" w:h="16838"/>
          <w:pgMar w:top="1255" w:right="1271" w:bottom="1448" w:left="1349" w:header="0" w:footer="1260" w:gutter="0"/>
          <w:pgNumType w:start="7"/>
          <w:cols w:space="708"/>
        </w:sectPr>
      </w:pPr>
    </w:p>
    <w:p>
      <w:pPr>
        <w:spacing w:before="82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79" w:lineRule="auto"/>
      </w:pPr>
    </w:p>
    <w:p>
      <w:pPr>
        <w:spacing w:before="82" w:line="339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。</w:t>
      </w:r>
    </w:p>
    <w:p>
      <w:pPr>
        <w:spacing w:before="1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64" w:line="178" w:lineRule="auto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3"/>
          <w:position w:val="1"/>
          <w:sz w:val="19"/>
          <w:szCs w:val="19"/>
        </w:rPr>
        <w:t>埋地式垃圾收集装置</w:t>
      </w:r>
      <w:r>
        <w:rPr>
          <w:rFonts w:ascii="SimHei" w:eastAsia="SimHei" w:hAnsi="SimHei" w:cs="SimHei"/>
          <w:spacing w:val="13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buried</w:t>
      </w:r>
      <w:r>
        <w:rPr>
          <w:rFonts w:ascii="Microsoft YaHei" w:eastAsia="Microsoft YaHei" w:hAnsi="Microsoft YaHei" w:cs="Microsoft YaHei"/>
          <w:spacing w:val="-1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garbagecollection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device</w:t>
      </w:r>
    </w:p>
    <w:p>
      <w:pPr>
        <w:spacing w:before="69" w:line="209" w:lineRule="auto"/>
        <w:ind w:left="19" w:right="7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以标准垃圾桶为内胆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,主体装置置于地面以下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,并通过自身动力装置升降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,实现生活垃圾收集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、暂存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的环卫专用设备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89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3.2</w:t>
      </w:r>
    </w:p>
    <w:p>
      <w:pPr>
        <w:spacing w:before="65" w:line="179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4"/>
          <w:position w:val="1"/>
          <w:sz w:val="19"/>
          <w:szCs w:val="19"/>
        </w:rPr>
        <w:t>提升系统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liftingsystem</w:t>
      </w:r>
    </w:p>
    <w:p>
      <w:pPr>
        <w:spacing w:before="68" w:line="208" w:lineRule="auto"/>
        <w:ind w:left="5" w:right="77" w:firstLine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由升降装置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、导向机构和动力系统组成的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用于提升(下降)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塑料垃圾桶的系统装置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动力系统包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括 :液压动力单元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、液压油缸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、电缆线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、航空插头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、插座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、按钮开关等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。</w:t>
      </w:r>
    </w:p>
    <w:p>
      <w:pPr>
        <w:spacing w:line="208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type w:val="nextPage"/>
          <w:pgSz w:w="11906" w:h="16838"/>
          <w:pgMar w:top="1255" w:right="1271" w:bottom="1448" w:left="1349" w:header="0" w:footer="1260" w:gutter="0"/>
          <w:pgNumType w:start="8"/>
          <w:cols w:space="708"/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bookmarkStart w:id="3" w:name="bookmark7"/>
      <w:bookmarkEnd w:id="3"/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483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242" w:lineRule="auto"/>
      </w:pPr>
    </w:p>
    <w:p>
      <w:pPr>
        <w:spacing w:before="81"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3.3</w:t>
      </w:r>
    </w:p>
    <w:p>
      <w:pPr>
        <w:spacing w:before="62" w:line="178" w:lineRule="auto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7"/>
          <w:position w:val="1"/>
          <w:sz w:val="19"/>
          <w:szCs w:val="19"/>
        </w:rPr>
        <w:t>锁紧机构</w:t>
      </w:r>
      <w:r>
        <w:rPr>
          <w:rFonts w:ascii="SimHei" w:eastAsia="SimHei" w:hAnsi="SimHei" w:cs="SimHei"/>
          <w:spacing w:val="20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locking</w:t>
      </w:r>
      <w:r>
        <w:rPr>
          <w:rFonts w:ascii="Microsoft YaHei" w:eastAsia="Microsoft YaHei" w:hAnsi="Microsoft YaHei" w:cs="Microsoft YaHei"/>
          <w:spacing w:val="-3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machine</w:t>
      </w:r>
    </w:p>
    <w:p>
      <w:pPr>
        <w:spacing w:before="69" w:line="182" w:lineRule="auto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装置上升到位后执行锁紧定位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防止下落的机械装置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pStyle w:val="BodyText"/>
        <w:spacing w:line="299" w:lineRule="auto"/>
      </w:pPr>
    </w:p>
    <w:p>
      <w:pPr>
        <w:spacing w:before="82" w:line="196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分类与结构</w:t>
      </w:r>
    </w:p>
    <w:p>
      <w:pPr>
        <w:spacing w:before="311" w:line="189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7"/>
          <w:sz w:val="19"/>
          <w:szCs w:val="19"/>
        </w:rPr>
        <w:t>投放口数量</w:t>
      </w:r>
    </w:p>
    <w:p>
      <w:pPr>
        <w:spacing w:before="213" w:line="181" w:lineRule="auto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埋地式垃圾收集装置的投放口数量分类见表</w:t>
      </w:r>
      <w:r>
        <w:rPr>
          <w:rFonts w:ascii="Microsoft YaHei" w:eastAsia="Microsoft YaHei" w:hAnsi="Microsoft YaHei" w:cs="Microsoft YaHei"/>
          <w:spacing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1。</w:t>
      </w:r>
    </w:p>
    <w:p>
      <w:pPr>
        <w:spacing w:before="227" w:line="199" w:lineRule="auto"/>
        <w:ind w:left="2659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4"/>
          <w:sz w:val="19"/>
          <w:szCs w:val="19"/>
        </w:rPr>
        <w:t>表</w:t>
      </w:r>
      <w:r>
        <w:rPr>
          <w:rFonts w:ascii="SimHei" w:eastAsia="SimHei" w:hAnsi="SimHei" w:cs="SimHei"/>
          <w:spacing w:val="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4"/>
          <w:sz w:val="19"/>
          <w:szCs w:val="19"/>
        </w:rPr>
        <w:t>埋地式垃圾收集装置投放口数量分类</w:t>
      </w:r>
    </w:p>
    <w:p>
      <w:pPr>
        <w:spacing w:line="186" w:lineRule="exact"/>
      </w:pPr>
    </w:p>
    <w:tbl>
      <w:tblPr>
        <w:tblStyle w:val="TableNormal0"/>
        <w:tblW w:w="9222" w:type="dxa"/>
        <w:tblInd w:w="7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6" w:space="0" w:color="231F20"/>
            <w:left w:val="single" w:sz="6" w:space="0" w:color="231F20"/>
            <w:bottom w:val="single" w:sz="6" w:space="0" w:color="231F20"/>
            <w:right w:val="single" w:sz="6" w:space="0" w:color="231F20"/>
            <w:insideH w:val="single" w:sz="6" w:space="0" w:color="231F20"/>
            <w:insideV w:val="single" w:sz="6" w:space="0" w:color="231F20"/>
          </w:tblBorders>
          <w:tblLayout w:type="fixed"/>
        </w:tblPrEx>
        <w:trPr>
          <w:trHeight w:val="348"/>
        </w:trPr>
        <w:tc>
          <w:tcPr>
            <w:tcW w:w="3071" w:type="dxa"/>
            <w:tcBorders>
              <w:right w:val="single" w:sz="2" w:space="0" w:color="231F20"/>
            </w:tcBorders>
            <w:vAlign w:val="top"/>
          </w:tcPr>
          <w:p>
            <w:pPr>
              <w:pStyle w:val="TableText"/>
              <w:spacing w:before="87" w:line="184" w:lineRule="auto"/>
              <w:ind w:left="1356"/>
            </w:pPr>
            <w:r>
              <w:rPr>
                <w:spacing w:val="10"/>
              </w:rPr>
              <w:t>序号</w:t>
            </w:r>
          </w:p>
        </w:tc>
        <w:tc>
          <w:tcPr>
            <w:tcW w:w="3063" w:type="dxa"/>
            <w:tcBorders>
              <w:left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88" w:line="181" w:lineRule="auto"/>
              <w:ind w:left="1089"/>
            </w:pPr>
            <w:r>
              <w:rPr>
                <w:spacing w:val="16"/>
              </w:rPr>
              <w:t>投放口数量</w:t>
            </w:r>
          </w:p>
        </w:tc>
        <w:tc>
          <w:tcPr>
            <w:tcW w:w="3088" w:type="dxa"/>
            <w:tcBorders>
              <w:left w:val="single" w:sz="2" w:space="0" w:color="231F20"/>
            </w:tcBorders>
            <w:vAlign w:val="top"/>
          </w:tcPr>
          <w:p>
            <w:pPr>
              <w:pStyle w:val="TableText"/>
              <w:spacing w:before="88" w:line="184" w:lineRule="auto"/>
              <w:ind w:left="1372"/>
            </w:pPr>
            <w:r>
              <w:rPr>
                <w:spacing w:val="11"/>
              </w:rPr>
              <w:t>标记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1"/>
        </w:trPr>
        <w:tc>
          <w:tcPr>
            <w:tcW w:w="3071" w:type="dxa"/>
            <w:tcBorders>
              <w:bottom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08" w:line="165" w:lineRule="auto"/>
              <w:ind w:left="1497"/>
            </w:pPr>
            <w:r>
              <w:rPr>
                <w:spacing w:val="15"/>
              </w:rPr>
              <w:t>1</w:t>
            </w:r>
          </w:p>
        </w:tc>
        <w:tc>
          <w:tcPr>
            <w:tcW w:w="3063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84" w:line="184" w:lineRule="auto"/>
              <w:ind w:left="1177"/>
            </w:pPr>
            <w:r>
              <w:rPr>
                <w:spacing w:val="15"/>
              </w:rPr>
              <w:t>单投放口</w:t>
            </w:r>
          </w:p>
        </w:tc>
        <w:tc>
          <w:tcPr>
            <w:tcW w:w="3088" w:type="dxa"/>
            <w:tcBorders>
              <w:left w:val="single" w:sz="2" w:space="0" w:color="231F20"/>
              <w:bottom w:val="single" w:sz="2" w:space="0" w:color="231F20"/>
            </w:tcBorders>
            <w:vAlign w:val="top"/>
          </w:tcPr>
          <w:p>
            <w:pPr>
              <w:pStyle w:val="TableText"/>
              <w:spacing w:before="108" w:line="165" w:lineRule="auto"/>
              <w:ind w:left="1514"/>
            </w:pPr>
            <w:r>
              <w:rPr>
                <w:spacing w:val="15"/>
              </w:rPr>
              <w:t>1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9"/>
        </w:trPr>
        <w:tc>
          <w:tcPr>
            <w:tcW w:w="3071" w:type="dxa"/>
            <w:tcBorders>
              <w:top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22" w:line="165" w:lineRule="auto"/>
              <w:ind w:left="1494"/>
            </w:pPr>
            <w:r>
              <w:rPr>
                <w:spacing w:val="19"/>
              </w:rPr>
              <w:t>2</w:t>
            </w:r>
          </w:p>
        </w:tc>
        <w:tc>
          <w:tcPr>
            <w:tcW w:w="3063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01" w:line="181" w:lineRule="auto"/>
              <w:ind w:left="1180"/>
            </w:pPr>
            <w:r>
              <w:rPr>
                <w:spacing w:val="15"/>
              </w:rPr>
              <w:t>双投放口</w:t>
            </w:r>
          </w:p>
        </w:tc>
        <w:tc>
          <w:tcPr>
            <w:tcW w:w="3088" w:type="dxa"/>
            <w:tcBorders>
              <w:top w:val="single" w:sz="2" w:space="0" w:color="231F20"/>
              <w:left w:val="single" w:sz="2" w:space="0" w:color="231F20"/>
            </w:tcBorders>
            <w:vAlign w:val="top"/>
          </w:tcPr>
          <w:p>
            <w:pPr>
              <w:pStyle w:val="TableText"/>
              <w:spacing w:before="122" w:line="165" w:lineRule="auto"/>
              <w:ind w:left="1511"/>
            </w:pPr>
            <w:r>
              <w:rPr>
                <w:spacing w:val="19"/>
              </w:rPr>
              <w:t>2</w:t>
            </w:r>
          </w:p>
        </w:tc>
      </w:tr>
    </w:tbl>
    <w:p>
      <w:pPr>
        <w:pStyle w:val="BodyText"/>
        <w:spacing w:line="360" w:lineRule="auto"/>
      </w:pPr>
    </w:p>
    <w:p>
      <w:pPr>
        <w:spacing w:before="81" w:line="188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4.2   </w:t>
      </w:r>
      <w:r>
        <w:rPr>
          <w:rFonts w:ascii="SimHei" w:eastAsia="SimHei" w:hAnsi="SimHei" w:cs="SimHei"/>
          <w:spacing w:val="11"/>
          <w:sz w:val="19"/>
          <w:szCs w:val="19"/>
        </w:rPr>
        <w:t>投放口形式</w:t>
      </w:r>
    </w:p>
    <w:p>
      <w:pPr>
        <w:spacing w:before="213" w:line="182" w:lineRule="auto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埋地式垃圾收集装置的投放口形式分类见表 2。</w:t>
      </w:r>
    </w:p>
    <w:p>
      <w:pPr>
        <w:spacing w:before="227" w:line="184" w:lineRule="auto"/>
        <w:ind w:left="2659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5"/>
          <w:sz w:val="19"/>
          <w:szCs w:val="19"/>
        </w:rPr>
        <w:t>表</w:t>
      </w:r>
      <w:r>
        <w:rPr>
          <w:rFonts w:ascii="SimHei" w:eastAsia="SimHei" w:hAnsi="SimHei" w:cs="SimHei"/>
          <w:spacing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5"/>
          <w:sz w:val="19"/>
          <w:szCs w:val="19"/>
        </w:rPr>
        <w:t>埋地式垃圾收集装置投放口形式分类</w:t>
      </w:r>
    </w:p>
    <w:p>
      <w:pPr>
        <w:spacing w:line="206" w:lineRule="exact"/>
      </w:pPr>
    </w:p>
    <w:tbl>
      <w:tblPr>
        <w:tblStyle w:val="TableNormal0"/>
        <w:tblW w:w="9222" w:type="dxa"/>
        <w:tblInd w:w="7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6" w:space="0" w:color="231F20"/>
            <w:left w:val="single" w:sz="6" w:space="0" w:color="231F20"/>
            <w:bottom w:val="single" w:sz="6" w:space="0" w:color="231F20"/>
            <w:right w:val="single" w:sz="6" w:space="0" w:color="231F20"/>
            <w:insideH w:val="single" w:sz="6" w:space="0" w:color="231F20"/>
            <w:insideV w:val="single" w:sz="6" w:space="0" w:color="231F20"/>
          </w:tblBorders>
          <w:tblLayout w:type="fixed"/>
        </w:tblPrEx>
        <w:trPr>
          <w:trHeight w:val="348"/>
        </w:trPr>
        <w:tc>
          <w:tcPr>
            <w:tcW w:w="3071" w:type="dxa"/>
            <w:tcBorders>
              <w:right w:val="single" w:sz="2" w:space="0" w:color="231F20"/>
            </w:tcBorders>
            <w:vAlign w:val="top"/>
          </w:tcPr>
          <w:p>
            <w:pPr>
              <w:pStyle w:val="TableText"/>
              <w:spacing w:before="87" w:line="184" w:lineRule="auto"/>
              <w:ind w:left="1356"/>
            </w:pPr>
            <w:r>
              <w:rPr>
                <w:spacing w:val="10"/>
              </w:rPr>
              <w:t>序号</w:t>
            </w:r>
          </w:p>
        </w:tc>
        <w:tc>
          <w:tcPr>
            <w:tcW w:w="3063" w:type="dxa"/>
            <w:tcBorders>
              <w:left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88" w:line="182" w:lineRule="auto"/>
              <w:ind w:left="908"/>
            </w:pPr>
            <w:r>
              <w:rPr>
                <w:spacing w:val="17"/>
              </w:rPr>
              <w:t>投放口启闭形式</w:t>
            </w:r>
          </w:p>
        </w:tc>
        <w:tc>
          <w:tcPr>
            <w:tcW w:w="3088" w:type="dxa"/>
            <w:tcBorders>
              <w:left w:val="single" w:sz="2" w:space="0" w:color="231F20"/>
            </w:tcBorders>
            <w:vAlign w:val="top"/>
          </w:tcPr>
          <w:p>
            <w:pPr>
              <w:pStyle w:val="TableText"/>
              <w:spacing w:before="88" w:line="184" w:lineRule="auto"/>
              <w:ind w:left="1372"/>
            </w:pPr>
            <w:r>
              <w:rPr>
                <w:spacing w:val="11"/>
              </w:rPr>
              <w:t>标记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1"/>
        </w:trPr>
        <w:tc>
          <w:tcPr>
            <w:tcW w:w="3071" w:type="dxa"/>
            <w:tcBorders>
              <w:bottom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08" w:line="165" w:lineRule="auto"/>
              <w:ind w:left="1497"/>
            </w:pPr>
            <w:r>
              <w:rPr>
                <w:spacing w:val="15"/>
              </w:rPr>
              <w:t>1</w:t>
            </w:r>
          </w:p>
        </w:tc>
        <w:tc>
          <w:tcPr>
            <w:tcW w:w="3063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85" w:line="183" w:lineRule="auto"/>
              <w:ind w:left="1177"/>
            </w:pPr>
            <w:r>
              <w:rPr>
                <w:spacing w:val="15"/>
              </w:rPr>
              <w:t>旋转启闭</w:t>
            </w:r>
          </w:p>
        </w:tc>
        <w:tc>
          <w:tcPr>
            <w:tcW w:w="3088" w:type="dxa"/>
            <w:tcBorders>
              <w:left w:val="single" w:sz="2" w:space="0" w:color="231F20"/>
              <w:bottom w:val="single" w:sz="2" w:space="0" w:color="231F20"/>
            </w:tcBorders>
            <w:vAlign w:val="top"/>
          </w:tcPr>
          <w:p>
            <w:pPr>
              <w:pStyle w:val="TableText"/>
              <w:spacing w:before="106" w:line="168" w:lineRule="auto"/>
              <w:ind w:left="1493"/>
            </w:pPr>
            <w:r>
              <w:rPr>
                <w:spacing w:val="8"/>
                <w:w w:val="126"/>
              </w:rPr>
              <w:t>X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9"/>
        </w:trPr>
        <w:tc>
          <w:tcPr>
            <w:tcW w:w="3071" w:type="dxa"/>
            <w:tcBorders>
              <w:top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23" w:line="165" w:lineRule="auto"/>
              <w:ind w:left="1494"/>
            </w:pPr>
            <w:r>
              <w:rPr>
                <w:spacing w:val="19"/>
              </w:rPr>
              <w:t>2</w:t>
            </w:r>
          </w:p>
        </w:tc>
        <w:tc>
          <w:tcPr>
            <w:tcW w:w="3063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02" w:line="182" w:lineRule="auto"/>
              <w:ind w:left="1178"/>
            </w:pPr>
            <w:r>
              <w:rPr>
                <w:spacing w:val="15"/>
              </w:rPr>
              <w:t>摆动启闭</w:t>
            </w:r>
          </w:p>
        </w:tc>
        <w:tc>
          <w:tcPr>
            <w:tcW w:w="3088" w:type="dxa"/>
            <w:tcBorders>
              <w:top w:val="single" w:sz="2" w:space="0" w:color="231F20"/>
              <w:left w:val="single" w:sz="2" w:space="0" w:color="231F20"/>
            </w:tcBorders>
            <w:vAlign w:val="top"/>
          </w:tcPr>
          <w:p>
            <w:pPr>
              <w:pStyle w:val="TableText"/>
              <w:spacing w:before="121" w:line="166" w:lineRule="auto"/>
              <w:ind w:left="1499"/>
            </w:pPr>
            <w:r>
              <w:rPr>
                <w:spacing w:val="16"/>
                <w:w w:val="115"/>
              </w:rPr>
              <w:t>B</w:t>
            </w:r>
          </w:p>
        </w:tc>
      </w:tr>
    </w:tbl>
    <w:p>
      <w:pPr>
        <w:pStyle w:val="BodyText"/>
        <w:spacing w:line="359" w:lineRule="auto"/>
      </w:pPr>
    </w:p>
    <w:p>
      <w:pPr>
        <w:spacing w:before="82" w:line="191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4.3   </w:t>
      </w:r>
      <w:r>
        <w:rPr>
          <w:rFonts w:ascii="SimHei" w:eastAsia="SimHei" w:hAnsi="SimHei" w:cs="SimHei"/>
          <w:spacing w:val="10"/>
          <w:sz w:val="19"/>
          <w:szCs w:val="19"/>
        </w:rPr>
        <w:t>主体结构</w:t>
      </w:r>
    </w:p>
    <w:p>
      <w:pPr>
        <w:spacing w:before="207" w:line="184" w:lineRule="auto"/>
        <w:ind w:left="437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8"/>
          <w:pgSz w:w="11906" w:h="16838"/>
          <w:pgMar w:top="1255" w:right="1334" w:bottom="1448" w:left="1334" w:header="0" w:footer="1260" w:gutter="0"/>
          <w:pgNumType w:start="9"/>
          <w:cols w:space="708"/>
        </w:sectPr>
      </w:pP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column">
                  <wp:posOffset>2652090</wp:posOffset>
                </wp:positionH>
                <wp:positionV relativeFrom="paragraph">
                  <wp:posOffset>-34126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52090" y="-34126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1" type="#_x0000_t202" style="width:12.45pt;height:18.95pt;margin-top:-2.69pt;margin-left:208.83pt;mso-wrap-distance-bottom:0;mso-wrap-distance-left:0;mso-wrap-distance-right:0;mso-wrap-distance-top:0;position:absolute;rotation:300;v-text-anchor:top;z-index:251668480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埋地式垃圾收集装置见图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1,包括投放口装置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、垃圾桶存放装置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、壳体和升降装置等主要部分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61" w:line="3851" w:lineRule="exact"/>
        <w:ind w:firstLine="1515"/>
      </w:pPr>
      <w:r>
        <w:rPr>
          <w:position w:val="-77"/>
        </w:rPr>
        <w:drawing>
          <wp:inline distT="0" distB="0" distL="0" distR="0">
            <wp:extent cx="3939806" cy="244497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39806" cy="244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</w:pPr>
    </w:p>
    <w:p>
      <w:pPr>
        <w:spacing w:before="69" w:line="171" w:lineRule="auto"/>
        <w:ind w:left="3191"/>
        <w:rPr>
          <w:rFonts w:ascii="SimHei" w:eastAsia="SimHei" w:hAnsi="SimHei" w:cs="Sim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6"/>
          <w:position w:val="-2"/>
          <w:sz w:val="16"/>
          <w:szCs w:val="16"/>
        </w:rPr>
        <w:t>a</w:t>
      </w:r>
      <w:r>
        <w:rPr>
          <w:rFonts w:ascii="Microsoft YaHei" w:eastAsia="Microsoft YaHei" w:hAnsi="Microsoft YaHei" w:cs="Microsoft YaHei"/>
          <w:spacing w:val="6"/>
          <w:sz w:val="16"/>
          <w:szCs w:val="16"/>
        </w:rPr>
        <w:t xml:space="preserve">)    </w:t>
      </w:r>
      <w:r>
        <w:rPr>
          <w:rFonts w:ascii="SimHei" w:eastAsia="SimHei" w:hAnsi="SimHei" w:cs="SimHei"/>
          <w:spacing w:val="6"/>
          <w:sz w:val="16"/>
          <w:szCs w:val="16"/>
        </w:rPr>
        <w:t>正视图</w:t>
      </w:r>
      <w:r>
        <w:rPr>
          <w:rFonts w:ascii="SimHei" w:eastAsia="SimHei" w:hAnsi="SimHei" w:cs="SimHei"/>
          <w:spacing w:val="3"/>
          <w:sz w:val="16"/>
          <w:szCs w:val="16"/>
        </w:rPr>
        <w:t xml:space="preserve">                      </w:t>
      </w:r>
      <w:r>
        <w:rPr>
          <w:rFonts w:ascii="Microsoft YaHei" w:eastAsia="Microsoft YaHei" w:hAnsi="Microsoft YaHei" w:cs="Microsoft YaHei"/>
          <w:spacing w:val="6"/>
          <w:sz w:val="16"/>
          <w:szCs w:val="16"/>
        </w:rPr>
        <w:t xml:space="preserve">b)    </w:t>
      </w:r>
      <w:r>
        <w:rPr>
          <w:rFonts w:ascii="SimHei" w:eastAsia="SimHei" w:hAnsi="SimHei" w:cs="SimHei"/>
          <w:spacing w:val="6"/>
          <w:sz w:val="16"/>
          <w:szCs w:val="16"/>
        </w:rPr>
        <w:t>侧视图</w:t>
      </w:r>
    </w:p>
    <w:p>
      <w:pPr>
        <w:spacing w:before="206" w:line="198" w:lineRule="auto"/>
        <w:ind w:left="267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4"/>
          <w:sz w:val="19"/>
          <w:szCs w:val="19"/>
        </w:rPr>
        <w:t>图</w:t>
      </w:r>
      <w:r>
        <w:rPr>
          <w:rFonts w:ascii="SimHei" w:eastAsia="SimHei" w:hAnsi="SimHei" w:cs="SimHei"/>
          <w:spacing w:val="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4"/>
          <w:sz w:val="19"/>
          <w:szCs w:val="19"/>
        </w:rPr>
        <w:t>埋地式垃圾收集装置主体结构</w:t>
      </w:r>
      <w:r>
        <w:rPr>
          <w:rFonts w:ascii="SimHei" w:eastAsia="SimHei" w:hAnsi="SimHei" w:cs="SimHei"/>
          <w:spacing w:val="13"/>
          <w:sz w:val="19"/>
          <w:szCs w:val="19"/>
        </w:rPr>
        <w:t>示意图</w:t>
      </w:r>
    </w:p>
    <w:p>
      <w:pPr>
        <w:spacing w:line="198" w:lineRule="auto"/>
        <w:rPr>
          <w:rFonts w:ascii="SimHei" w:eastAsia="SimHei" w:hAnsi="SimHei" w:cs="SimHei"/>
          <w:sz w:val="19"/>
          <w:szCs w:val="19"/>
        </w:rPr>
        <w:sectPr>
          <w:footerReference w:type="default" r:id="rId10"/>
          <w:type w:val="nextPage"/>
          <w:pgSz w:w="11906" w:h="16838"/>
          <w:pgMar w:top="1255" w:right="1334" w:bottom="1448" w:left="1334" w:header="0" w:footer="1260" w:gutter="0"/>
          <w:pgNumType w:start="10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rect id="_x0000_s1032" style="width:0.3pt;height:8.1pt;margin-top:455.88pt;margin-left:189.69pt;mso-position-horizontal-relative:page;mso-position-vertical-relative:page;position:absolute;z-index:251678720" o:allowincell="f" filled="t" fillcolor="#231f20" stroked="f"/>
        </w:pict>
      </w:r>
      <w:r>
        <w:pict>
          <v:rect id="_x0000_s1033" style="width:0.3pt;height:8.1pt;margin-top:455.88pt;margin-left:197.74pt;mso-position-horizontal-relative:page;mso-position-vertical-relative:page;position:absolute;z-index:251677696" o:allowincell="f" filled="t" fillcolor="#231f20" stroked="f"/>
        </w:pict>
      </w:r>
      <w:r>
        <w:pict>
          <v:rect id="_x0000_s1034" style="width:31.45pt;height:0.35pt;margin-top:480.75pt;margin-left:193.91pt;mso-position-horizontal-relative:page;mso-position-vertical-relative:page;position:absolute;z-index:251676672" o:allowincell="f" filled="t" fillcolor="#231f20" stroked="f"/>
        </w:pict>
      </w:r>
      <w:r>
        <w:pict>
          <v:shape id="_x0000_s1035" style="width:8.35pt;height:8.35pt;margin-top:455.74pt;margin-left:170.48pt;mso-position-horizontal-relative:page;mso-position-vertical-relative:page;position:absolute;z-index:251675648" coordorigin="0,0" coordsize="167,167" o:allowincell="f" path="m2,2l163,2l163,163l2,163l2,2xe" filled="f" strokecolor="#231f20" strokeweight="0.29pt">
            <v:stroke joinstyle="miter"/>
          </v:shape>
        </w:pict>
      </w:r>
      <w:r>
        <w:pict>
          <v:group id="_x0000_s1036" style="width:8.1pt;height:25.2pt;margin-top:455.74pt;margin-left:189.83pt;mso-position-horizontal-relative:page;mso-position-vertical-relative:page;position:absolute;z-index:251674624" coordorigin="0,0" coordsize="162,504" o:allowincell="f" filled="f" stroked="f">
            <v:shape id="_x0000_s1037" style="width:162;height:167;position:absolute" coordorigin="0,0" coordsize="162,167" path="m,2l161,2m161,163l,163e" filled="f" strokecolor="#231f20" strokeweight="0.29pt">
              <v:stroke joinstyle="miter"/>
            </v:shape>
            <v:shape id="_x0000_s1038" style="width:6;height:315;left:78;position:absolute;top:189" coordorigin="0,0" coordsize="6,315" path="m3,l3,314e" filled="f" strokecolor="#231f20" strokeweight="0.33pt">
              <v:stroke joinstyle="miter"/>
            </v:shape>
          </v:group>
        </w:pict>
      </w:r>
      <w:r>
        <w:pict>
          <v:shape id="_x0000_s1039" style="width:29.35pt;height:8.35pt;margin-top:455.74pt;margin-left:128.56pt;mso-position-horizontal-relative:page;mso-position-vertical-relative:page;position:absolute;z-index:251673600" coordorigin="0,0" coordsize="587,167" o:allowincell="f" path="m2,2l163,2l163,163l2,163l2,2xm422,2l583,2l583,163l422,163l422,2xe" filled="f" strokecolor="#231f20" strokeweight="0.29pt">
            <v:stroke joinstyle="miter"/>
          </v:shape>
        </w:pict>
      </w:r>
      <w:r>
        <w:pict>
          <v:shape id="_x0000_s1040" style="width:91.9pt;height:63.05pt;margin-top:465.2pt;margin-left:132.62pt;mso-position-horizontal-relative:page;mso-position-vertical-relative:page;position:absolute;z-index:251670528" coordorigin="0,0" coordsize="1838,1260" o:allowincell="f" path="m3,l3,1257m3,1257l1837,1257e" filled="f" strokecolor="#231f20" strokeweight="0.33pt">
            <v:stroke joinstyle="miter"/>
          </v:shape>
        </w:pict>
      </w:r>
      <w:r>
        <w:pict>
          <v:shape id="_x0000_s1041" style="width:70.95pt;height:47.35pt;margin-top:465.2pt;margin-left:153.57pt;mso-position-horizontal-relative:page;mso-position-vertical-relative:page;position:absolute;z-index:251671552" coordorigin="0,0" coordsize="1418,946" o:allowincell="f" path="m3,l3,943m3,943l1418,943e" filled="f" strokecolor="#231f20" strokeweight="0.33pt">
            <v:stroke joinstyle="miter"/>
          </v:shape>
        </w:pict>
      </w:r>
      <w:r>
        <w:pict>
          <v:shape id="_x0000_s1042" style="width:49.95pt;height:31.65pt;margin-top:465.2pt;margin-left:174.53pt;mso-position-horizontal-relative:page;mso-position-vertical-relative:page;position:absolute;z-index:251672576" coordorigin="0,0" coordsize="999,632" o:allowincell="f" path="m3,l3,628m3,628l998,628e" filled="f" strokecolor="#231f20" strokeweight="0.33pt">
            <v:stroke joinstyle="miter"/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483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line="296" w:lineRule="auto"/>
      </w:pPr>
    </w:p>
    <w:p>
      <w:pPr>
        <w:spacing w:line="1958" w:lineRule="exact"/>
        <w:ind w:firstLine="3048"/>
      </w:pPr>
      <w:r>
        <w:rPr>
          <w:position w:val="-39"/>
        </w:rPr>
        <w:drawing>
          <wp:inline distT="0" distB="0" distL="0" distR="0">
            <wp:extent cx="1972983" cy="124343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72983" cy="124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5" w:line="171" w:lineRule="auto"/>
        <w:ind w:left="4171"/>
        <w:rPr>
          <w:rFonts w:ascii="SimHei" w:eastAsia="SimHei" w:hAnsi="SimHei" w:cs="Sim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6"/>
          <w:szCs w:val="16"/>
        </w:rPr>
        <w:t>c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 xml:space="preserve">)    </w:t>
      </w:r>
      <w:r>
        <w:rPr>
          <w:rFonts w:ascii="SimHei" w:eastAsia="SimHei" w:hAnsi="SimHei" w:cs="SimHei"/>
          <w:spacing w:val="7"/>
          <w:sz w:val="16"/>
          <w:szCs w:val="16"/>
        </w:rPr>
        <w:t>俯视图</w:t>
      </w:r>
    </w:p>
    <w:p>
      <w:pPr>
        <w:spacing w:before="66" w:line="182" w:lineRule="auto"/>
        <w:ind w:left="362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说明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:</w:t>
      </w:r>
    </w:p>
    <w:p>
      <w:pPr>
        <w:pStyle w:val="BodyText"/>
        <w:spacing w:before="74" w:line="184" w:lineRule="auto"/>
        <w:ind w:left="369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3"/>
          <w:w w:val="121"/>
          <w:position w:val="-1"/>
          <w:sz w:val="16"/>
          <w:szCs w:val="16"/>
        </w:rPr>
        <w:t xml:space="preserve">1 </w:t>
      </w:r>
      <w:r>
        <w:rPr>
          <w:b/>
          <w:bCs/>
          <w:spacing w:val="13"/>
          <w:w w:val="121"/>
          <w:sz w:val="16"/>
          <w:szCs w:val="16"/>
        </w:rPr>
        <w:t>—</w:t>
      </w:r>
      <w:r>
        <w:rPr>
          <w:b/>
          <w:bCs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w w:val="121"/>
          <w:sz w:val="16"/>
          <w:szCs w:val="16"/>
        </w:rPr>
        <w:t>投放口;</w:t>
      </w:r>
      <w:r>
        <w:rPr>
          <w:rFonts w:ascii="Microsoft YaHei" w:eastAsia="Microsoft YaHei" w:hAnsi="Microsoft YaHei" w:cs="Microsoft YaHei"/>
          <w:spacing w:val="1"/>
          <w:sz w:val="16"/>
          <w:szCs w:val="16"/>
        </w:rPr>
        <w:t xml:space="preserve">                                          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                               </w:t>
      </w:r>
      <w:r>
        <w:rPr>
          <w:rFonts w:ascii="Microsoft YaHei" w:eastAsia="Microsoft YaHei" w:hAnsi="Microsoft YaHei" w:cs="Microsoft YaHei"/>
          <w:spacing w:val="13"/>
          <w:w w:val="121"/>
          <w:position w:val="-1"/>
          <w:sz w:val="16"/>
          <w:szCs w:val="16"/>
        </w:rPr>
        <w:t xml:space="preserve">9 </w:t>
      </w:r>
      <w:r>
        <w:rPr>
          <w:b/>
          <w:bCs/>
          <w:spacing w:val="13"/>
          <w:w w:val="121"/>
          <w:sz w:val="16"/>
          <w:szCs w:val="16"/>
        </w:rPr>
        <w:t>—</w:t>
      </w:r>
      <w:r>
        <w:rPr>
          <w:b/>
          <w:bCs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w w:val="121"/>
          <w:sz w:val="16"/>
          <w:szCs w:val="16"/>
        </w:rPr>
        <w:t>密封条槽板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w w:val="121"/>
          <w:sz w:val="16"/>
          <w:szCs w:val="16"/>
        </w:rPr>
        <w:t>;</w:t>
      </w:r>
    </w:p>
    <w:p>
      <w:pPr>
        <w:pStyle w:val="BodyText"/>
        <w:spacing w:before="65" w:line="184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1"/>
          <w:w w:val="118"/>
          <w:position w:val="-1"/>
          <w:sz w:val="16"/>
          <w:szCs w:val="16"/>
        </w:rPr>
        <w:t xml:space="preserve">2 </w:t>
      </w:r>
      <w:r>
        <w:rPr>
          <w:b/>
          <w:bCs/>
          <w:spacing w:val="11"/>
          <w:w w:val="118"/>
          <w:sz w:val="16"/>
          <w:szCs w:val="16"/>
        </w:rPr>
        <w:t>—</w:t>
      </w:r>
      <w:r>
        <w:rPr>
          <w:b/>
          <w:bCs/>
          <w:spacing w:val="-2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18"/>
          <w:sz w:val="16"/>
          <w:szCs w:val="16"/>
        </w:rPr>
        <w:t>投放口外壳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18"/>
          <w:sz w:val="16"/>
          <w:szCs w:val="16"/>
        </w:rPr>
        <w:t>;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                                                                  </w:t>
      </w:r>
      <w:r>
        <w:rPr>
          <w:rFonts w:ascii="Microsoft YaHei" w:eastAsia="Microsoft YaHei" w:hAnsi="Microsoft YaHei" w:cs="Microsoft YaHei"/>
          <w:spacing w:val="11"/>
          <w:w w:val="118"/>
          <w:position w:val="-1"/>
          <w:sz w:val="16"/>
          <w:szCs w:val="16"/>
        </w:rPr>
        <w:t>10</w:t>
      </w:r>
      <w:r>
        <w:rPr>
          <w:b/>
          <w:bCs/>
          <w:spacing w:val="11"/>
          <w:w w:val="118"/>
          <w:sz w:val="16"/>
          <w:szCs w:val="16"/>
        </w:rPr>
        <w:t>—</w:t>
      </w:r>
      <w:r>
        <w:rPr>
          <w:b/>
          <w:bCs/>
          <w:spacing w:val="-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18"/>
          <w:sz w:val="16"/>
          <w:szCs w:val="16"/>
        </w:rPr>
        <w:t>密封条</w:t>
      </w:r>
      <w:r>
        <w:rPr>
          <w:rFonts w:ascii="Microsoft YaHei" w:eastAsia="Microsoft YaHei" w:hAnsi="Microsoft YaHei" w:cs="Microsoft YaHei"/>
          <w:spacing w:val="-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18"/>
          <w:sz w:val="16"/>
          <w:szCs w:val="16"/>
        </w:rPr>
        <w:t>;</w:t>
      </w:r>
    </w:p>
    <w:p>
      <w:pPr>
        <w:pStyle w:val="BodyText"/>
        <w:spacing w:before="65" w:line="184" w:lineRule="auto"/>
        <w:ind w:left="36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w w:val="117"/>
          <w:position w:val="-1"/>
          <w:sz w:val="16"/>
          <w:szCs w:val="16"/>
        </w:rPr>
        <w:t xml:space="preserve">3 </w:t>
      </w:r>
      <w:r>
        <w:rPr>
          <w:b/>
          <w:bCs/>
          <w:spacing w:val="12"/>
          <w:w w:val="117"/>
          <w:sz w:val="16"/>
          <w:szCs w:val="16"/>
        </w:rPr>
        <w:t>—</w:t>
      </w:r>
      <w:r>
        <w:rPr>
          <w:b/>
          <w:bCs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sz w:val="16"/>
          <w:szCs w:val="16"/>
        </w:rPr>
        <w:t>脚踏启闭机构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sz w:val="16"/>
          <w:szCs w:val="16"/>
        </w:rPr>
        <w:t>;</w:t>
      </w:r>
      <w:r>
        <w:rPr>
          <w:rFonts w:ascii="Microsoft YaHei" w:eastAsia="Microsoft YaHei" w:hAnsi="Microsoft YaHei" w:cs="Microsoft YaHei"/>
          <w:spacing w:val="1"/>
          <w:sz w:val="16"/>
          <w:szCs w:val="16"/>
        </w:rPr>
        <w:t xml:space="preserve">                      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                                        </w:t>
      </w:r>
      <w:r>
        <w:rPr>
          <w:rFonts w:ascii="Microsoft YaHei" w:eastAsia="Microsoft YaHei" w:hAnsi="Microsoft YaHei" w:cs="Microsoft YaHei"/>
          <w:spacing w:val="12"/>
          <w:w w:val="117"/>
          <w:position w:val="-1"/>
          <w:sz w:val="16"/>
          <w:szCs w:val="16"/>
        </w:rPr>
        <w:t>11</w:t>
      </w:r>
      <w:r>
        <w:rPr>
          <w:b/>
          <w:bCs/>
          <w:spacing w:val="12"/>
          <w:w w:val="117"/>
          <w:sz w:val="16"/>
          <w:szCs w:val="16"/>
        </w:rPr>
        <w:t>—</w:t>
      </w:r>
      <w:r>
        <w:rPr>
          <w:b/>
          <w:bCs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sz w:val="16"/>
          <w:szCs w:val="16"/>
        </w:rPr>
        <w:t>油缸</w:t>
      </w:r>
      <w:r>
        <w:rPr>
          <w:rFonts w:ascii="Microsoft YaHei" w:eastAsia="Microsoft YaHei" w:hAnsi="Microsoft YaHei" w:cs="Microsoft YaHei"/>
          <w:spacing w:val="-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sz w:val="16"/>
          <w:szCs w:val="16"/>
        </w:rPr>
        <w:t>;</w:t>
      </w:r>
    </w:p>
    <w:p>
      <w:pPr>
        <w:pStyle w:val="BodyText"/>
        <w:spacing w:before="64" w:line="184" w:lineRule="auto"/>
        <w:ind w:left="36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9"/>
          <w:w w:val="122"/>
          <w:position w:val="-1"/>
          <w:sz w:val="16"/>
          <w:szCs w:val="16"/>
        </w:rPr>
        <w:t xml:space="preserve">4 </w:t>
      </w:r>
      <w:r>
        <w:rPr>
          <w:b/>
          <w:bCs/>
          <w:spacing w:val="9"/>
          <w:w w:val="122"/>
          <w:sz w:val="16"/>
          <w:szCs w:val="16"/>
        </w:rPr>
        <w:t>—</w:t>
      </w:r>
      <w:r>
        <w:rPr>
          <w:b/>
          <w:bCs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22"/>
          <w:sz w:val="16"/>
          <w:szCs w:val="16"/>
        </w:rPr>
        <w:t>基坑盖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22"/>
          <w:sz w:val="16"/>
          <w:szCs w:val="16"/>
        </w:rPr>
        <w:t>;</w:t>
      </w:r>
      <w:r>
        <w:rPr>
          <w:rFonts w:ascii="Microsoft YaHei" w:eastAsia="Microsoft YaHei" w:hAnsi="Microsoft YaHei" w:cs="Microsoft YaHei"/>
          <w:spacing w:val="1"/>
          <w:sz w:val="16"/>
          <w:szCs w:val="16"/>
        </w:rPr>
        <w:t xml:space="preserve">                                           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                              </w:t>
      </w:r>
      <w:r>
        <w:rPr>
          <w:rFonts w:ascii="Microsoft YaHei" w:eastAsia="Microsoft YaHei" w:hAnsi="Microsoft YaHei" w:cs="Microsoft YaHei"/>
          <w:spacing w:val="9"/>
          <w:w w:val="122"/>
          <w:position w:val="-1"/>
          <w:sz w:val="16"/>
          <w:szCs w:val="16"/>
        </w:rPr>
        <w:t>12</w:t>
      </w:r>
      <w:r>
        <w:rPr>
          <w:b/>
          <w:bCs/>
          <w:spacing w:val="9"/>
          <w:w w:val="122"/>
          <w:sz w:val="16"/>
          <w:szCs w:val="16"/>
        </w:rPr>
        <w:t>—</w:t>
      </w:r>
      <w:r>
        <w:rPr>
          <w:b/>
          <w:bCs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22"/>
          <w:sz w:val="16"/>
          <w:szCs w:val="16"/>
        </w:rPr>
        <w:t>垃圾桶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22"/>
          <w:sz w:val="16"/>
          <w:szCs w:val="16"/>
        </w:rPr>
        <w:t>;</w:t>
      </w:r>
    </w:p>
    <w:p>
      <w:pPr>
        <w:pStyle w:val="BodyText"/>
        <w:spacing w:before="65" w:line="184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1"/>
          <w:position w:val="-1"/>
          <w:sz w:val="16"/>
          <w:szCs w:val="16"/>
        </w:rPr>
        <w:t xml:space="preserve">5 </w:t>
      </w:r>
      <w:r>
        <w:rPr>
          <w:b/>
          <w:bCs/>
          <w:spacing w:val="31"/>
          <w:sz w:val="16"/>
          <w:szCs w:val="16"/>
        </w:rPr>
        <w:t>—</w:t>
      </w:r>
      <w:r>
        <w:rPr>
          <w:b/>
          <w:bCs/>
          <w:spacing w:val="-1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基坑钢结构壳体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;</w:t>
      </w:r>
      <w:r>
        <w:rPr>
          <w:rFonts w:ascii="Microsoft YaHei" w:eastAsia="Microsoft YaHei" w:hAnsi="Microsoft YaHei" w:cs="Microsoft YaHei"/>
          <w:spacing w:val="1"/>
          <w:sz w:val="16"/>
          <w:szCs w:val="16"/>
        </w:rPr>
        <w:t xml:space="preserve">                                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                          </w:t>
      </w:r>
      <w:r>
        <w:rPr>
          <w:rFonts w:ascii="Microsoft YaHei" w:eastAsia="Microsoft YaHei" w:hAnsi="Microsoft YaHei" w:cs="Microsoft YaHei"/>
          <w:spacing w:val="31"/>
          <w:position w:val="-1"/>
          <w:sz w:val="16"/>
          <w:szCs w:val="16"/>
        </w:rPr>
        <w:t>13</w:t>
      </w:r>
      <w:r>
        <w:rPr>
          <w:b/>
          <w:bCs/>
          <w:spacing w:val="31"/>
          <w:sz w:val="16"/>
          <w:szCs w:val="16"/>
        </w:rPr>
        <w:t>—</w:t>
      </w:r>
      <w:r>
        <w:rPr>
          <w:b/>
          <w:bCs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锁紧机构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;</w:t>
      </w:r>
    </w:p>
    <w:p>
      <w:pPr>
        <w:pStyle w:val="BodyText"/>
        <w:spacing w:before="66" w:line="184" w:lineRule="auto"/>
        <w:ind w:left="368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9"/>
          <w:w w:val="118"/>
          <w:position w:val="-1"/>
          <w:sz w:val="16"/>
          <w:szCs w:val="16"/>
        </w:rPr>
        <w:t xml:space="preserve">6 </w:t>
      </w:r>
      <w:r>
        <w:rPr>
          <w:b/>
          <w:bCs/>
          <w:spacing w:val="9"/>
          <w:w w:val="118"/>
          <w:sz w:val="16"/>
          <w:szCs w:val="16"/>
        </w:rPr>
        <w:t>—</w:t>
      </w:r>
      <w:r>
        <w:rPr>
          <w:b/>
          <w:bCs/>
          <w:spacing w:val="-1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18"/>
          <w:sz w:val="16"/>
          <w:szCs w:val="16"/>
        </w:rPr>
        <w:t>液压动力单元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18"/>
          <w:sz w:val="16"/>
          <w:szCs w:val="16"/>
        </w:rPr>
        <w:t>;</w:t>
      </w:r>
      <w:r>
        <w:rPr>
          <w:rFonts w:ascii="Microsoft YaHei" w:eastAsia="Microsoft YaHei" w:hAnsi="Microsoft YaHei" w:cs="Microsoft YaHei"/>
          <w:spacing w:val="1"/>
          <w:sz w:val="16"/>
          <w:szCs w:val="16"/>
        </w:rPr>
        <w:t xml:space="preserve">                       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                                       </w:t>
      </w:r>
      <w:r>
        <w:rPr>
          <w:rFonts w:ascii="Microsoft YaHei" w:eastAsia="Microsoft YaHei" w:hAnsi="Microsoft YaHei" w:cs="Microsoft YaHei"/>
          <w:spacing w:val="9"/>
          <w:w w:val="118"/>
          <w:position w:val="-1"/>
          <w:sz w:val="16"/>
          <w:szCs w:val="16"/>
        </w:rPr>
        <w:t>14</w:t>
      </w:r>
      <w:r>
        <w:rPr>
          <w:b/>
          <w:bCs/>
          <w:spacing w:val="9"/>
          <w:w w:val="118"/>
          <w:sz w:val="16"/>
          <w:szCs w:val="16"/>
        </w:rPr>
        <w:t>—</w:t>
      </w:r>
      <w:r>
        <w:rPr>
          <w:b/>
          <w:bCs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18"/>
          <w:sz w:val="16"/>
          <w:szCs w:val="16"/>
        </w:rPr>
        <w:t>提升架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18"/>
          <w:sz w:val="16"/>
          <w:szCs w:val="16"/>
        </w:rPr>
        <w:t>;</w:t>
      </w:r>
    </w:p>
    <w:p>
      <w:pPr>
        <w:pStyle w:val="BodyText"/>
        <w:spacing w:before="66" w:line="174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w w:val="117"/>
          <w:position w:val="-1"/>
          <w:sz w:val="16"/>
          <w:szCs w:val="16"/>
        </w:rPr>
        <w:t xml:space="preserve">7 </w:t>
      </w:r>
      <w:r>
        <w:rPr>
          <w:b/>
          <w:bCs/>
          <w:spacing w:val="12"/>
          <w:w w:val="117"/>
          <w:position w:val="1"/>
          <w:sz w:val="16"/>
          <w:szCs w:val="16"/>
        </w:rPr>
        <w:t>—</w:t>
      </w:r>
      <w:r>
        <w:rPr>
          <w:b/>
          <w:bCs/>
          <w:spacing w:val="-18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sz w:val="16"/>
          <w:szCs w:val="16"/>
        </w:rPr>
        <w:t>航空插座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position w:val="1"/>
          <w:sz w:val="16"/>
          <w:szCs w:val="16"/>
        </w:rPr>
        <w:t>;</w:t>
      </w:r>
      <w:r>
        <w:rPr>
          <w:rFonts w:ascii="Microsoft YaHei" w:eastAsia="Microsoft YaHei" w:hAnsi="Microsoft YaHei" w:cs="Microsoft YaHei"/>
          <w:position w:val="1"/>
          <w:sz w:val="16"/>
          <w:szCs w:val="16"/>
        </w:rPr>
        <w:t xml:space="preserve">                                                                       </w:t>
      </w:r>
      <w:r>
        <w:rPr>
          <w:rFonts w:ascii="Microsoft YaHei" w:eastAsia="Microsoft YaHei" w:hAnsi="Microsoft YaHei" w:cs="Microsoft YaHei"/>
          <w:spacing w:val="12"/>
          <w:w w:val="117"/>
          <w:position w:val="-1"/>
          <w:sz w:val="16"/>
          <w:szCs w:val="16"/>
        </w:rPr>
        <w:t>15</w:t>
      </w:r>
      <w:r>
        <w:rPr>
          <w:b/>
          <w:bCs/>
          <w:spacing w:val="12"/>
          <w:w w:val="117"/>
          <w:position w:val="1"/>
          <w:sz w:val="16"/>
          <w:szCs w:val="16"/>
        </w:rPr>
        <w:t>—</w:t>
      </w:r>
      <w:r>
        <w:rPr>
          <w:b/>
          <w:bCs/>
          <w:spacing w:val="-20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sz w:val="16"/>
          <w:szCs w:val="16"/>
        </w:rPr>
        <w:t>球铰</w:t>
      </w:r>
      <w:r>
        <w:rPr>
          <w:rFonts w:ascii="Microsoft YaHei" w:eastAsia="Microsoft YaHei" w:hAnsi="Microsoft YaHei" w:cs="Microsoft YaHei"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w w:val="117"/>
          <w:position w:val="1"/>
          <w:sz w:val="16"/>
          <w:szCs w:val="16"/>
        </w:rPr>
        <w:t>。</w:t>
      </w:r>
    </w:p>
    <w:p>
      <w:pPr>
        <w:pStyle w:val="BodyText"/>
        <w:spacing w:before="67" w:line="182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3"/>
          <w:w w:val="119"/>
          <w:position w:val="-1"/>
          <w:sz w:val="16"/>
          <w:szCs w:val="16"/>
        </w:rPr>
        <w:t xml:space="preserve">8 </w:t>
      </w:r>
      <w:r>
        <w:rPr>
          <w:b/>
          <w:bCs/>
          <w:spacing w:val="13"/>
          <w:w w:val="119"/>
          <w:sz w:val="16"/>
          <w:szCs w:val="16"/>
        </w:rPr>
        <w:t>—</w:t>
      </w:r>
      <w:r>
        <w:rPr>
          <w:b/>
          <w:bCs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w w:val="119"/>
          <w:sz w:val="16"/>
          <w:szCs w:val="16"/>
        </w:rPr>
        <w:t>导向机构</w:t>
      </w:r>
      <w:r>
        <w:rPr>
          <w:rFonts w:ascii="Microsoft YaHei" w:eastAsia="Microsoft YaHei" w:hAnsi="Microsoft YaHei" w:cs="Microsoft YaHei"/>
          <w:spacing w:val="-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w w:val="119"/>
          <w:sz w:val="16"/>
          <w:szCs w:val="16"/>
        </w:rPr>
        <w:t>;</w:t>
      </w:r>
    </w:p>
    <w:p>
      <w:pPr>
        <w:spacing w:before="266" w:line="175" w:lineRule="auto"/>
        <w:ind w:left="419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9"/>
          <w:sz w:val="19"/>
          <w:szCs w:val="19"/>
        </w:rPr>
        <w:t>图</w:t>
      </w:r>
      <w:r>
        <w:rPr>
          <w:rFonts w:ascii="SimHei" w:eastAsia="SimHei" w:hAnsi="SimHei" w:cs="SimHei"/>
          <w:spacing w:val="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1(续)</w:t>
      </w:r>
    </w:p>
    <w:p>
      <w:pPr>
        <w:pStyle w:val="BodyText"/>
        <w:spacing w:line="259" w:lineRule="auto"/>
      </w:pPr>
    </w:p>
    <w:p>
      <w:pPr>
        <w:spacing w:before="82"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12"/>
          <w:sz w:val="19"/>
          <w:szCs w:val="19"/>
        </w:rPr>
        <w:t>型号与标记</w:t>
      </w:r>
    </w:p>
    <w:p>
      <w:pPr>
        <w:spacing w:before="318" w:line="190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型号</w:t>
      </w:r>
    </w:p>
    <w:p>
      <w:pPr>
        <w:spacing w:before="207" w:line="180" w:lineRule="auto"/>
        <w:ind w:left="4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型号表示如下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</w:t>
      </w:r>
    </w:p>
    <w:p>
      <w:pPr>
        <w:spacing w:before="198" w:line="145" w:lineRule="exact"/>
        <w:ind w:left="23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6"/>
          <w:w w:val="120"/>
          <w:position w:val="-1"/>
          <w:sz w:val="19"/>
          <w:szCs w:val="19"/>
        </w:rPr>
        <w:t>-</w:t>
      </w:r>
    </w:p>
    <w:p>
      <w:pPr>
        <w:spacing w:before="175" w:line="169" w:lineRule="auto"/>
        <w:ind w:left="317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垃圾桶的规格(容积)/L</w:t>
      </w:r>
      <w:r>
        <w:rPr>
          <w:rFonts w:ascii="Microsoft YaHei" w:eastAsia="Microsoft YaHei" w:hAnsi="Microsoft YaHei" w:cs="Microsoft YaHei"/>
          <w:spacing w:val="20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240</w:t>
      </w:r>
      <w:r>
        <w:rPr>
          <w:rFonts w:ascii="Microsoft YaHei" w:eastAsia="Microsoft YaHei" w:hAnsi="Microsoft YaHei" w:cs="Microsoft YaHei"/>
          <w:spacing w:val="20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660</w:t>
      </w:r>
      <w:r>
        <w:rPr>
          <w:rFonts w:ascii="Microsoft YaHei" w:eastAsia="Microsoft YaHei" w:hAnsi="Microsoft YaHei" w:cs="Microsoft YaHei"/>
          <w:spacing w:val="20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1100</w:t>
      </w:r>
    </w:p>
    <w:p>
      <w:pPr>
        <w:spacing w:before="63" w:line="182" w:lineRule="auto"/>
        <w:ind w:left="3152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-6490</wp:posOffset>
                </wp:positionV>
                <wp:extent cx="158114" cy="24066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-6490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43" type="#_x0000_t202" style="width:12.45pt;height:18.95pt;margin-top:-0.51pt;margin-left:208.05pt;mso-wrap-distance-bottom:0;mso-wrap-distance-left:0;mso-wrap-distance-right:0;mso-wrap-distance-top:0;position:absolute;rotation:300;v-text-anchor:top;z-index:251679744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投放口启闭形式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:旋转启闭式用 X表示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,摆动启闭式用 B表示</w:t>
      </w:r>
    </w:p>
    <w:p>
      <w:pPr>
        <w:spacing w:before="69" w:line="204" w:lineRule="auto"/>
        <w:ind w:left="3150" w:right="1511" w:firstLine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投放口数量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:单投放口用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1表示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,双投放口用 2表示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埋地式垃圾收集装置(</w:t>
      </w:r>
      <w:r>
        <w:rPr>
          <w:rFonts w:ascii="Microsoft YaHei" w:eastAsia="Microsoft YaHei" w:hAnsi="Microsoft YaHei" w:cs="Microsoft YaHei"/>
          <w:sz w:val="19"/>
          <w:szCs w:val="19"/>
        </w:rPr>
        <w:t>MD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)</w:t>
      </w:r>
    </w:p>
    <w:p>
      <w:pPr>
        <w:spacing w:before="266"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5.2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标记</w:t>
      </w:r>
    </w:p>
    <w:p>
      <w:pPr>
        <w:spacing w:before="205" w:line="175" w:lineRule="auto"/>
        <w:ind w:left="37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7"/>
          <w:sz w:val="16"/>
          <w:szCs w:val="16"/>
        </w:rPr>
        <w:t>示例</w:t>
      </w:r>
      <w:r>
        <w:rPr>
          <w:rFonts w:ascii="SimHei" w:eastAsia="SimHei" w:hAnsi="SimHei" w:cs="SimHei"/>
          <w:spacing w:val="1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1:单投放口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,投放口形式为旋转启闭式</w:t>
      </w:r>
      <w:r>
        <w:rPr>
          <w:rFonts w:ascii="Microsoft YaHei" w:eastAsia="Microsoft YaHei" w:hAnsi="Microsoft YaHei" w:cs="Microsoft YaHei"/>
          <w:spacing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,垃圾桶规格</w:t>
      </w:r>
      <w:r>
        <w:rPr>
          <w:rFonts w:ascii="Microsoft YaHei" w:eastAsia="Microsoft YaHei" w:hAnsi="Microsoft YaHei" w:cs="Microsoft YaHei"/>
          <w:spacing w:val="16"/>
          <w:sz w:val="16"/>
          <w:szCs w:val="16"/>
        </w:rPr>
        <w:t>为</w:t>
      </w:r>
      <w:r>
        <w:rPr>
          <w:rFonts w:ascii="Microsoft YaHei" w:eastAsia="Microsoft YaHei" w:hAnsi="Microsoft YaHei" w:cs="Microsoft YaHei"/>
          <w:spacing w:val="20"/>
          <w:w w:val="10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6"/>
          <w:szCs w:val="16"/>
        </w:rPr>
        <w:t>660L的埋地式垃圾收集装置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6"/>
          <w:szCs w:val="16"/>
        </w:rPr>
        <w:t>,标记为 :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MD</w:t>
      </w:r>
      <w:r>
        <w:rPr>
          <w:rFonts w:ascii="Microsoft YaHei" w:eastAsia="Microsoft YaHei" w:hAnsi="Microsoft YaHei" w:cs="Microsoft YaHei"/>
          <w:spacing w:val="16"/>
          <w:position w:val="-1"/>
          <w:sz w:val="16"/>
          <w:szCs w:val="16"/>
        </w:rPr>
        <w:t>1X-660;</w:t>
      </w:r>
    </w:p>
    <w:p>
      <w:pPr>
        <w:spacing w:before="105" w:line="182" w:lineRule="auto"/>
        <w:ind w:left="37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7"/>
          <w:sz w:val="16"/>
          <w:szCs w:val="16"/>
        </w:rPr>
        <w:t>示例</w:t>
      </w:r>
      <w:r>
        <w:rPr>
          <w:rFonts w:ascii="SimHei" w:eastAsia="SimHei" w:hAnsi="SimHei" w:cs="SimHei"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2:双投放口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,投放口形式为摆动启闭式</w:t>
      </w:r>
      <w:r>
        <w:rPr>
          <w:rFonts w:ascii="Microsoft YaHei" w:eastAsia="Microsoft YaHei" w:hAnsi="Microsoft YaHei" w:cs="Microsoft YaHei"/>
          <w:spacing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,垃圾桶规格为</w:t>
      </w:r>
      <w:r>
        <w:rPr>
          <w:rFonts w:ascii="Microsoft YaHei" w:eastAsia="Microsoft YaHei" w:hAnsi="Microsoft YaHei" w:cs="Microsoft YaHei"/>
          <w:spacing w:val="21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1100L的埋地式垃圾收集装置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,标记为 :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MD</w:t>
      </w:r>
      <w:r>
        <w:rPr>
          <w:rFonts w:ascii="Microsoft YaHei" w:eastAsia="Microsoft YaHei" w:hAnsi="Microsoft YaHei" w:cs="Microsoft YaHei"/>
          <w:spacing w:val="17"/>
          <w:position w:val="-1"/>
          <w:sz w:val="16"/>
          <w:szCs w:val="16"/>
        </w:rPr>
        <w:t>2B-1100</w:t>
      </w:r>
      <w:r>
        <w:rPr>
          <w:rFonts w:ascii="Microsoft YaHei" w:eastAsia="Microsoft YaHei" w:hAnsi="Microsoft YaHei" w:cs="Microsoft YaHei"/>
          <w:spacing w:val="17"/>
          <w:sz w:val="16"/>
          <w:szCs w:val="16"/>
        </w:rPr>
        <w:t>。</w:t>
      </w:r>
    </w:p>
    <w:p>
      <w:pPr>
        <w:pStyle w:val="BodyText"/>
        <w:spacing w:line="330" w:lineRule="auto"/>
      </w:pPr>
    </w:p>
    <w:p>
      <w:pPr>
        <w:spacing w:before="83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要求</w:t>
      </w:r>
    </w:p>
    <w:p>
      <w:pPr>
        <w:spacing w:before="321" w:line="187" w:lineRule="auto"/>
        <w:ind w:left="1"/>
        <w:rPr>
          <w:rFonts w:ascii="SimHei" w:eastAsia="SimHei" w:hAnsi="SimHei" w:cs="SimHei"/>
          <w:sz w:val="19"/>
          <w:szCs w:val="19"/>
        </w:rPr>
        <w:sectPr>
          <w:footerReference w:type="default" r:id="rId12"/>
          <w:pgSz w:w="11906" w:h="16838"/>
          <w:pgMar w:top="1255" w:right="1301" w:bottom="1444" w:left="1349" w:header="0" w:footer="1259" w:gutter="0"/>
          <w:pgNumType w:start="11"/>
          <w:cols w:space="708"/>
        </w:sect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5"/>
          <w:sz w:val="19"/>
          <w:szCs w:val="19"/>
        </w:rPr>
        <w:t>一般要求</w:t>
      </w:r>
    </w:p>
    <w:p>
      <w:pPr>
        <w:spacing w:before="211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外购零部件应有供应商提供的合格证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,并经检验合格后方可使用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60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1.2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部件应进行耐腐蚀处理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,在使用期内应具有足够的强度和刚度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,不应产生影响使用性能的变形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54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2"/>
          <w:sz w:val="19"/>
          <w:szCs w:val="19"/>
        </w:rPr>
        <w:t xml:space="preserve">1.3  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钢结构件表面不应有凸起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、凹陷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、缺损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、沟槽等缺陷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。</w:t>
      </w:r>
    </w:p>
    <w:p>
      <w:pPr>
        <w:spacing w:before="52" w:line="18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 xml:space="preserve">1.4  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埋地式垃圾收集装置在规定程序下运转应正常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、连续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、平稳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,不应有阻滞及异常声响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。</w:t>
      </w:r>
    </w:p>
    <w:p>
      <w:pPr>
        <w:spacing w:before="43" w:line="206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1.5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结构型材应符合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/T700的规定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before="23" w:line="205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1.6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导轨材料应符合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/T699的规定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line="205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br/>
      </w:r>
      <w:r>
        <w:rPr>
          <w:rFonts w:ascii="Microsoft YaHei" w:eastAsia="Microsoft YaHei" w:hAnsi="Microsoft YaHei" w:cs="Microsoft Ya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https://d.book118.com/265112220103011112</w:t>
        </w:r>
      </w:hyperlink>
    </w:p>
    <w:p>
      <w:pPr>
        <w:spacing w:line="205" w:lineRule="auto"/>
        <w:rPr>
          <w:rFonts w:ascii="Microsoft YaHei" w:eastAsia="Microsoft YaHei" w:hAnsi="Microsoft YaHei" w:cs="Microsoft YaHei"/>
          <w:sz w:val="19"/>
          <w:szCs w:val="19"/>
        </w:rPr>
      </w:pPr>
    </w:p>
    <w:sectPr>
      <w:footerReference w:type="default" r:id="rId14"/>
      <w:type w:val="nextPage"/>
      <w:pgSz w:w="11906" w:h="16838"/>
      <w:pgMar w:top="1255" w:right="1301" w:bottom="1444" w:left="1349" w:header="0" w:footer="1259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44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61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61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jpeg" /><Relationship Id="rId12" Type="http://schemas.openxmlformats.org/officeDocument/2006/relationships/footer" Target="footer6.xml" /><Relationship Id="rId13" Type="http://schemas.openxmlformats.org/officeDocument/2006/relationships/hyperlink" Target="https://d.book118.com/265112220103011112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2024-02-25T14:50:13Z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2024-02-25T15:07:30Z</vt:filetime>
  </property>
  <property fmtid="{D5CDD505-2E9C-101B-9397-08002B2CF9AE}" pid="3" name="CRO">
    <vt:lpwstr>wqlLaW5nc29mdCBQREYgdG8gV1BTIDkw</vt:lpwstr>
  </property>
</Properties>
</file>