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2024年治疗康复设备行业分析报告及未来五到十年行业发展趋势报告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2376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行业的外部环境及发展趋势分析</w:t>
        </w:r>
        <w:r>
          <w:tab/>
        </w:r>
        <w:r>
          <w:fldChar w:fldCharType="begin"/>
        </w:r>
        <w:r>
          <w:instrText xml:space="preserve"> PAGEREF _Toc22376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18038" w:history="1">
        <w:r>
          <w:rPr>
            <w:rFonts w:eastAsia="微软雅黑" w:hint="eastAsia"/>
            <w:snapToGrid/>
            <w:lang w:val="en-US" w:eastAsia="en-US"/>
          </w:rPr>
          <w:t>(一)、国际政治经济发展对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_Toc18038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206" w:history="1">
        <w:r>
          <w:rPr>
            <w:rFonts w:eastAsia="微软雅黑" w:hint="eastAsia"/>
            <w:snapToGrid/>
            <w:lang w:val="en-US" w:eastAsia="zh-CN"/>
          </w:rPr>
          <w:t>(二)、国内政治经济发展对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_Toc32206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036" w:history="1">
        <w:r>
          <w:rPr>
            <w:rFonts w:eastAsia="微软雅黑" w:hint="eastAsia"/>
            <w:snapToGrid/>
            <w:lang w:val="en-US" w:eastAsia="zh-CN"/>
          </w:rPr>
          <w:t>(三)、国内突出经济问题对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_Toc5036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29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_Toc529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314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_Toc15314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_Toc243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844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_Toc5844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313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_Toc12313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572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_Toc29572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492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_Toc23492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993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_Toc10993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75" w:history="1">
        <w:r>
          <w:rPr>
            <w:rFonts w:eastAsia="微软雅黑" w:hint="eastAsia"/>
            <w:snapToGrid/>
            <w:lang w:val="en-US" w:eastAsia="en-US"/>
          </w:rPr>
          <w:t>三、宏观经济对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_Toc1875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125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_Toc12125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37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_Toc28377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752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_Toc31752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3108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行业“专业化能力”对盈利模式的影响分析</w:t>
        </w:r>
        <w:r>
          <w:tab/>
        </w:r>
        <w:r>
          <w:fldChar w:fldCharType="begin"/>
        </w:r>
        <w:r>
          <w:instrText xml:space="preserve"> PAGEREF _Toc23108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35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行业企业盈利模式运作的关键</w:t>
        </w:r>
        <w:r>
          <w:tab/>
        </w:r>
        <w:r>
          <w:fldChar w:fldCharType="begin"/>
        </w:r>
        <w:r>
          <w:instrText xml:space="preserve"> PAGEREF _Toc13351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445" w:history="1">
        <w:r>
          <w:rPr>
            <w:rFonts w:eastAsia="微软雅黑" w:hint="eastAsia"/>
            <w:snapToGrid/>
            <w:lang w:val="en-US" w:eastAsia="zh-CN"/>
          </w:rPr>
          <w:t>(二)、怎样培养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行业的业务能力</w:t>
        </w:r>
        <w:r>
          <w:tab/>
        </w:r>
        <w:r>
          <w:fldChar w:fldCharType="begin"/>
        </w:r>
        <w:r>
          <w:instrText xml:space="preserve"> PAGEREF _Toc30445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374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行业数据预测与分析</w:t>
        </w:r>
        <w:r>
          <w:tab/>
        </w:r>
        <w:r>
          <w:fldChar w:fldCharType="begin"/>
        </w:r>
        <w:r>
          <w:instrText xml:space="preserve"> PAGEREF _Toc29374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135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行业时间序列预测与分析</w:t>
        </w:r>
        <w:r>
          <w:tab/>
        </w:r>
        <w:r>
          <w:fldChar w:fldCharType="begin"/>
        </w:r>
        <w:r>
          <w:instrText xml:space="preserve"> PAGEREF _Toc21135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72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行业时间曲线预测模型分析</w:t>
        </w:r>
        <w:r>
          <w:tab/>
        </w:r>
        <w:r>
          <w:fldChar w:fldCharType="begin"/>
        </w:r>
        <w:r>
          <w:instrText xml:space="preserve"> PAGEREF _Toc6720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989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行业差分方程预测模型分析</w:t>
        </w:r>
        <w:r>
          <w:tab/>
        </w:r>
        <w:r>
          <w:fldChar w:fldCharType="begin"/>
        </w:r>
        <w:r>
          <w:instrText xml:space="preserve"> PAGEREF _Toc10989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776" w:history="1">
        <w:r>
          <w:rPr>
            <w:rFonts w:eastAsia="微软雅黑" w:hint="eastAsia"/>
            <w:snapToGrid/>
            <w:lang w:val="en-US" w:eastAsia="zh-CN"/>
          </w:rPr>
          <w:t>(四)、未来5-10年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行业预测结论</w:t>
        </w:r>
        <w:r>
          <w:tab/>
        </w:r>
        <w:r>
          <w:fldChar w:fldCharType="begin"/>
        </w:r>
        <w:r>
          <w:instrText xml:space="preserve"> PAGEREF _Toc10776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8113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行业企业转型思考(2024-2029)</w:t>
        </w:r>
        <w:r>
          <w:tab/>
        </w:r>
        <w:r>
          <w:fldChar w:fldCharType="begin"/>
        </w:r>
        <w:r>
          <w:instrText xml:space="preserve"> PAGEREF _Toc8113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488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行业的内生延伸——选择与定位</w:t>
        </w:r>
        <w:r>
          <w:tab/>
        </w:r>
        <w:r>
          <w:fldChar w:fldCharType="begin"/>
        </w:r>
        <w:r>
          <w:instrText xml:space="preserve"> PAGEREF _Toc4488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行业跨行业转型延伸</w:t>
        </w:r>
        <w:r>
          <w:tab/>
        </w:r>
        <w:r>
          <w:fldChar w:fldCharType="begin"/>
        </w:r>
        <w:r>
          <w:instrText xml:space="preserve"> PAGEREF _Toc79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318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行业企业资本计划分析</w:t>
        </w:r>
        <w:r>
          <w:tab/>
        </w:r>
        <w:r>
          <w:fldChar w:fldCharType="begin"/>
        </w:r>
        <w:r>
          <w:instrText xml:space="preserve"> PAGEREF _Toc29318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238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行业的融资问题</w:t>
        </w:r>
        <w:r>
          <w:tab/>
        </w:r>
        <w:r>
          <w:fldChar w:fldCharType="begin"/>
        </w:r>
        <w:r>
          <w:instrText xml:space="preserve"> PAGEREF _Toc32238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293" w:history="1">
        <w:r>
          <w:rPr>
            <w:rFonts w:eastAsia="微软雅黑" w:hint="eastAsia"/>
            <w:snapToGrid/>
            <w:lang w:val="en-US" w:eastAsia="zh-CN"/>
          </w:rPr>
          <w:t>(五)、加强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行业人才引进，优化人才结构</w:t>
        </w:r>
        <w:r>
          <w:tab/>
        </w:r>
        <w:r>
          <w:fldChar w:fldCharType="begin"/>
        </w:r>
        <w:r>
          <w:instrText xml:space="preserve"> PAGEREF _Toc7293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69" w:history="1">
        <w:r>
          <w:rPr>
            <w:rFonts w:eastAsia="微软雅黑" w:hint="eastAsia"/>
            <w:snapToGrid/>
            <w:lang w:val="en-US" w:eastAsia="en-US"/>
          </w:rPr>
          <w:t>七、2024-2029年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行业企业市场突围战略分析</w:t>
        </w:r>
        <w:r>
          <w:tab/>
        </w:r>
        <w:r>
          <w:fldChar w:fldCharType="begin"/>
        </w:r>
        <w:r>
          <w:instrText xml:space="preserve"> PAGEREF _Toc2469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68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行业树立“战略突破”理念</w:t>
        </w:r>
        <w:r>
          <w:tab/>
        </w:r>
        <w:r>
          <w:fldChar w:fldCharType="begin"/>
        </w:r>
        <w:r>
          <w:instrText xml:space="preserve"> PAGEREF _Toc1568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635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行业市场定位、产品定位和品牌定位</w:t>
        </w:r>
        <w:r>
          <w:tab/>
        </w:r>
        <w:r>
          <w:fldChar w:fldCharType="begin"/>
        </w:r>
        <w:r>
          <w:instrText xml:space="preserve"> PAGEREF _Toc10635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701" w:history="1">
        <w:r>
          <w:rPr>
            <w:rFonts w:eastAsia="微软雅黑" w:hint="eastAsia"/>
            <w:snapToGrid/>
            <w:lang w:val="en-US" w:eastAsia="zh-CN"/>
          </w:rPr>
          <w:t>1、市场定位</w:t>
        </w:r>
        <w:r>
          <w:tab/>
        </w:r>
        <w:r>
          <w:fldChar w:fldCharType="begin"/>
        </w:r>
        <w:r>
          <w:instrText xml:space="preserve"> PAGEREF _Toc1701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9074" w:history="1">
        <w:r>
          <w:rPr>
            <w:rFonts w:eastAsia="微软雅黑" w:hint="eastAsia"/>
            <w:snapToGrid/>
            <w:lang w:val="en-US" w:eastAsia="zh-CN"/>
          </w:rPr>
          <w:t>2、产品定位</w:t>
        </w:r>
        <w:r>
          <w:tab/>
        </w:r>
        <w:r>
          <w:fldChar w:fldCharType="begin"/>
        </w:r>
        <w:r>
          <w:instrText xml:space="preserve"> PAGEREF _Toc9074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1039" w:history="1">
        <w:r>
          <w:rPr>
            <w:rFonts w:eastAsia="微软雅黑" w:hint="eastAsia"/>
            <w:snapToGrid/>
            <w:lang w:val="en-US" w:eastAsia="zh-CN"/>
          </w:rPr>
          <w:t>3、品牌定位</w:t>
        </w:r>
        <w:r>
          <w:tab/>
        </w:r>
        <w:r>
          <w:fldChar w:fldCharType="begin"/>
        </w:r>
        <w:r>
          <w:instrText xml:space="preserve"> PAGEREF _Toc21039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670" w:history="1">
        <w:r>
          <w:rPr>
            <w:rFonts w:eastAsia="微软雅黑" w:hint="eastAsia"/>
            <w:snapToGrid/>
            <w:lang w:val="en-US" w:eastAsia="zh-CN"/>
          </w:rPr>
          <w:t>(三)、创新寻求突破</w:t>
        </w:r>
        <w:r>
          <w:tab/>
        </w:r>
        <w:r>
          <w:fldChar w:fldCharType="begin"/>
        </w:r>
        <w:r>
          <w:instrText xml:space="preserve"> PAGEREF _Toc4670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6701" w:history="1">
        <w:r>
          <w:rPr>
            <w:rFonts w:eastAsia="微软雅黑" w:hint="eastAsia"/>
            <w:snapToGrid/>
            <w:lang w:val="en-US" w:eastAsia="zh-CN"/>
          </w:rPr>
          <w:t>1、基于消费升级的科技创新模式</w:t>
        </w:r>
        <w:r>
          <w:tab/>
        </w:r>
        <w:r>
          <w:fldChar w:fldCharType="begin"/>
        </w:r>
        <w:r>
          <w:instrText xml:space="preserve"> PAGEREF _Toc6701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404" w:history="1">
        <w:r>
          <w:rPr>
            <w:rFonts w:eastAsia="微软雅黑" w:hint="eastAsia"/>
            <w:snapToGrid/>
            <w:lang w:val="en-US" w:eastAsia="zh-CN"/>
          </w:rPr>
          <w:t>2、创新推动行业更高质量发展</w:t>
        </w:r>
        <w:r>
          <w:tab/>
        </w:r>
        <w:r>
          <w:fldChar w:fldCharType="begin"/>
        </w:r>
        <w:r>
          <w:instrText xml:space="preserve"> PAGEREF _Toc25404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1215" w:history="1">
        <w:r>
          <w:rPr>
            <w:rFonts w:eastAsia="微软雅黑" w:hint="eastAsia"/>
            <w:snapToGrid/>
            <w:lang w:val="en-US" w:eastAsia="zh-CN"/>
          </w:rPr>
          <w:t>3、尝试业态创新和品牌创新</w:t>
        </w:r>
        <w:r>
          <w:tab/>
        </w:r>
        <w:r>
          <w:fldChar w:fldCharType="begin"/>
        </w:r>
        <w:r>
          <w:instrText xml:space="preserve"> PAGEREF _Toc31215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315" w:history="1">
        <w:r>
          <w:rPr>
            <w:rFonts w:eastAsia="微软雅黑" w:hint="eastAsia"/>
            <w:snapToGrid/>
            <w:lang w:val="en-US" w:eastAsia="zh-CN"/>
          </w:rPr>
          <w:t>4、自主创新打造品牌</w:t>
        </w:r>
        <w:r>
          <w:tab/>
        </w:r>
        <w:r>
          <w:fldChar w:fldCharType="begin"/>
        </w:r>
        <w:r>
          <w:instrText xml:space="preserve"> PAGEREF _Toc25315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735" w:history="1">
        <w:r>
          <w:rPr>
            <w:rFonts w:eastAsia="微软雅黑" w:hint="eastAsia"/>
            <w:snapToGrid/>
            <w:lang w:val="en-US" w:eastAsia="zh-CN"/>
          </w:rPr>
          <w:t>(四)、制定宣传计划</w:t>
        </w:r>
        <w:r>
          <w:tab/>
        </w:r>
        <w:r>
          <w:fldChar w:fldCharType="begin"/>
        </w:r>
        <w:r>
          <w:instrText xml:space="preserve"> PAGEREF _Toc22735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1970" w:history="1">
        <w:r>
          <w:rPr>
            <w:rFonts w:eastAsia="微软雅黑" w:hint="eastAsia"/>
            <w:snapToGrid/>
            <w:lang w:val="en-US" w:eastAsia="zh-CN"/>
          </w:rPr>
          <w:t>1、学会做低成本的传播工具</w:t>
        </w:r>
        <w:r>
          <w:tab/>
        </w:r>
        <w:r>
          <w:fldChar w:fldCharType="begin"/>
        </w:r>
        <w:r>
          <w:instrText xml:space="preserve"> PAGEREF _Toc31970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0355" w:history="1">
        <w:r>
          <w:rPr>
            <w:rFonts w:eastAsia="微软雅黑" w:hint="eastAsia"/>
            <w:snapToGrid/>
            <w:lang w:val="en-US" w:eastAsia="zh-CN"/>
          </w:rPr>
          <w:t>2、学会以优秀的品牌视觉设计突出品牌特色</w:t>
        </w:r>
        <w:r>
          <w:tab/>
        </w:r>
        <w:r>
          <w:fldChar w:fldCharType="begin"/>
        </w:r>
        <w:r>
          <w:instrText xml:space="preserve"> PAGEREF _Toc30355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656" w:history="1">
        <w:r>
          <w:rPr>
            <w:rFonts w:eastAsia="微软雅黑" w:hint="eastAsia"/>
            <w:snapToGrid/>
            <w:lang w:val="en-US" w:eastAsia="zh-CN"/>
          </w:rPr>
          <w:t>3、学会使用网络营销</w:t>
        </w:r>
        <w:r>
          <w:tab/>
        </w:r>
        <w:r>
          <w:fldChar w:fldCharType="begin"/>
        </w:r>
        <w:r>
          <w:instrText xml:space="preserve"> PAGEREF _Toc12656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5353" w:history="1">
        <w:r>
          <w:rPr>
            <w:rFonts w:eastAsia="微软雅黑" w:hint="eastAsia"/>
            <w:snapToGrid/>
            <w:lang w:val="en-US" w:eastAsia="en-US"/>
          </w:rPr>
          <w:t>八、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_Toc15353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656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_Toc4656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858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_Toc30858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435" w:history="1">
        <w:r>
          <w:rPr>
            <w:rFonts w:eastAsia="微软雅黑" w:hint="eastAsia"/>
            <w:snapToGrid/>
            <w:lang w:val="en-US" w:eastAsia="zh-CN"/>
          </w:rPr>
          <w:t>(三)、借助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行业服务差异化抓住商机</w:t>
        </w:r>
        <w:r>
          <w:tab/>
        </w:r>
        <w:r>
          <w:fldChar w:fldCharType="begin"/>
        </w:r>
        <w:r>
          <w:instrText xml:space="preserve"> PAGEREF _Toc27435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427" w:history="1">
        <w:r>
          <w:rPr>
            <w:rFonts w:eastAsia="微软雅黑" w:hint="eastAsia"/>
            <w:snapToGrid/>
            <w:lang w:val="en-US" w:eastAsia="zh-CN"/>
          </w:rPr>
          <w:t>(四)、借助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行业客户差异化把握商机</w:t>
        </w:r>
        <w:r>
          <w:tab/>
        </w:r>
        <w:r>
          <w:fldChar w:fldCharType="begin"/>
        </w:r>
        <w:r>
          <w:instrText xml:space="preserve"> PAGEREF _Toc16427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369" w:history="1">
        <w:r>
          <w:rPr>
            <w:rFonts w:eastAsia="微软雅黑" w:hint="eastAsia"/>
            <w:snapToGrid/>
            <w:lang w:val="en-US" w:eastAsia="zh-CN"/>
          </w:rPr>
          <w:t>(五)、借助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行业渠道差异来寻求商机</w:t>
        </w:r>
        <w:r>
          <w:tab/>
        </w:r>
        <w:r>
          <w:fldChar w:fldCharType="begin"/>
        </w:r>
        <w:r>
          <w:instrText xml:space="preserve"> PAGEREF _Toc8369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161" w:history="1">
        <w:r>
          <w:rPr>
            <w:rFonts w:eastAsia="微软雅黑" w:hint="eastAsia"/>
            <w:snapToGrid/>
            <w:lang w:val="en-US" w:eastAsia="en-US"/>
          </w:rPr>
          <w:t>九、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行业发展模式分析</w:t>
        </w:r>
        <w:r>
          <w:tab/>
        </w:r>
        <w:r>
          <w:fldChar w:fldCharType="begin"/>
        </w:r>
        <w:r>
          <w:instrText xml:space="preserve"> PAGEREF _Toc28161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76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行业地域有明显差异</w:t>
        </w:r>
        <w:r>
          <w:tab/>
        </w:r>
        <w:r>
          <w:fldChar w:fldCharType="begin"/>
        </w:r>
        <w:r>
          <w:instrText xml:space="preserve"> PAGEREF _Toc20763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288" w:history="1">
        <w:r>
          <w:rPr>
            <w:rFonts w:eastAsia="微软雅黑" w:hint="eastAsia"/>
            <w:snapToGrid/>
            <w:lang w:val="en-US" w:eastAsia="en-US"/>
          </w:rPr>
          <w:t>十、关于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_Toc16288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52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_Toc452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1161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_Toc21161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6332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_Toc6332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626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_Toc24626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530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_Toc12530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1450" w:history="1">
        <w:r>
          <w:rPr>
            <w:rFonts w:eastAsia="微软雅黑" w:hint="eastAsia"/>
            <w:snapToGrid/>
            <w:lang w:val="en-US" w:eastAsia="en-US"/>
          </w:rPr>
          <w:t>十一、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_Toc11450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71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_Toc1271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26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</w:t>
        </w:r>
        <w:r>
          <w:rPr>
            <w:rFonts w:eastAsia="微软雅黑" w:hint="eastAsia"/>
            <w:snapToGrid/>
            <w:lang w:val="en-US" w:eastAsia="zh-CN"/>
          </w:rPr>
          <w:t>业企业战略确定</w:t>
        </w:r>
        <w:r>
          <w:tab/>
        </w:r>
        <w:r>
          <w:fldChar w:fldCharType="begin"/>
        </w:r>
        <w:r>
          <w:instrText xml:space="preserve"> PAGEREF _Toc6264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583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_Toc19583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3352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_Toc23352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896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_Toc2896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145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_Toc4145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087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_Toc1087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517" w:history="1">
        <w:r>
          <w:rPr>
            <w:rFonts w:eastAsia="微软雅黑" w:hint="eastAsia"/>
            <w:snapToGrid/>
            <w:lang w:val="en-US" w:eastAsia="en-US"/>
          </w:rPr>
          <w:t>十二、2024-2029年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行业竞争格局展望</w:t>
        </w:r>
        <w:r>
          <w:tab/>
        </w:r>
        <w:r>
          <w:fldChar w:fldCharType="begin"/>
        </w:r>
        <w:r>
          <w:instrText xml:space="preserve"> PAGEREF _Toc6517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882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治疗康复设备</w:t>
        </w:r>
        <w:r>
          <w:rPr>
            <w:rFonts w:eastAsia="微软雅黑" w:hint="eastAsia"/>
            <w:snapToGrid/>
            <w:lang w:val="en-US" w:eastAsia="en-US"/>
          </w:rPr>
          <w:t>行业经济周期分析</w:t>
        </w:r>
        <w:r>
          <w:tab/>
        </w:r>
        <w:r>
          <w:fldChar w:fldCharType="begin"/>
        </w:r>
        <w:r>
          <w:instrText xml:space="preserve"> PAGEREF _Toc22882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54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治疗康复设备</w:t>
        </w:r>
        <w:r>
          <w:rPr>
            <w:rFonts w:eastAsia="微软雅黑" w:hint="eastAsia"/>
            <w:snapToGrid/>
            <w:lang w:val="en-US" w:eastAsia="zh-CN"/>
          </w:rPr>
          <w:t>行业的增长与波动分析</w:t>
        </w:r>
        <w:r>
          <w:tab/>
        </w:r>
        <w:r>
          <w:fldChar w:fldCharType="begin"/>
        </w:r>
        <w:r>
          <w:instrText xml:space="preserve"> PAGEREF _Toc24549 \h </w:instrText>
        </w:r>
        <w:r>
          <w:fldChar w:fldCharType="separate"/>
        </w:r>
        <w:r>
          <w:t>35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https://d.book118.com/265130204343011033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265130204343011033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