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527" w:lineRule="exact"/>
        <w:ind w:firstLine="7441"/>
      </w:pPr>
      <w:r>
        <w:rPr>
          <w:position w:val="-10"/>
        </w:rPr>
        <w:drawing>
          <wp:inline distT="0" distB="0" distL="0" distR="0">
            <wp:extent cx="1568237" cy="33491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68237" cy="334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3" w:lineRule="auto"/>
        <w:rPr>
          <w:rFonts w:ascii="Arial"/>
          <w:sz w:val="21"/>
        </w:rPr>
      </w:pPr>
    </w:p>
    <w:p>
      <w:pPr>
        <w:pStyle w:val="BodyText"/>
        <w:spacing w:before="103" w:line="214" w:lineRule="auto"/>
        <w:ind w:left="641" w:right="912" w:firstLine="531"/>
        <w:jc w:val="both"/>
      </w:pPr>
      <w:r>
        <w:rPr>
          <w:color w:val="231F20"/>
          <w:spacing w:val="25"/>
        </w:rPr>
        <w:t>对于需求侧企业来说，如何应对数据价值激增所带来的数据安全风险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20"/>
        </w:rPr>
        <w:t>以及监管合规需求，是企业当前数据安全治理过程中的重要课</w:t>
      </w:r>
      <w:r>
        <w:rPr>
          <w:color w:val="231F20"/>
          <w:spacing w:val="19"/>
        </w:rPr>
        <w:t>题。  基于对</w:t>
      </w:r>
      <w:r>
        <w:rPr>
          <w:color w:val="231F20"/>
        </w:rPr>
        <w:t xml:space="preserve"> </w:t>
      </w:r>
      <w:r>
        <w:rPr>
          <w:color w:val="231F20"/>
          <w:spacing w:val="13"/>
        </w:rPr>
        <w:t>75家数据安全需求侧企业的调研分析发现：</w:t>
      </w:r>
    </w:p>
    <w:p>
      <w:pPr>
        <w:spacing w:line="395" w:lineRule="auto"/>
        <w:rPr>
          <w:rFonts w:ascii="Arial"/>
          <w:sz w:val="21"/>
        </w:rPr>
      </w:pPr>
    </w:p>
    <w:p>
      <w:pPr>
        <w:pStyle w:val="BodyText"/>
        <w:spacing w:before="120" w:line="189" w:lineRule="auto"/>
        <w:ind w:left="647" w:right="929" w:firstLine="3"/>
        <w:outlineLvl w:val="0"/>
        <w:rPr>
          <w:sz w:val="28"/>
          <w:szCs w:val="28"/>
        </w:rPr>
      </w:pPr>
      <w:r>
        <w:rPr>
          <w:color w:val="231F20"/>
          <w:spacing w:val="22"/>
          <w:sz w:val="28"/>
          <w:szCs w:val="28"/>
        </w:rPr>
        <w:t>一、数据安全体系建设呈现“上下贯通、技管结合”的双向耦合</w:t>
      </w:r>
      <w:r>
        <w:rPr>
          <w:color w:val="231F20"/>
          <w:spacing w:val="14"/>
          <w:sz w:val="28"/>
          <w:szCs w:val="28"/>
        </w:rPr>
        <w:t xml:space="preserve"> </w:t>
      </w:r>
      <w:r>
        <w:rPr>
          <w:color w:val="231F20"/>
          <w:spacing w:val="7"/>
          <w:sz w:val="28"/>
          <w:szCs w:val="28"/>
        </w:rPr>
        <w:t>趋势</w:t>
      </w:r>
    </w:p>
    <w:p>
      <w:pPr>
        <w:pStyle w:val="BodyText"/>
        <w:spacing w:before="281" w:line="233" w:lineRule="auto"/>
        <w:ind w:left="642" w:right="910" w:firstLine="553"/>
        <w:jc w:val="both"/>
      </w:pPr>
      <w:r>
        <w:rPr>
          <w:color w:val="231F20"/>
          <w:spacing w:val="25"/>
        </w:rPr>
        <w:t>需求侧企业在开展数据安全建设工作过程中存在各种</w:t>
      </w:r>
      <w:r>
        <w:rPr>
          <w:color w:val="231F20"/>
          <w:spacing w:val="24"/>
        </w:rPr>
        <w:t>各样的痛点与挑</w:t>
      </w:r>
      <w:r>
        <w:rPr>
          <w:color w:val="231F20"/>
        </w:rPr>
        <w:t xml:space="preserve"> </w:t>
      </w:r>
      <w:r>
        <w:rPr>
          <w:color w:val="231F20"/>
          <w:spacing w:val="34"/>
        </w:rPr>
        <w:t>战。据调研，在数据安全相关制度体系和技术体系建设方面，均有超过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27"/>
        </w:rPr>
        <w:t>70%的受访企业已开展相关数据安全工作（见图1</w:t>
      </w:r>
      <w:r>
        <w:rPr>
          <w:color w:val="231F20"/>
          <w:spacing w:val="32"/>
        </w:rPr>
        <w:t>），</w:t>
      </w:r>
      <w:r>
        <w:rPr>
          <w:color w:val="231F20"/>
          <w:spacing w:val="27"/>
        </w:rPr>
        <w:t>这说明大部分企业</w:t>
      </w:r>
      <w:r>
        <w:rPr>
          <w:color w:val="231F20"/>
        </w:rPr>
        <w:t xml:space="preserve"> </w:t>
      </w:r>
      <w:r>
        <w:rPr>
          <w:color w:val="231F20"/>
          <w:spacing w:val="17"/>
        </w:rPr>
        <w:t>已开展“自上而下”的数据安全管理体系建设工作。但由于企业存在数据安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25"/>
        </w:rPr>
        <w:t>全管理部门与数据属主部门、数据使用部门的协同治理权责不清、数据安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25"/>
        </w:rPr>
        <w:t>全防护体系和网络安全防护体系融合有缝隙等问题，数据安全管理要求无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20"/>
        </w:rPr>
        <w:t>法通过已部署的技术工具有效落实。46.7%（见图2）的受访企业认为“数</w:t>
      </w:r>
      <w:r>
        <w:rPr>
          <w:color w:val="231F20"/>
        </w:rPr>
        <w:t xml:space="preserve"> </w:t>
      </w:r>
      <w:r>
        <w:rPr>
          <w:color w:val="231F20"/>
          <w:spacing w:val="25"/>
        </w:rPr>
        <w:t>据安全体系建设不完善，管理和技术措施易脱节”是当前数据安全建设过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17"/>
        </w:rPr>
        <w:t>程中的关键难题。企业有待通过完善“自下而上”的业务场景数据安全建设</w:t>
      </w:r>
    </w:p>
    <w:p>
      <w:pPr>
        <w:pStyle w:val="BodyText"/>
        <w:spacing w:line="176" w:lineRule="auto"/>
        <w:ind w:left="651"/>
      </w:pPr>
      <w:r>
        <w:rPr>
          <w:color w:val="231F20"/>
          <w:spacing w:val="20"/>
        </w:rPr>
        <w:t>方案以提升数据安全管理与技术的协同能力。</w:t>
      </w:r>
    </w:p>
    <w:p>
      <w:pPr>
        <w:spacing w:before="4"/>
      </w:pPr>
    </w:p>
    <w:tbl>
      <w:tblPr>
        <w:tblStyle w:val="TableNormal"/>
        <w:tblW w:w="8503" w:type="dxa"/>
        <w:tblInd w:w="634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</w:tblPr>
      <w:tblGrid>
        <w:gridCol w:w="3750"/>
        <w:gridCol w:w="4753"/>
      </w:tblGrid>
      <w:tr>
        <w:tblPrEx>
          <w:tblW w:w="8503" w:type="dxa"/>
          <w:tblInd w:w="634" w:type="dxa"/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  <w:tblLayout w:type="fixed"/>
        </w:tblPrEx>
        <w:trPr>
          <w:trHeight w:val="5850"/>
        </w:trPr>
        <w:tc>
          <w:tcPr>
            <w:tcW w:w="3750" w:type="dxa"/>
            <w:tcBorders>
              <w:right w:val="nil"/>
            </w:tcBorders>
            <w:shd w:val="clear" w:color="auto" w:fill="FFFFFF"/>
            <w:vAlign w:val="top"/>
          </w:tcPr>
          <w:p>
            <w:pPr>
              <w:spacing w:before="163" w:line="159" w:lineRule="auto"/>
              <w:ind w:left="1414"/>
              <w:jc w:val="right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5"/>
                <w:sz w:val="16"/>
                <w:szCs w:val="16"/>
              </w:rPr>
              <w:t>数据安全现状摸排（如差距分析、</w:t>
            </w:r>
            <w:r>
              <w:rPr>
                <w:rFonts w:ascii="Microsoft YaHei" w:eastAsia="Microsoft YaHei" w:hAnsi="Microsoft YaHei" w:cs="Microsoft YaHei"/>
                <w:color w:val="57585A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57585A"/>
                <w:spacing w:val="-7"/>
                <w:sz w:val="16"/>
                <w:szCs w:val="16"/>
              </w:rPr>
              <w:t>数据安全评估等）</w:t>
            </w:r>
          </w:p>
          <w:p>
            <w:pPr>
              <w:spacing w:before="87" w:line="159" w:lineRule="auto"/>
              <w:ind w:left="1734"/>
              <w:jc w:val="right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6"/>
                <w:sz w:val="16"/>
                <w:szCs w:val="16"/>
              </w:rPr>
              <w:t>数据分类分级（如资源盘点、</w:t>
            </w:r>
            <w:r>
              <w:rPr>
                <w:rFonts w:ascii="Microsoft YaHei" w:eastAsia="Microsoft YaHei" w:hAnsi="Microsoft YaHei" w:cs="Microsoft YaHei"/>
                <w:color w:val="57585A"/>
                <w:spacing w:val="7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57585A"/>
                <w:spacing w:val="-7"/>
                <w:sz w:val="16"/>
                <w:szCs w:val="16"/>
              </w:rPr>
              <w:t>形成分类分级目录等）</w:t>
            </w:r>
          </w:p>
          <w:p>
            <w:pPr>
              <w:spacing w:before="87" w:line="159" w:lineRule="auto"/>
              <w:ind w:left="775"/>
              <w:jc w:val="right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4"/>
                <w:sz w:val="16"/>
                <w:szCs w:val="16"/>
              </w:rPr>
              <w:t>定期数据安全评估（如数据安全合规评估、</w:t>
            </w:r>
            <w:r>
              <w:rPr>
                <w:rFonts w:ascii="Microsoft YaHei" w:eastAsia="Microsoft YaHei" w:hAnsi="Microsoft YaHei" w:cs="Microsoft YaHei"/>
                <w:color w:val="57585A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57585A"/>
                <w:spacing w:val="-6"/>
                <w:sz w:val="16"/>
                <w:szCs w:val="16"/>
              </w:rPr>
              <w:t>数据安全风险评估）</w:t>
            </w:r>
          </w:p>
          <w:p>
            <w:pPr>
              <w:spacing w:before="143" w:line="226" w:lineRule="auto"/>
              <w:jc w:val="right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5"/>
                <w:sz w:val="16"/>
                <w:szCs w:val="16"/>
              </w:rPr>
              <w:t>数据安全运营（如数据安全风险管理</w:t>
            </w:r>
            <w:r>
              <w:rPr>
                <w:rFonts w:ascii="Microsoft YaHei" w:eastAsia="Microsoft YaHei" w:hAnsi="Microsoft YaHei" w:cs="Microsoft YaHei"/>
                <w:color w:val="57585A"/>
                <w:spacing w:val="-11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57585A"/>
                <w:spacing w:val="-5"/>
                <w:sz w:val="16"/>
                <w:szCs w:val="16"/>
              </w:rPr>
              <w:t>、监控审计）</w:t>
            </w:r>
          </w:p>
          <w:p>
            <w:pPr>
              <w:spacing w:before="126" w:line="173" w:lineRule="auto"/>
              <w:ind w:left="1091"/>
              <w:jc w:val="right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6"/>
                <w:sz w:val="15"/>
                <w:szCs w:val="15"/>
              </w:rPr>
              <w:t>数据安全事件应急（如开展应急演练、</w:t>
            </w:r>
            <w:r>
              <w:rPr>
                <w:rFonts w:ascii="Microsoft YaHei" w:eastAsia="Microsoft YaHei" w:hAnsi="Microsoft YaHei" w:cs="Microsoft YaHei"/>
                <w:color w:val="57585A"/>
                <w:sz w:val="15"/>
                <w:szCs w:val="1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57585A"/>
                <w:spacing w:val="2"/>
                <w:sz w:val="15"/>
                <w:szCs w:val="15"/>
              </w:rPr>
              <w:t>制定应急预案等）</w:t>
            </w:r>
          </w:p>
          <w:p>
            <w:pPr>
              <w:spacing w:before="92" w:line="174" w:lineRule="auto"/>
              <w:ind w:left="981" w:right="42" w:firstLine="174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1"/>
                <w:sz w:val="16"/>
                <w:szCs w:val="16"/>
              </w:rPr>
              <w:t>数据安全相关制度文件编制（如编制</w:t>
            </w:r>
            <w:r>
              <w:rPr>
                <w:rFonts w:ascii="Microsoft YaHei" w:eastAsia="Microsoft YaHei" w:hAnsi="Microsoft YaHei" w:cs="Microsoft YaHei"/>
                <w:color w:val="57585A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57585A"/>
                <w:spacing w:val="-2"/>
                <w:sz w:val="16"/>
                <w:szCs w:val="16"/>
              </w:rPr>
              <w:t>《数据全生命周期安全管理规范》等）</w:t>
            </w:r>
          </w:p>
          <w:p>
            <w:pPr>
              <w:spacing w:before="53" w:line="159" w:lineRule="auto"/>
              <w:ind w:left="1335" w:right="42" w:firstLine="459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2"/>
                <w:sz w:val="16"/>
                <w:szCs w:val="16"/>
              </w:rPr>
              <w:t>部署相关数据安全技术产品</w:t>
            </w:r>
            <w:r>
              <w:rPr>
                <w:rFonts w:ascii="Microsoft YaHei" w:eastAsia="Microsoft YaHei" w:hAnsi="Microsoft YaHei" w:cs="Microsoft YaHei"/>
                <w:color w:val="57585A"/>
                <w:spacing w:val="10"/>
                <w:sz w:val="16"/>
                <w:szCs w:val="1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57585A"/>
                <w:spacing w:val="-4"/>
                <w:sz w:val="16"/>
                <w:szCs w:val="16"/>
              </w:rPr>
              <w:t>（如部署分类分级、脱敏工具等）</w:t>
            </w:r>
          </w:p>
          <w:p>
            <w:pPr>
              <w:spacing w:before="132" w:line="452" w:lineRule="exact"/>
              <w:ind w:right="42"/>
              <w:jc w:val="right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1"/>
                <w:position w:val="23"/>
                <w:sz w:val="16"/>
                <w:szCs w:val="16"/>
              </w:rPr>
              <w:t>企业合作第三方数据安全管理</w:t>
            </w:r>
          </w:p>
          <w:p>
            <w:pPr>
              <w:spacing w:line="174" w:lineRule="auto"/>
              <w:ind w:left="2433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2"/>
                <w:sz w:val="16"/>
                <w:szCs w:val="16"/>
              </w:rPr>
              <w:t>数据出境安全管理</w:t>
            </w:r>
          </w:p>
          <w:p>
            <w:pPr>
              <w:spacing w:before="252" w:line="175" w:lineRule="auto"/>
              <w:ind w:left="1794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1"/>
                <w:sz w:val="16"/>
                <w:szCs w:val="16"/>
              </w:rPr>
              <w:t>开展数据安全人员能力培训</w:t>
            </w:r>
          </w:p>
          <w:p>
            <w:pPr>
              <w:spacing w:before="207" w:line="161" w:lineRule="auto"/>
              <w:ind w:left="2591" w:right="42" w:hanging="957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4"/>
                <w:sz w:val="16"/>
                <w:szCs w:val="16"/>
              </w:rPr>
              <w:t>设置数据安全管理责任部门，</w:t>
            </w:r>
            <w:r>
              <w:rPr>
                <w:rFonts w:ascii="Microsoft YaHei" w:eastAsia="Microsoft YaHei" w:hAnsi="Microsoft YaHei" w:cs="Microsoft YaHei"/>
                <w:color w:val="57585A"/>
                <w:spacing w:val="2"/>
                <w:sz w:val="16"/>
                <w:szCs w:val="16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color w:val="57585A"/>
                <w:spacing w:val="-2"/>
                <w:sz w:val="16"/>
                <w:szCs w:val="16"/>
              </w:rPr>
              <w:t>任命第一责任人</w:t>
            </w:r>
          </w:p>
          <w:p>
            <w:pPr>
              <w:spacing w:before="169" w:line="174" w:lineRule="auto"/>
              <w:ind w:left="3393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2"/>
                <w:w w:val="98"/>
                <w:sz w:val="16"/>
                <w:szCs w:val="16"/>
              </w:rPr>
              <w:t>其他</w:t>
            </w:r>
          </w:p>
        </w:tc>
        <w:tc>
          <w:tcPr>
            <w:tcW w:w="4753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spacing w:line="140" w:lineRule="exact"/>
            </w:pPr>
            <w:r>
              <w:pict>
                <v:rect id="_x0000_s1025" style="width:94.85pt;height:9.35pt;margin-top:213.13pt;margin-left:-230.28pt;mso-position-horizontal-relative:right-margin-area;mso-position-vertical-relative:top-margin-area;position:absolute;z-index:251658240" filled="t" fillcolor="#009cd9" stroked="f"/>
              </w:pict>
            </w:r>
            <w:r>
              <w:pict>
                <v:rect id="_x0000_s1026" style="width:100.4pt;height:9.35pt;margin-top:235.58pt;margin-left:-230.28pt;mso-position-horizontal-relative:right-margin-area;mso-position-vertical-relative:top-margin-area;position:absolute;z-index:251659264" filled="t" fillcolor="#009cd9" stroked="f"/>
              </w:pict>
            </w:r>
            <w:r>
              <w:pict>
                <v:rect id="_x0000_s1027" style="width:153.4pt;height:9.35pt;margin-top:11.07pt;margin-left:-230.28pt;mso-position-horizontal-relative:right-margin-area;mso-position-vertical-relative:top-margin-area;position:absolute;z-index:251667456" filled="t" fillcolor="#009cd9" stroked="f"/>
              </w:pict>
            </w:r>
            <w:r>
              <w:pict>
                <v:rect id="_x0000_s1028" style="width:158pt;height:9.35pt;margin-top:33.52pt;margin-left:-230.28pt;mso-position-horizontal-relative:right-margin-area;mso-position-vertical-relative:top-margin-area;position:absolute;z-index:251668480" filled="t" fillcolor="#009cd9" stroked="f"/>
              </w:pict>
            </w:r>
            <w:r>
              <w:pict>
                <v:rect id="_x0000_s1029" style="width:152.45pt;height:9.35pt;margin-top:55.97pt;margin-left:-230.28pt;mso-position-horizontal-relative:right-margin-area;mso-position-vertical-relative:top-margin-area;position:absolute;z-index:251661312" filled="t" fillcolor="#009cd9" stroked="f"/>
              </w:pict>
            </w:r>
            <w:r>
              <w:pict>
                <v:rect id="_x0000_s1030" style="width:145pt;height:9.35pt;margin-top:78.42pt;margin-left:-230.28pt;mso-position-horizontal-relative:right-margin-area;mso-position-vertical-relative:top-margin-area;position:absolute;z-index:251660288" filled="t" fillcolor="#009cd9" stroked="f"/>
              </w:pict>
            </w:r>
            <w:r>
              <w:pict>
                <v:rect id="_x0000_s1031" style="width:133.85pt;height:9.35pt;margin-top:100.87pt;margin-left:-230.28pt;mso-position-horizontal-relative:right-margin-area;mso-position-vertical-relative:top-margin-area;position:absolute;z-index:251662336" filled="t" fillcolor="#009cd9" stroked="f"/>
              </w:pict>
            </w:r>
            <w:r>
              <w:pict>
                <v:rect id="_x0000_s1032" style="width:148.75pt;height:9.35pt;margin-top:123.32pt;margin-left:-230.28pt;mso-position-horizontal-relative:right-margin-area;mso-position-vertical-relative:top-margin-area;position:absolute;z-index:251663360" filled="t" fillcolor="#009cd9" stroked="f"/>
              </w:pict>
            </w:r>
            <w:r>
              <w:pict>
                <v:rect id="_x0000_s1033" style="width:158pt;height:9.35pt;margin-top:145.77pt;margin-left:-230.28pt;mso-position-horizontal-relative:right-margin-area;mso-position-vertical-relative:top-margin-area;position:absolute;z-index:251665408" filled="t" fillcolor="#009cd9" stroked="f"/>
              </w:pict>
            </w:r>
            <w:r>
              <w:pict>
                <v:rect id="_x0000_s1034" style="width:66.95pt;height:9.35pt;margin-top:168.22pt;margin-left:-230.28pt;mso-position-horizontal-relative:right-margin-area;mso-position-vertical-relative:top-margin-area;position:absolute;z-index:251664384" filled="t" fillcolor="#009cd9" stroked="f"/>
              </w:pict>
            </w:r>
            <w:r>
              <w:pict>
                <v:rect id="_x0000_s1035" style="width:29.75pt;height:9.35pt;margin-top:190.68pt;margin-left:-230.28pt;mso-position-horizontal-relative:right-margin-area;mso-position-vertical-relative:top-margin-area;position:absolute;z-index:251666432" filled="t" fillcolor="#009cd9" stroked="f"/>
              </w:pict>
            </w:r>
          </w:p>
          <w:tbl>
            <w:tblPr>
              <w:tblStyle w:val="TableNormal"/>
              <w:tblW w:w="4084" w:type="dxa"/>
              <w:tblInd w:w="139" w:type="dxa"/>
              <w:tblBorders>
                <w:top w:val="single" w:sz="6" w:space="0" w:color="E6E7E9"/>
                <w:left w:val="single" w:sz="6" w:space="0" w:color="E6E7E9"/>
                <w:bottom w:val="single" w:sz="6" w:space="0" w:color="E6E7E9"/>
                <w:right w:val="single" w:sz="6" w:space="0" w:color="E6E7E9"/>
                <w:insideH w:val="single" w:sz="6" w:space="0" w:color="E6E7E9"/>
                <w:insideV w:val="single" w:sz="6" w:space="0" w:color="E6E7E9"/>
              </w:tblBorders>
              <w:tblLayout w:type="fixed"/>
            </w:tblPr>
            <w:tblGrid>
              <w:gridCol w:w="416"/>
              <w:gridCol w:w="406"/>
              <w:gridCol w:w="406"/>
              <w:gridCol w:w="407"/>
              <w:gridCol w:w="406"/>
              <w:gridCol w:w="407"/>
              <w:gridCol w:w="407"/>
              <w:gridCol w:w="406"/>
              <w:gridCol w:w="407"/>
              <w:gridCol w:w="416"/>
            </w:tblGrid>
            <w:tr>
              <w:tblPrEx>
                <w:tblW w:w="4084" w:type="dxa"/>
                <w:tblInd w:w="139" w:type="dxa"/>
                <w:tblBorders>
                  <w:top w:val="single" w:sz="6" w:space="0" w:color="E6E7E9"/>
                  <w:left w:val="single" w:sz="6" w:space="0" w:color="E6E7E9"/>
                  <w:bottom w:val="single" w:sz="6" w:space="0" w:color="E6E7E9"/>
                  <w:right w:val="single" w:sz="6" w:space="0" w:color="E6E7E9"/>
                  <w:insideH w:val="single" w:sz="6" w:space="0" w:color="E6E7E9"/>
                  <w:insideV w:val="single" w:sz="6" w:space="0" w:color="E6E7E9"/>
                </w:tblBorders>
                <w:tblLayout w:type="fixed"/>
              </w:tblPrEx>
              <w:trPr>
                <w:trHeight w:val="5345"/>
              </w:trPr>
              <w:tc>
                <w:tcPr>
                  <w:tcW w:w="416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50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</w:tc>
              <w:tc>
                <w:tcPr>
                  <w:tcW w:w="406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41" w:lineRule="auto"/>
                  </w:pPr>
                </w:p>
                <w:p>
                  <w:pPr>
                    <w:pStyle w:val="TableText"/>
                    <w:spacing w:line="241" w:lineRule="auto"/>
                  </w:pPr>
                </w:p>
                <w:p>
                  <w:pPr>
                    <w:pStyle w:val="TableText"/>
                    <w:spacing w:line="241" w:lineRule="auto"/>
                  </w:pPr>
                </w:p>
                <w:p>
                  <w:pPr>
                    <w:pStyle w:val="TableText"/>
                    <w:spacing w:line="241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</w:tc>
              <w:tc>
                <w:tcPr>
                  <w:tcW w:w="406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41" w:lineRule="auto"/>
                  </w:pPr>
                </w:p>
                <w:p>
                  <w:pPr>
                    <w:pStyle w:val="TableText"/>
                    <w:spacing w:line="241" w:lineRule="auto"/>
                  </w:pPr>
                </w:p>
                <w:p>
                  <w:pPr>
                    <w:pStyle w:val="TableText"/>
                    <w:spacing w:line="241" w:lineRule="auto"/>
                  </w:pPr>
                </w:p>
                <w:p>
                  <w:pPr>
                    <w:pStyle w:val="TableText"/>
                    <w:spacing w:line="241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pStyle w:val="TableText"/>
                    <w:spacing w:line="242" w:lineRule="auto"/>
                  </w:pPr>
                </w:p>
              </w:tc>
              <w:tc>
                <w:tcPr>
                  <w:tcW w:w="407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5" w:lineRule="auto"/>
                  </w:pPr>
                </w:p>
                <w:p>
                  <w:pPr>
                    <w:pStyle w:val="TableText"/>
                    <w:spacing w:line="245" w:lineRule="auto"/>
                  </w:pPr>
                </w:p>
                <w:p>
                  <w:pPr>
                    <w:pStyle w:val="TableText"/>
                    <w:spacing w:line="245" w:lineRule="auto"/>
                  </w:pPr>
                </w:p>
                <w:p>
                  <w:pPr>
                    <w:pStyle w:val="TableText"/>
                    <w:spacing w:line="245" w:lineRule="auto"/>
                  </w:pPr>
                </w:p>
                <w:p>
                  <w:pPr>
                    <w:spacing w:before="60" w:line="172" w:lineRule="auto"/>
                    <w:jc w:val="right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19"/>
                      <w:sz w:val="14"/>
                      <w:szCs w:val="14"/>
                    </w:rPr>
                    <w:t>3</w:t>
                  </w: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11"/>
                      <w:sz w:val="14"/>
                      <w:szCs w:val="14"/>
                    </w:rPr>
                    <w:t>3</w:t>
                  </w:r>
                </w:p>
              </w:tc>
              <w:tc>
                <w:tcPr>
                  <w:tcW w:w="406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5" w:lineRule="auto"/>
                  </w:pPr>
                </w:p>
                <w:p>
                  <w:pPr>
                    <w:pStyle w:val="TableText"/>
                    <w:spacing w:line="245" w:lineRule="auto"/>
                  </w:pPr>
                </w:p>
                <w:p>
                  <w:pPr>
                    <w:pStyle w:val="TableText"/>
                    <w:spacing w:line="245" w:lineRule="auto"/>
                  </w:pPr>
                </w:p>
                <w:p>
                  <w:pPr>
                    <w:pStyle w:val="TableText"/>
                    <w:spacing w:line="245" w:lineRule="auto"/>
                  </w:pPr>
                </w:p>
                <w:p>
                  <w:pPr>
                    <w:spacing w:before="60" w:line="172" w:lineRule="auto"/>
                    <w:ind w:left="19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5"/>
                      <w:sz w:val="14"/>
                      <w:szCs w:val="14"/>
                    </w:rPr>
                    <w:t>.3%</w:t>
                  </w:r>
                </w:p>
              </w:tc>
              <w:tc>
                <w:tcPr>
                  <w:tcW w:w="407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54" w:lineRule="auto"/>
                  </w:pPr>
                </w:p>
                <w:p>
                  <w:pPr>
                    <w:pStyle w:val="TableText"/>
                    <w:spacing w:line="254" w:lineRule="auto"/>
                  </w:pPr>
                </w:p>
                <w:p>
                  <w:pPr>
                    <w:pStyle w:val="TableText"/>
                    <w:spacing w:line="254" w:lineRule="auto"/>
                  </w:pPr>
                </w:p>
                <w:p>
                  <w:pPr>
                    <w:pStyle w:val="TableText"/>
                    <w:spacing w:line="254" w:lineRule="auto"/>
                  </w:pPr>
                </w:p>
                <w:p>
                  <w:pPr>
                    <w:pStyle w:val="TableText"/>
                    <w:spacing w:line="255" w:lineRule="auto"/>
                  </w:pPr>
                </w:p>
                <w:p>
                  <w:pPr>
                    <w:pStyle w:val="TableText"/>
                    <w:spacing w:line="255" w:lineRule="auto"/>
                  </w:pPr>
                </w:p>
                <w:p>
                  <w:pPr>
                    <w:pStyle w:val="TableText"/>
                    <w:spacing w:line="255" w:lineRule="auto"/>
                  </w:pPr>
                </w:p>
                <w:p>
                  <w:pPr>
                    <w:pStyle w:val="TableText"/>
                    <w:spacing w:line="255" w:lineRule="auto"/>
                  </w:pPr>
                </w:p>
                <w:p>
                  <w:pPr>
                    <w:pStyle w:val="TableText"/>
                    <w:spacing w:line="255" w:lineRule="auto"/>
                  </w:pPr>
                </w:p>
                <w:p>
                  <w:pPr>
                    <w:pStyle w:val="TableText"/>
                    <w:spacing w:line="255" w:lineRule="auto"/>
                  </w:pPr>
                </w:p>
                <w:p>
                  <w:pPr>
                    <w:pStyle w:val="TableText"/>
                    <w:spacing w:line="255" w:lineRule="auto"/>
                  </w:pPr>
                </w:p>
                <w:p>
                  <w:pPr>
                    <w:pStyle w:val="TableText"/>
                    <w:spacing w:line="255" w:lineRule="auto"/>
                  </w:pPr>
                </w:p>
                <w:p>
                  <w:pPr>
                    <w:pStyle w:val="TableText"/>
                    <w:spacing w:line="255" w:lineRule="auto"/>
                  </w:pPr>
                </w:p>
                <w:p>
                  <w:pPr>
                    <w:pStyle w:val="TableText"/>
                    <w:spacing w:line="255" w:lineRule="auto"/>
                  </w:pPr>
                </w:p>
              </w:tc>
              <w:tc>
                <w:tcPr>
                  <w:tcW w:w="407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50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</w:tc>
              <w:tc>
                <w:tcPr>
                  <w:tcW w:w="406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316" w:lineRule="auto"/>
                  </w:pPr>
                </w:p>
                <w:p>
                  <w:pPr>
                    <w:pStyle w:val="TableText"/>
                    <w:spacing w:line="316" w:lineRule="auto"/>
                  </w:pPr>
                </w:p>
                <w:p>
                  <w:pPr>
                    <w:pStyle w:val="TableText"/>
                    <w:spacing w:line="316" w:lineRule="auto"/>
                  </w:pPr>
                </w:p>
                <w:p>
                  <w:pPr>
                    <w:spacing w:before="60" w:line="172" w:lineRule="auto"/>
                    <w:jc w:val="right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9"/>
                      <w:w w:val="85"/>
                      <w:sz w:val="14"/>
                      <w:szCs w:val="14"/>
                    </w:rPr>
                    <w:t>7</w:t>
                  </w: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3"/>
                      <w:w w:val="85"/>
                      <w:sz w:val="14"/>
                      <w:szCs w:val="14"/>
                    </w:rPr>
                    <w:t>4</w:t>
                  </w:r>
                </w:p>
                <w:p>
                  <w:pPr>
                    <w:spacing w:before="278" w:line="174" w:lineRule="auto"/>
                    <w:ind w:right="6"/>
                    <w:jc w:val="right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4"/>
                      <w:sz w:val="14"/>
                      <w:szCs w:val="14"/>
                    </w:rPr>
                    <w:t>70.</w:t>
                  </w:r>
                </w:p>
                <w:p>
                  <w:pPr>
                    <w:spacing w:before="280" w:line="172" w:lineRule="auto"/>
                    <w:jc w:val="right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10"/>
                      <w:sz w:val="14"/>
                      <w:szCs w:val="14"/>
                    </w:rPr>
                    <w:t>65.</w:t>
                  </w: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9"/>
                      <w:sz w:val="14"/>
                      <w:szCs w:val="14"/>
                    </w:rPr>
                    <w:t>3</w:t>
                  </w: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6"/>
                      <w:sz w:val="14"/>
                      <w:szCs w:val="14"/>
                    </w:rPr>
                    <w:t>%</w:t>
                  </w:r>
                </w:p>
                <w:p>
                  <w:pPr>
                    <w:spacing w:before="280" w:line="172" w:lineRule="auto"/>
                    <w:jc w:val="right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19"/>
                      <w:w w:val="91"/>
                      <w:sz w:val="14"/>
                      <w:szCs w:val="14"/>
                    </w:rPr>
                    <w:t>7</w:t>
                  </w: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11"/>
                      <w:w w:val="91"/>
                      <w:sz w:val="14"/>
                      <w:szCs w:val="14"/>
                    </w:rPr>
                    <w:t>3</w:t>
                  </w:r>
                </w:p>
              </w:tc>
              <w:tc>
                <w:tcPr>
                  <w:tcW w:w="407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spacing w:before="128" w:line="174" w:lineRule="auto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9"/>
                      <w:sz w:val="14"/>
                      <w:szCs w:val="14"/>
                    </w:rPr>
                    <w:t>76.0%</w:t>
                  </w:r>
                </w:p>
                <w:p>
                  <w:pPr>
                    <w:spacing w:before="258" w:line="174" w:lineRule="auto"/>
                    <w:jc w:val="right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10"/>
                      <w:sz w:val="14"/>
                      <w:szCs w:val="14"/>
                    </w:rPr>
                    <w:t>78.</w:t>
                  </w: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9"/>
                      <w:sz w:val="14"/>
                      <w:szCs w:val="14"/>
                    </w:rPr>
                    <w:t>7</w:t>
                  </w: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6"/>
                      <w:sz w:val="14"/>
                      <w:szCs w:val="14"/>
                    </w:rPr>
                    <w:t>%</w:t>
                  </w:r>
                </w:p>
                <w:p>
                  <w:pPr>
                    <w:spacing w:before="280" w:line="172" w:lineRule="auto"/>
                    <w:ind w:left="8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6"/>
                      <w:sz w:val="14"/>
                      <w:szCs w:val="14"/>
                    </w:rPr>
                    <w:t>.7%</w:t>
                  </w:r>
                </w:p>
                <w:p>
                  <w:pPr>
                    <w:spacing w:before="280" w:line="170" w:lineRule="auto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8"/>
                      <w:sz w:val="14"/>
                      <w:szCs w:val="14"/>
                    </w:rPr>
                    <w:t>7%</w:t>
                  </w:r>
                </w:p>
                <w:p>
                  <w:pPr>
                    <w:pStyle w:val="TableText"/>
                    <w:spacing w:line="335" w:lineRule="auto"/>
                  </w:pPr>
                </w:p>
                <w:p>
                  <w:pPr>
                    <w:pStyle w:val="TableText"/>
                    <w:spacing w:line="335" w:lineRule="auto"/>
                  </w:pPr>
                </w:p>
                <w:p>
                  <w:pPr>
                    <w:spacing w:before="60" w:line="172" w:lineRule="auto"/>
                    <w:ind w:left="28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5"/>
                      <w:sz w:val="14"/>
                      <w:szCs w:val="14"/>
                    </w:rPr>
                    <w:t>.3%</w:t>
                  </w:r>
                </w:p>
                <w:p>
                  <w:pPr>
                    <w:spacing w:before="280" w:line="172" w:lineRule="auto"/>
                    <w:jc w:val="right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14"/>
                      <w:sz w:val="14"/>
                      <w:szCs w:val="14"/>
                    </w:rPr>
                    <w:t>77</w:t>
                  </w: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13"/>
                      <w:sz w:val="14"/>
                      <w:szCs w:val="14"/>
                    </w:rPr>
                    <w:t>.</w:t>
                  </w: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11"/>
                      <w:sz w:val="14"/>
                      <w:szCs w:val="14"/>
                    </w:rPr>
                    <w:t>3</w:t>
                  </w:r>
                </w:p>
              </w:tc>
              <w:tc>
                <w:tcPr>
                  <w:tcW w:w="416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46" w:lineRule="auto"/>
                  </w:pPr>
                </w:p>
                <w:p>
                  <w:pPr>
                    <w:pStyle w:val="TableText"/>
                    <w:spacing w:line="246" w:lineRule="auto"/>
                  </w:pPr>
                </w:p>
                <w:p>
                  <w:pPr>
                    <w:pStyle w:val="TableText"/>
                    <w:spacing w:line="246" w:lineRule="auto"/>
                  </w:pPr>
                </w:p>
                <w:p>
                  <w:pPr>
                    <w:pStyle w:val="TableText"/>
                    <w:spacing w:line="246" w:lineRule="auto"/>
                  </w:pPr>
                </w:p>
                <w:p>
                  <w:pPr>
                    <w:pStyle w:val="TableText"/>
                    <w:spacing w:line="246" w:lineRule="auto"/>
                  </w:pPr>
                </w:p>
                <w:p>
                  <w:pPr>
                    <w:pStyle w:val="TableText"/>
                    <w:spacing w:line="246" w:lineRule="auto"/>
                  </w:pPr>
                </w:p>
                <w:p>
                  <w:pPr>
                    <w:pStyle w:val="TableText"/>
                    <w:spacing w:line="246" w:lineRule="auto"/>
                  </w:pPr>
                </w:p>
                <w:p>
                  <w:pPr>
                    <w:pStyle w:val="TableText"/>
                    <w:spacing w:line="246" w:lineRule="auto"/>
                  </w:pPr>
                </w:p>
                <w:p>
                  <w:pPr>
                    <w:pStyle w:val="TableText"/>
                    <w:spacing w:line="247" w:lineRule="auto"/>
                  </w:pPr>
                </w:p>
                <w:p>
                  <w:pPr>
                    <w:pStyle w:val="TableText"/>
                    <w:spacing w:line="247" w:lineRule="auto"/>
                  </w:pPr>
                </w:p>
                <w:p>
                  <w:pPr>
                    <w:pStyle w:val="TableText"/>
                    <w:spacing w:line="247" w:lineRule="auto"/>
                  </w:pPr>
                </w:p>
                <w:p>
                  <w:pPr>
                    <w:spacing w:before="60" w:line="248" w:lineRule="exact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position w:val="2"/>
                      <w:sz w:val="14"/>
                      <w:szCs w:val="14"/>
                    </w:rPr>
                    <w:t>%</w:t>
                  </w:r>
                </w:p>
              </w:tc>
            </w:tr>
          </w:tbl>
          <w:p/>
        </w:tc>
      </w:tr>
    </w:tbl>
    <w:p>
      <w:pPr>
        <w:sectPr>
          <w:pgSz w:w="11906" w:h="16838"/>
          <w:pgMar w:top="1360" w:right="787" w:bottom="0" w:left="1065" w:header="0" w:footer="0" w:gutter="0"/>
          <w:cols w:num="1" w:space="708" w:equalWidth="0">
            <w:col w:w="10052" w:space="0"/>
          </w:cols>
        </w:sectPr>
      </w:pPr>
    </w:p>
    <w:tbl>
      <w:tblPr>
        <w:tblStyle w:val="TableNormal0"/>
        <w:tblW w:w="8503" w:type="dxa"/>
        <w:tblInd w:w="634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</w:tblPr>
      <w:tblGrid>
        <w:gridCol w:w="3750"/>
        <w:gridCol w:w="4753"/>
      </w:tblGrid>
      <w:tr>
        <w:tblPrEx>
          <w:tblW w:w="8503" w:type="dxa"/>
          <w:tblInd w:w="634" w:type="dxa"/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  <w:tblLayout w:type="fixed"/>
        </w:tblPrEx>
        <w:trPr>
          <w:trHeight w:val="5850"/>
        </w:trPr>
        <w:tc>
          <w:tcPr>
            <w:tcW w:w="3750" w:type="dxa"/>
            <w:tcBorders>
              <w:right w:val="nil"/>
            </w:tcBorders>
            <w:shd w:val="clear" w:color="auto" w:fill="FFFFFF"/>
            <w:vAlign w:val="top"/>
          </w:tcPr>
          <w:p/>
        </w:tc>
        <w:tc>
          <w:tcPr>
            <w:tcW w:w="4753" w:type="dxa"/>
            <w:tcBorders>
              <w:left w:val="nil"/>
            </w:tcBorders>
            <w:shd w:val="clear" w:color="auto" w:fill="FFFFFF"/>
            <w:vAlign w:val="top"/>
          </w:tcPr>
          <w:tbl>
            <w:tblPr>
              <w:tblStyle w:val="TableNormal0"/>
              <w:tblW w:w="4084" w:type="dxa"/>
              <w:tblInd w:w="139" w:type="dxa"/>
              <w:tblBorders>
                <w:top w:val="single" w:sz="6" w:space="0" w:color="E6E7E9"/>
                <w:left w:val="single" w:sz="6" w:space="0" w:color="E6E7E9"/>
                <w:bottom w:val="single" w:sz="6" w:space="0" w:color="E6E7E9"/>
                <w:right w:val="single" w:sz="6" w:space="0" w:color="E6E7E9"/>
                <w:insideH w:val="single" w:sz="6" w:space="0" w:color="E6E7E9"/>
                <w:insideV w:val="single" w:sz="6" w:space="0" w:color="E6E7E9"/>
              </w:tblBorders>
              <w:tblLayout w:type="fixed"/>
            </w:tblPr>
            <w:tblGrid>
              <w:gridCol w:w="416"/>
              <w:gridCol w:w="406"/>
              <w:gridCol w:w="406"/>
              <w:gridCol w:w="407"/>
              <w:gridCol w:w="406"/>
              <w:gridCol w:w="407"/>
              <w:gridCol w:w="407"/>
              <w:gridCol w:w="406"/>
              <w:gridCol w:w="407"/>
              <w:gridCol w:w="416"/>
            </w:tblGrid>
            <w:tr>
              <w:tblPrEx>
                <w:tblW w:w="4084" w:type="dxa"/>
                <w:tblInd w:w="139" w:type="dxa"/>
                <w:tblBorders>
                  <w:top w:val="single" w:sz="6" w:space="0" w:color="E6E7E9"/>
                  <w:left w:val="single" w:sz="6" w:space="0" w:color="E6E7E9"/>
                  <w:bottom w:val="single" w:sz="6" w:space="0" w:color="E6E7E9"/>
                  <w:right w:val="single" w:sz="6" w:space="0" w:color="E6E7E9"/>
                  <w:insideH w:val="single" w:sz="6" w:space="0" w:color="E6E7E9"/>
                  <w:insideV w:val="single" w:sz="6" w:space="0" w:color="E6E7E9"/>
                </w:tblBorders>
                <w:tblLayout w:type="fixed"/>
              </w:tblPrEx>
              <w:trPr>
                <w:trHeight w:val="5345"/>
              </w:trPr>
              <w:tc>
                <w:tcPr>
                  <w:tcW w:w="416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spacing w:before="56" w:line="180" w:lineRule="auto"/>
                    <w:ind w:left="108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8"/>
                      <w:sz w:val="13"/>
                      <w:szCs w:val="13"/>
                    </w:rPr>
                    <w:t>1.3%</w:t>
                  </w:r>
                </w:p>
              </w:tc>
              <w:tc>
                <w:tcPr>
                  <w:tcW w:w="406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spacing w:before="60" w:line="172" w:lineRule="auto"/>
                    <w:ind w:right="1"/>
                    <w:jc w:val="right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z w:val="14"/>
                      <w:szCs w:val="14"/>
                    </w:rPr>
                    <w:t>1</w:t>
                  </w:r>
                </w:p>
              </w:tc>
              <w:tc>
                <w:tcPr>
                  <w:tcW w:w="406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42" w:lineRule="auto"/>
                  </w:pPr>
                </w:p>
                <w:p>
                  <w:pPr>
                    <w:spacing w:before="60" w:line="172" w:lineRule="auto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10"/>
                      <w:sz w:val="14"/>
                      <w:szCs w:val="14"/>
                    </w:rPr>
                    <w:t>4.7%</w:t>
                  </w:r>
                </w:p>
              </w:tc>
              <w:tc>
                <w:tcPr>
                  <w:tcW w:w="407" w:type="dxa"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406" w:type="dxa"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407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55" w:lineRule="auto"/>
                  </w:pPr>
                </w:p>
                <w:p>
                  <w:pPr>
                    <w:pStyle w:val="TableText"/>
                    <w:spacing w:line="255" w:lineRule="auto"/>
                  </w:pPr>
                </w:p>
                <w:p>
                  <w:pPr>
                    <w:spacing w:before="60" w:line="172" w:lineRule="auto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4"/>
                      <w:sz w:val="14"/>
                      <w:szCs w:val="14"/>
                    </w:rPr>
                    <w:t>46.7%</w:t>
                  </w:r>
                </w:p>
                <w:p>
                  <w:pPr>
                    <w:spacing w:before="278" w:line="174" w:lineRule="auto"/>
                    <w:ind w:left="88"/>
                    <w:rPr>
                      <w:rFonts w:ascii="Microsoft YaHei" w:eastAsia="Microsoft YaHei" w:hAnsi="Microsoft YaHei" w:cs="Microsoft YaHei"/>
                      <w:sz w:val="14"/>
                      <w:szCs w:val="1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5"/>
                      <w:sz w:val="14"/>
                      <w:szCs w:val="14"/>
                    </w:rPr>
                    <w:t>49.3</w:t>
                  </w:r>
                </w:p>
              </w:tc>
              <w:tc>
                <w:tcPr>
                  <w:tcW w:w="407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pStyle w:val="TableText"/>
                    <w:spacing w:line="251" w:lineRule="auto"/>
                  </w:pPr>
                </w:p>
                <w:p>
                  <w:pPr>
                    <w:spacing w:before="30" w:line="186" w:lineRule="exact"/>
                    <w:rPr>
                      <w:rFonts w:ascii="Microsoft YaHei" w:eastAsia="Microsoft YaHei" w:hAnsi="Microsoft YaHei" w:cs="Microsoft YaHei"/>
                      <w:sz w:val="7"/>
                      <w:szCs w:val="7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position w:val="3"/>
                      <w:sz w:val="7"/>
                      <w:szCs w:val="7"/>
                    </w:rPr>
                    <w:t>%</w:t>
                  </w:r>
                </w:p>
              </w:tc>
              <w:tc>
                <w:tcPr>
                  <w:tcW w:w="406" w:type="dxa"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407" w:type="dxa"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416" w:type="dxa"/>
                  <w:tcBorders>
                    <w:top w:val="nil"/>
                    <w:bottom w:val="nil"/>
                  </w:tcBorders>
                  <w:vAlign w:val="top"/>
                </w:tcPr>
                <w:p/>
              </w:tc>
            </w:tr>
          </w:tbl>
          <w:p>
            <w:pPr>
              <w:spacing w:before="59" w:line="174" w:lineRule="auto"/>
              <w:ind w:left="42"/>
              <w:rPr>
                <w:rFonts w:ascii="Microsoft YaHei" w:eastAsia="Microsoft YaHei" w:hAnsi="Microsoft YaHei" w:cs="Microsoft YaHei"/>
                <w:sz w:val="12"/>
                <w:szCs w:val="12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z w:val="12"/>
                <w:szCs w:val="12"/>
              </w:rPr>
              <w:t>0.0%  10.0%   20.0%</w:t>
            </w:r>
            <w:r>
              <w:rPr>
                <w:rFonts w:ascii="Microsoft YaHei" w:eastAsia="Microsoft YaHei" w:hAnsi="Microsoft YaHei" w:cs="Microsoft YaHei"/>
                <w:color w:val="57585A"/>
                <w:spacing w:val="23"/>
                <w:w w:val="102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57585A"/>
                <w:sz w:val="12"/>
                <w:szCs w:val="12"/>
              </w:rPr>
              <w:t>30.0%</w:t>
            </w:r>
            <w:r>
              <w:rPr>
                <w:rFonts w:ascii="Microsoft YaHei" w:eastAsia="Microsoft YaHei" w:hAnsi="Microsoft YaHei" w:cs="Microsoft YaHei"/>
                <w:color w:val="57585A"/>
                <w:spacing w:val="26"/>
                <w:w w:val="102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57585A"/>
                <w:sz w:val="12"/>
                <w:szCs w:val="12"/>
              </w:rPr>
              <w:t>40.0%</w:t>
            </w:r>
            <w:r>
              <w:rPr>
                <w:rFonts w:ascii="Microsoft YaHei" w:eastAsia="Microsoft YaHei" w:hAnsi="Microsoft YaHei" w:cs="Microsoft YaHei"/>
                <w:color w:val="57585A"/>
                <w:spacing w:val="18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57585A"/>
                <w:sz w:val="12"/>
                <w:szCs w:val="12"/>
              </w:rPr>
              <w:t>50.</w:t>
            </w:r>
            <w:r>
              <w:rPr>
                <w:rFonts w:ascii="Microsoft YaHei" w:eastAsia="Microsoft YaHei" w:hAnsi="Microsoft YaHei" w:cs="Microsoft YaHei"/>
                <w:color w:val="57585A"/>
                <w:spacing w:val="-1"/>
                <w:sz w:val="12"/>
                <w:szCs w:val="12"/>
              </w:rPr>
              <w:t>0%</w:t>
            </w:r>
            <w:r>
              <w:rPr>
                <w:rFonts w:ascii="Microsoft YaHei" w:eastAsia="Microsoft YaHei" w:hAnsi="Microsoft YaHei" w:cs="Microsoft YaHei"/>
                <w:color w:val="57585A"/>
                <w:spacing w:val="11"/>
                <w:w w:val="102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57585A"/>
                <w:spacing w:val="-1"/>
                <w:sz w:val="12"/>
                <w:szCs w:val="12"/>
              </w:rPr>
              <w:t>60.0%</w:t>
            </w:r>
            <w:r>
              <w:rPr>
                <w:rFonts w:ascii="Microsoft YaHei" w:eastAsia="Microsoft YaHei" w:hAnsi="Microsoft YaHei" w:cs="Microsoft YaHei"/>
                <w:color w:val="57585A"/>
                <w:spacing w:val="33"/>
                <w:w w:val="101"/>
                <w:sz w:val="12"/>
                <w:szCs w:val="1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57585A"/>
                <w:spacing w:val="-1"/>
                <w:sz w:val="12"/>
                <w:szCs w:val="12"/>
              </w:rPr>
              <w:t>70.0%  80.0%  90.0%</w:t>
            </w:r>
          </w:p>
        </w:tc>
      </w:tr>
    </w:tbl>
    <w:p>
      <w:pPr>
        <w:pStyle w:val="BodyText"/>
        <w:spacing w:before="175" w:line="176" w:lineRule="auto"/>
        <w:ind w:left="2994"/>
        <w:rPr>
          <w:sz w:val="20"/>
          <w:szCs w:val="20"/>
        </w:rPr>
      </w:pPr>
      <w:r>
        <w:rPr>
          <w:color w:val="231F20"/>
          <w:spacing w:val="-1"/>
          <w:sz w:val="20"/>
          <w:szCs w:val="20"/>
        </w:rPr>
        <w:t>图1</w:t>
      </w:r>
      <w:r>
        <w:rPr>
          <w:color w:val="231F20"/>
          <w:spacing w:val="45"/>
          <w:sz w:val="20"/>
          <w:szCs w:val="20"/>
        </w:rPr>
        <w:t xml:space="preserve"> </w:t>
      </w:r>
      <w:r>
        <w:rPr>
          <w:color w:val="231F20"/>
          <w:spacing w:val="-1"/>
          <w:sz w:val="20"/>
          <w:szCs w:val="20"/>
        </w:rPr>
        <w:t>数据安全需求侧数据安全工作开展情况</w:t>
      </w:r>
    </w:p>
    <w:p>
      <w:pPr>
        <w:spacing w:before="85"/>
      </w:pPr>
    </w:p>
    <w:p>
      <w:pPr>
        <w:sectPr>
          <w:type w:val="nextPage"/>
          <w:pgSz w:w="11906" w:h="16838"/>
          <w:pgMar w:top="1360" w:right="787" w:bottom="0" w:left="1065" w:header="0" w:footer="0" w:gutter="0"/>
          <w:pgNumType w:start="2"/>
          <w:cols w:num="1" w:space="708" w:equalWidth="0">
            <w:col w:w="10052" w:space="0"/>
          </w:cols>
          <w:titlePg w:val="0"/>
        </w:sectPr>
      </w:pPr>
    </w:p>
    <w:p>
      <w:pPr>
        <w:pStyle w:val="BodyText"/>
        <w:tabs>
          <w:tab w:val="left" w:pos="276"/>
        </w:tabs>
        <w:spacing w:before="69"/>
        <w:rPr>
          <w:sz w:val="19"/>
          <w:szCs w:val="19"/>
        </w:rPr>
      </w:pPr>
      <w:r>
        <w:rPr>
          <w:color w:val="FFFFFF"/>
          <w:sz w:val="19"/>
          <w:szCs w:val="19"/>
          <w:shd w:val="clear" w:color="auto" w:fill="599DD3"/>
        </w:rPr>
        <w:tab/>
      </w:r>
      <w:r>
        <w:rPr>
          <w:color w:val="FFFFFF"/>
          <w:spacing w:val="4"/>
          <w:sz w:val="19"/>
          <w:szCs w:val="19"/>
          <w:shd w:val="clear" w:color="auto" w:fill="599DD3"/>
        </w:rPr>
        <w:t>2023年数据安全行业调研报告</w:t>
      </w:r>
      <w:r>
        <w:rPr>
          <w:color w:val="FFFFFF"/>
          <w:spacing w:val="28"/>
          <w:sz w:val="19"/>
          <w:szCs w:val="19"/>
          <w:shd w:val="clear" w:color="auto" w:fill="599DD3"/>
        </w:rPr>
        <w:t xml:space="preserve"> </w:t>
      </w:r>
      <w:r>
        <w:rPr>
          <w:position w:val="-9"/>
          <w:sz w:val="19"/>
          <w:szCs w:val="19"/>
        </w:rPr>
        <w:drawing>
          <wp:inline distT="0" distB="0" distL="0" distR="0">
            <wp:extent cx="262737" cy="21890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2737" cy="218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sz w:val="19"/>
          <w:szCs w:val="19"/>
          <w:u w:val="double" w:color="000000"/>
        </w:rPr>
        <w:t xml:space="preserve">                                                                                                           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8" w:line="224" w:lineRule="exact"/>
        <w:ind w:left="187"/>
        <w:rPr>
          <w:sz w:val="25"/>
          <w:szCs w:val="25"/>
        </w:rPr>
      </w:pPr>
      <w:r>
        <w:rPr>
          <w:color w:val="231F20"/>
          <w:spacing w:val="-3"/>
          <w:position w:val="-3"/>
          <w:sz w:val="25"/>
          <w:szCs w:val="25"/>
        </w:rPr>
        <w:t>02</w:t>
      </w:r>
    </w:p>
    <w:p>
      <w:pPr>
        <w:spacing w:line="224" w:lineRule="exact"/>
        <w:rPr>
          <w:sz w:val="25"/>
          <w:szCs w:val="25"/>
        </w:rPr>
        <w:sectPr>
          <w:type w:val="continuous"/>
          <w:pgSz w:w="11906" w:h="16838"/>
          <w:pgMar w:top="1360" w:right="787" w:bottom="0" w:left="1065" w:header="0" w:footer="0" w:gutter="0"/>
          <w:pgNumType w:start="3"/>
          <w:cols w:num="2" w:space="708" w:equalWidth="0">
            <w:col w:w="9332" w:space="0"/>
            <w:col w:w="720" w:space="0"/>
          </w:cols>
        </w:sect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527" w:lineRule="exact"/>
        <w:ind w:firstLine="7441"/>
      </w:pPr>
      <w:r>
        <w:rPr>
          <w:position w:val="-10"/>
        </w:rPr>
        <w:drawing>
          <wp:inline distT="0" distB="0" distL="0" distR="0">
            <wp:extent cx="1568237" cy="33491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68237" cy="334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5" w:lineRule="auto"/>
        <w:rPr>
          <w:rFonts w:ascii="Arial"/>
          <w:sz w:val="21"/>
        </w:rPr>
      </w:pPr>
    </w:p>
    <w:p>
      <w:pPr>
        <w:pStyle w:val="BodyText"/>
        <w:spacing w:before="103" w:line="233" w:lineRule="auto"/>
        <w:ind w:left="651" w:right="911" w:firstLine="552"/>
        <w:jc w:val="both"/>
      </w:pPr>
      <w:r>
        <w:rPr>
          <w:color w:val="231F20"/>
          <w:spacing w:val="28"/>
        </w:rPr>
        <w:t>同时如图2所示，“数据与业务紧耦合，组织内部流</w:t>
      </w:r>
      <w:r>
        <w:rPr>
          <w:color w:val="231F20"/>
          <w:spacing w:val="27"/>
        </w:rPr>
        <w:t>程协作拉通困难</w:t>
      </w:r>
      <w:r>
        <w:rPr>
          <w:color w:val="231F20"/>
        </w:rPr>
        <w:t xml:space="preserve"> </w:t>
      </w:r>
      <w:r>
        <w:rPr>
          <w:color w:val="231F20"/>
          <w:spacing w:val="10"/>
        </w:rPr>
        <w:t>大”（45.3%）、“缺少专业的数据安全人才”（44.0%）也是企业当前</w:t>
      </w:r>
      <w:r>
        <w:rPr>
          <w:color w:val="231F20"/>
          <w:spacing w:val="9"/>
        </w:rPr>
        <w:t>面临</w:t>
      </w:r>
    </w:p>
    <w:p>
      <w:pPr>
        <w:pStyle w:val="BodyText"/>
        <w:spacing w:before="1" w:line="174" w:lineRule="auto"/>
        <w:ind w:left="661"/>
      </w:pPr>
      <w:r>
        <w:rPr>
          <w:color w:val="231F20"/>
          <w:spacing w:val="17"/>
        </w:rPr>
        <w:t>的数据安全建设痛难点问题。</w:t>
      </w:r>
    </w:p>
    <w:p>
      <w:pPr>
        <w:spacing w:before="13"/>
      </w:pPr>
    </w:p>
    <w:p>
      <w:pPr>
        <w:spacing w:before="12"/>
      </w:pPr>
    </w:p>
    <w:tbl>
      <w:tblPr>
        <w:tblStyle w:val="TableNormal1"/>
        <w:tblW w:w="8575" w:type="dxa"/>
        <w:tblInd w:w="59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</w:tblPr>
      <w:tblGrid>
        <w:gridCol w:w="3900"/>
        <w:gridCol w:w="4675"/>
      </w:tblGrid>
      <w:tr>
        <w:tblPrEx>
          <w:tblW w:w="8575" w:type="dxa"/>
          <w:tblInd w:w="598" w:type="dxa"/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  <w:tblLayout w:type="fixed"/>
        </w:tblPrEx>
        <w:trPr>
          <w:trHeight w:val="3487"/>
        </w:trPr>
        <w:tc>
          <w:tcPr>
            <w:tcW w:w="3900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line="330" w:lineRule="auto"/>
            </w:pPr>
          </w:p>
          <w:p>
            <w:pPr>
              <w:spacing w:before="60" w:line="176" w:lineRule="auto"/>
              <w:ind w:left="873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2"/>
                <w:sz w:val="14"/>
                <w:szCs w:val="14"/>
              </w:rPr>
              <w:t>不清楚如何进行数据安全技术产品或服务的选型</w:t>
            </w:r>
          </w:p>
          <w:p>
            <w:pPr>
              <w:spacing w:before="75" w:line="181" w:lineRule="auto"/>
              <w:ind w:left="1301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2"/>
                <w:sz w:val="14"/>
                <w:szCs w:val="14"/>
              </w:rPr>
              <w:t>老旧系统改造难，数据安全策略无法落地</w:t>
            </w:r>
          </w:p>
          <w:p>
            <w:pPr>
              <w:spacing w:before="69" w:line="176" w:lineRule="auto"/>
              <w:ind w:left="3014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z w:val="14"/>
                <w:szCs w:val="14"/>
              </w:rPr>
              <w:t>缺少资金支持</w:t>
            </w:r>
          </w:p>
          <w:p>
            <w:pPr>
              <w:spacing w:before="75" w:line="175" w:lineRule="auto"/>
              <w:ind w:left="3014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z w:val="14"/>
                <w:szCs w:val="14"/>
              </w:rPr>
              <w:t>技术工具缺失</w:t>
            </w:r>
          </w:p>
          <w:p>
            <w:pPr>
              <w:spacing w:before="75" w:line="216" w:lineRule="auto"/>
              <w:ind w:left="586" w:right="34"/>
              <w:jc w:val="right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2"/>
                <w:sz w:val="14"/>
                <w:szCs w:val="14"/>
              </w:rPr>
              <w:t>数据与业务紧耦合，组织内部全流程协作拉通困难大</w:t>
            </w:r>
            <w:r>
              <w:rPr>
                <w:rFonts w:ascii="Microsoft YaHei" w:eastAsia="Microsoft YaHei" w:hAnsi="Microsoft YaHei" w:cs="Microsoft YaHei"/>
                <w:color w:val="57585A"/>
                <w:spacing w:val="6"/>
                <w:sz w:val="14"/>
                <w:szCs w:val="1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57585A"/>
                <w:spacing w:val="2"/>
                <w:sz w:val="14"/>
                <w:szCs w:val="14"/>
              </w:rPr>
              <w:t>缺少数据安全建设方法论，无从下手</w:t>
            </w:r>
          </w:p>
          <w:p>
            <w:pPr>
              <w:spacing w:before="68" w:line="176" w:lineRule="auto"/>
              <w:ind w:left="2300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1"/>
                <w:sz w:val="14"/>
                <w:szCs w:val="14"/>
              </w:rPr>
              <w:t>缺少专业的数据安全人才</w:t>
            </w:r>
          </w:p>
          <w:p>
            <w:pPr>
              <w:spacing w:before="76" w:line="175" w:lineRule="auto"/>
              <w:ind w:left="2301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1"/>
                <w:sz w:val="14"/>
                <w:szCs w:val="14"/>
              </w:rPr>
              <w:t>不清楚如何落地监管要求</w:t>
            </w:r>
          </w:p>
          <w:p>
            <w:pPr>
              <w:spacing w:before="75" w:line="175" w:lineRule="auto"/>
              <w:ind w:left="1158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2"/>
                <w:sz w:val="14"/>
                <w:szCs w:val="14"/>
              </w:rPr>
              <w:t>不清楚当前面临哪些数据安全的问题和风险</w:t>
            </w:r>
          </w:p>
          <w:p>
            <w:pPr>
              <w:spacing w:before="76" w:line="182" w:lineRule="auto"/>
              <w:ind w:left="1169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1"/>
                <w:sz w:val="14"/>
                <w:szCs w:val="14"/>
              </w:rPr>
              <w:t>内外部环境动态变化，安全状态持续保障难</w:t>
            </w:r>
          </w:p>
          <w:p>
            <w:pPr>
              <w:spacing w:before="69" w:line="216" w:lineRule="auto"/>
              <w:ind w:left="158" w:right="34"/>
              <w:jc w:val="right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2"/>
                <w:sz w:val="14"/>
                <w:szCs w:val="14"/>
              </w:rPr>
              <w:t>数据安全意识不足，数据安全防护观念停留在传统安全层面</w:t>
            </w:r>
            <w:r>
              <w:rPr>
                <w:rFonts w:ascii="Microsoft YaHei" w:eastAsia="Microsoft YaHei" w:hAnsi="Microsoft YaHei" w:cs="Microsoft YaHei"/>
                <w:color w:val="57585A"/>
                <w:spacing w:val="8"/>
                <w:sz w:val="14"/>
                <w:szCs w:val="1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57585A"/>
                <w:spacing w:val="2"/>
                <w:sz w:val="14"/>
                <w:szCs w:val="14"/>
              </w:rPr>
              <w:t>数据安全体系建设不完善，管理和技术措施易脱节</w:t>
            </w:r>
          </w:p>
        </w:tc>
        <w:tc>
          <w:tcPr>
            <w:tcW w:w="4675" w:type="dxa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line="301" w:lineRule="auto"/>
            </w:pPr>
            <w:r>
              <w:pict>
                <v:rect id="_x0000_s1036" style="width:140.45pt;height:7pt;margin-top:144.46pt;margin-left:-226.26pt;mso-position-horizontal-relative:right-margin-area;mso-position-vertical-relative:top-margin-area;position:absolute;z-index:251683840" filled="t" fillcolor="#009cd9" stroked="f"/>
              </w:pict>
            </w:r>
            <w:r>
              <w:pict>
                <v:rect id="_x0000_s1037" style="width:180.45pt;height:7pt;margin-top:68.09pt;margin-left:-226.26pt;mso-position-horizontal-relative:right-margin-area;mso-position-vertical-relative:top-margin-area;position:absolute;z-index:251679744" filled="t" fillcolor="#009cd9" stroked="f"/>
              </w:pict>
            </w:r>
            <w:r>
              <w:pict>
                <v:rect id="_x0000_s1038" style="width:166.45pt;height:7pt;margin-top:93.55pt;margin-left:-226.26pt;mso-position-horizontal-relative:right-margin-area;mso-position-vertical-relative:top-margin-area;position:absolute;z-index:251680768" filled="t" fillcolor="#009cd9" stroked="f"/>
              </w:pict>
            </w:r>
            <w:r>
              <w:pict>
                <v:rect id="_x0000_s1039" style="width:162.45pt;height:7pt;margin-top:131.73pt;margin-left:-226.26pt;mso-position-horizontal-relative:right-margin-area;mso-position-vertical-relative:top-margin-area;position:absolute;z-index:251681792" filled="t" fillcolor="#009cd9" stroked="f"/>
              </w:pict>
            </w:r>
            <w:r>
              <w:pict>
                <v:rect id="_x0000_s1040" style="width:182.45pt;height:7pt;margin-top:157.18pt;margin-left:-226.26pt;mso-position-horizontal-relative:right-margin-area;mso-position-vertical-relative:top-margin-area;position:absolute;z-index:251678720" filled="t" fillcolor="#009cd9" stroked="f"/>
              </w:pict>
            </w:r>
            <w:r>
              <w:pict>
                <v:rect id="_x0000_s1041" style="width:158.45pt;height:7pt;margin-top:29.91pt;margin-left:-226.26pt;mso-position-horizontal-relative:right-margin-area;mso-position-vertical-relative:top-margin-area;position:absolute;z-index:251682816" filled="t" fillcolor="#009cd9" stroked="f"/>
              </w:pict>
            </w:r>
            <w:r>
              <w:pict>
                <v:rect id="_x0000_s1042" style="width:0.75pt;height:160.5pt;margin-top:11.71pt;margin-left:-187.03pt;mso-position-horizontal-relative:right-margin-area;mso-position-vertical-relative:top-margin-area;position:absolute;z-index:251676672" filled="t" fillcolor="#e6e7e9" stroked="f"/>
              </w:pict>
            </w:r>
            <w:r>
              <w:pict>
                <v:rect id="_x0000_s1043" style="width:54.8pt;height:7pt;margin-top:42.64pt;margin-left:-226.26pt;mso-position-horizontal-relative:right-margin-area;mso-position-vertical-relative:top-margin-area;position:absolute;z-index:251688960" filled="t" fillcolor="#009cd9" stroked="f"/>
              </w:pict>
            </w:r>
            <w:r>
              <w:pict>
                <v:rect id="_x0000_s1044" style="width:54.8pt;height:7pt;margin-top:55.64pt;margin-left:-226.26pt;mso-position-horizontal-relative:right-margin-area;mso-position-vertical-relative:top-margin-area;position:absolute;z-index:251687936" filled="t" fillcolor="#009cd9" stroked="f"/>
              </w:pict>
            </w:r>
            <w:r>
              <w:pict>
                <v:rect id="_x0000_s1045" style="width:54.8pt;height:7pt;margin-top:80.82pt;margin-left:-226.26pt;mso-position-horizontal-relative:right-margin-area;mso-position-vertical-relative:top-margin-area;position:absolute;z-index:251686912" filled="t" fillcolor="#009cd9" stroked="f"/>
              </w:pict>
            </w:r>
            <w:r>
              <w:pict>
                <v:rect id="_x0000_s1046" style="width:76.15pt;height:7pt;margin-top:106.27pt;margin-left:-226.26pt;mso-position-horizontal-relative:right-margin-area;mso-position-vertical-relative:top-margin-area;position:absolute;z-index:251684864" filled="t" fillcolor="#009cd9" stroked="f"/>
              </w:pict>
            </w:r>
            <w:r>
              <w:pict>
                <v:rect id="_x0000_s1047" style="width:76.15pt;height:7pt;margin-top:119pt;margin-left:-226.26pt;mso-position-horizontal-relative:right-margin-area;mso-position-vertical-relative:top-margin-area;position:absolute;z-index:251685888" filled="t" fillcolor="#009cd9" stroked="f"/>
              </w:pict>
            </w:r>
            <w:r>
              <w:pict>
                <v:rect id="_x0000_s1048" style="width:0.75pt;height:160.5pt;margin-top:11.71pt;margin-left:-206.83pt;mso-position-horizontal-relative:right-margin-area;mso-position-vertical-relative:top-margin-area;position:absolute;z-index:251677696" filled="t" fillcolor="#e6e7e9" stroked="f"/>
              </w:pict>
            </w:r>
            <w:r>
              <w:pict>
                <v:rect id="_x0000_s1049" style="width:33.45pt;height:7pt;margin-top:17.18pt;margin-left:-226.26pt;mso-position-horizontal-relative:right-margin-area;mso-position-vertical-relative:top-margin-area;position:absolute;z-index:251689984" filled="t" fillcolor="#009cd9" stroked="f"/>
              </w:pict>
            </w:r>
            <w:r>
              <w:pict>
                <v:rect id="_x0000_s1050" style="width:0.75pt;height:160.5pt;margin-top:11.71pt;margin-left:-226.63pt;mso-position-horizontal-relative:right-margin-area;mso-position-vertical-relative:top-margin-area;position:absolute;z-index:251675648" filled="t" fillcolor="#e6e7e9" stroked="f"/>
              </w:pict>
            </w:r>
            <w:r>
              <w:pict>
                <v:shape id="_x0000_s1051" style="width:40.4pt;height:160.5pt;margin-top:11.71pt;margin-left:-127.63pt;mso-position-horizontal-relative:right-margin-area;mso-position-vertical-relative:top-margin-area;position:absolute;z-index:251674624" coordorigin="0,0" coordsize="808,3210" path="m7,l7,3210m403,l403,3210m799,l799,3210e" filled="f" strokecolor="#e6e7e9" strokeweight="0.75pt">
                  <v:stroke joinstyle="miter"/>
                </v:shape>
              </w:pict>
            </w:r>
          </w:p>
          <w:p>
            <w:pPr>
              <w:spacing w:before="60" w:line="174" w:lineRule="auto"/>
              <w:ind w:left="1136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71552" behindDoc="1" locked="0" layoutInCell="1" allowOverlap="1">
                      <wp:simplePos x="0" y="0"/>
                      <wp:positionH relativeFrom="column">
                        <wp:posOffset>841626</wp:posOffset>
                      </wp:positionH>
                      <wp:positionV relativeFrom="paragraph">
                        <wp:posOffset>-43728</wp:posOffset>
                      </wp:positionV>
                      <wp:extent cx="9525" cy="2038350"/>
                      <wp:effectExtent l="0" t="0" r="0" b="0"/>
                      <wp:wrapNone/>
                      <wp:docPr id="8" name="Rect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841626" y="-43728"/>
                                <a:ext cx="9525" cy="2038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6E7E9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8" o:spid="_x0000_s1052" style="width:0.75pt;height:160.5pt;margin-top:-3.44pt;margin-left:66.27pt;mso-wrap-distance-bottom:0;mso-wrap-distance-left:0;mso-wrap-distance-right:0;mso-wrap-distance-top:0;position:absolute;v-text-anchor:top;z-index:-251645952" fillcolor="#e6e7e9" stroked="f"/>
                  </w:pict>
                </mc:Fallback>
              </mc:AlternateContent>
            </w:r>
            <w:r>
              <w:rPr>
                <w:rFonts w:ascii="Microsoft YaHei" w:eastAsia="Microsoft YaHei" w:hAnsi="Microsoft YaHei" w:cs="Microsoft YaHei"/>
                <w:color w:val="57585A"/>
                <w:spacing w:val="-1"/>
                <w:sz w:val="14"/>
                <w:szCs w:val="14"/>
              </w:rPr>
              <w:t>8.0%</w:t>
            </w:r>
          </w:p>
          <w:p>
            <w:pPr>
              <w:spacing w:before="65" w:line="174" w:lineRule="auto"/>
              <w:ind w:left="3391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pict>
                <v:shape id="_x0000_s1053" style="width:40.35pt;height:160.5pt;margin-top:-15.18pt;margin-left:165.27pt;position:absolute;z-index:-251646976" coordorigin="0,0" coordsize="806,3210" path="m7,l7,3210m403,l403,3210m799,l799,3210e" filled="f" strokecolor="#e6e7e9" strokeweight="0.75pt">
                  <v:stroke joinstyle="miter"/>
                </v:shape>
              </w:pict>
            </w:r>
            <w:r>
              <w:rPr>
                <w:rFonts w:ascii="Microsoft YaHei" w:eastAsia="Microsoft YaHei" w:hAnsi="Microsoft YaHei" w:cs="Microsoft YaHei"/>
                <w:color w:val="57585A"/>
                <w:sz w:val="14"/>
                <w:szCs w:val="14"/>
              </w:rPr>
              <w:t>40.0%</w:t>
            </w:r>
          </w:p>
          <w:p>
            <w:pPr>
              <w:spacing w:before="108" w:line="260" w:lineRule="exact"/>
              <w:ind w:left="1353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7"/>
                <w:position w:val="10"/>
                <w:sz w:val="14"/>
                <w:szCs w:val="14"/>
              </w:rPr>
              <w:t>13.3%</w:t>
            </w:r>
          </w:p>
          <w:p>
            <w:pPr>
              <w:spacing w:line="171" w:lineRule="auto"/>
              <w:ind w:left="1353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7"/>
                <w:sz w:val="14"/>
                <w:szCs w:val="14"/>
              </w:rPr>
              <w:t>13.3%</w:t>
            </w:r>
          </w:p>
          <w:p>
            <w:pPr>
              <w:spacing w:before="68" w:line="172" w:lineRule="auto"/>
              <w:ind w:left="3811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1"/>
                <w:sz w:val="14"/>
                <w:szCs w:val="14"/>
              </w:rPr>
              <w:t>45.3%</w:t>
            </w:r>
          </w:p>
          <w:p>
            <w:pPr>
              <w:spacing w:before="88" w:line="172" w:lineRule="auto"/>
              <w:ind w:left="1353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7"/>
                <w:sz w:val="14"/>
                <w:szCs w:val="14"/>
              </w:rPr>
              <w:t>13.3%</w:t>
            </w:r>
          </w:p>
          <w:p>
            <w:pPr>
              <w:spacing w:before="65" w:line="174" w:lineRule="auto"/>
              <w:ind w:left="3551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1"/>
                <w:sz w:val="14"/>
                <w:szCs w:val="14"/>
              </w:rPr>
              <w:t>44.0%</w:t>
            </w:r>
          </w:p>
          <w:p>
            <w:pPr>
              <w:spacing w:before="87" w:line="260" w:lineRule="exact"/>
              <w:ind w:left="1733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73600" behindDoc="1" locked="0" layoutInCell="1" allowOverlap="1">
                      <wp:simplePos x="0" y="0"/>
                      <wp:positionH relativeFrom="column">
                        <wp:posOffset>1093084</wp:posOffset>
                      </wp:positionH>
                      <wp:positionV relativeFrom="paragraph">
                        <wp:posOffset>-1157862</wp:posOffset>
                      </wp:positionV>
                      <wp:extent cx="9525" cy="2038350"/>
                      <wp:effectExtent l="0" t="0" r="0" b="0"/>
                      <wp:wrapNone/>
                      <wp:docPr id="10" name="Rect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1093084" y="-1157862"/>
                                <a:ext cx="9525" cy="2038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6E7E9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0" o:spid="_x0000_s1054" style="width:0.75pt;height:160.5pt;margin-top:-91.17pt;margin-left:86.07pt;mso-wrap-distance-bottom:0;mso-wrap-distance-left:0;mso-wrap-distance-right:0;mso-wrap-distance-top:0;position:absolute;v-text-anchor:top;z-index:-251643904" fillcolor="#e6e7e9" stroked="f"/>
                  </w:pict>
                </mc:Fallback>
              </mc:AlternateContent>
            </w:r>
            <w:r>
              <w:rPr>
                <w:rFonts w:ascii="Microsoft YaHei" w:eastAsia="Microsoft YaHei" w:hAnsi="Microsoft YaHei" w:cs="Microsoft YaHei"/>
                <w:color w:val="57585A"/>
                <w:spacing w:val="-7"/>
                <w:position w:val="10"/>
                <w:sz w:val="14"/>
                <w:szCs w:val="14"/>
              </w:rPr>
              <w:t>18.7%</w:t>
            </w:r>
          </w:p>
          <w:p>
            <w:pPr>
              <w:spacing w:line="173" w:lineRule="auto"/>
              <w:ind w:left="1733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7"/>
                <w:sz w:val="14"/>
                <w:szCs w:val="14"/>
              </w:rPr>
              <w:t>18.7%</w:t>
            </w:r>
          </w:p>
          <w:p>
            <w:pPr>
              <w:spacing w:before="86" w:line="174" w:lineRule="auto"/>
              <w:ind w:left="3491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3"/>
                <w:sz w:val="14"/>
                <w:szCs w:val="14"/>
              </w:rPr>
              <w:t>42.7%</w:t>
            </w:r>
          </w:p>
          <w:p>
            <w:pPr>
              <w:spacing w:before="68" w:line="172" w:lineRule="auto"/>
              <w:ind w:left="3075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3"/>
                <w:sz w:val="14"/>
                <w:szCs w:val="14"/>
              </w:rPr>
              <w:t>36%</w:t>
            </w:r>
          </w:p>
          <w:p>
            <w:pPr>
              <w:spacing w:before="88" w:line="172" w:lineRule="auto"/>
              <w:ind w:left="3891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2"/>
                <w:sz w:val="14"/>
                <w:szCs w:val="14"/>
              </w:rPr>
              <w:t>46.7%</w:t>
            </w:r>
          </w:p>
        </w:tc>
      </w:tr>
      <w:tr>
        <w:tblPrEx>
          <w:tblW w:w="8575" w:type="dxa"/>
          <w:tblInd w:w="598" w:type="dxa"/>
          <w:tblLayout w:type="fixed"/>
        </w:tblPrEx>
        <w:trPr>
          <w:trHeight w:val="361"/>
        </w:trPr>
        <w:tc>
          <w:tcPr>
            <w:tcW w:w="3900" w:type="dxa"/>
            <w:vMerge/>
            <w:tcBorders>
              <w:top w:val="nil"/>
              <w:right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675" w:type="dxa"/>
            <w:tcBorders>
              <w:top w:val="nil"/>
              <w:left w:val="nil"/>
            </w:tcBorders>
            <w:vAlign w:val="top"/>
          </w:tcPr>
          <w:p>
            <w:pPr>
              <w:spacing w:before="60" w:line="174" w:lineRule="auto"/>
              <w:ind w:left="35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22"/>
                <w:sz w:val="18"/>
                <w:szCs w:val="18"/>
              </w:rPr>
              <w:t xml:space="preserve">0%     5%     10%    15%   20%   25%   30%   35%   40% </w:t>
            </w:r>
            <w:r>
              <w:rPr>
                <w:rFonts w:ascii="Microsoft YaHei" w:eastAsia="Microsoft YaHei" w:hAnsi="Microsoft YaHei" w:cs="Microsoft YaHei"/>
                <w:color w:val="57585A"/>
                <w:spacing w:val="-23"/>
                <w:sz w:val="18"/>
                <w:szCs w:val="18"/>
              </w:rPr>
              <w:t xml:space="preserve">  45%   50%</w:t>
            </w:r>
          </w:p>
        </w:tc>
      </w:tr>
    </w:tbl>
    <w:p>
      <w:pPr>
        <w:pStyle w:val="BodyText"/>
        <w:spacing w:before="199" w:line="176" w:lineRule="auto"/>
        <w:ind w:left="2773"/>
        <w:rPr>
          <w:sz w:val="20"/>
          <w:szCs w:val="20"/>
        </w:rPr>
      </w:pPr>
      <w:r>
        <w:rPr>
          <w:color w:val="231F20"/>
          <w:spacing w:val="1"/>
          <w:sz w:val="20"/>
          <w:szCs w:val="20"/>
        </w:rPr>
        <w:t>图2</w:t>
      </w:r>
      <w:r>
        <w:rPr>
          <w:color w:val="231F20"/>
          <w:spacing w:val="46"/>
          <w:w w:val="101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数据安全需求侧数据安全建设面临的痛难点</w:t>
      </w:r>
    </w:p>
    <w:p>
      <w:pPr>
        <w:spacing w:line="385" w:lineRule="auto"/>
        <w:rPr>
          <w:rFonts w:ascii="Arial"/>
          <w:sz w:val="21"/>
        </w:rPr>
      </w:pPr>
    </w:p>
    <w:p>
      <w:pPr>
        <w:pStyle w:val="BodyText"/>
        <w:spacing w:before="121" w:line="178" w:lineRule="auto"/>
        <w:ind w:left="652"/>
        <w:rPr>
          <w:sz w:val="28"/>
          <w:szCs w:val="28"/>
        </w:rPr>
      </w:pPr>
      <w:r>
        <w:rPr>
          <w:color w:val="231F20"/>
          <w:spacing w:val="21"/>
          <w:sz w:val="28"/>
          <w:szCs w:val="28"/>
        </w:rPr>
        <w:t>二、重要数据识别、数据安全风险评估等政策导向工作备受</w:t>
      </w:r>
      <w:r>
        <w:rPr>
          <w:color w:val="231F20"/>
          <w:spacing w:val="20"/>
          <w:sz w:val="28"/>
          <w:szCs w:val="28"/>
        </w:rPr>
        <w:t>关注</w:t>
      </w:r>
    </w:p>
    <w:p>
      <w:pPr>
        <w:pStyle w:val="BodyText"/>
        <w:spacing w:before="284" w:line="233" w:lineRule="auto"/>
        <w:ind w:left="647" w:right="791" w:firstLine="541"/>
        <w:jc w:val="both"/>
      </w:pPr>
      <w:r>
        <w:rPr>
          <w:color w:val="231F20"/>
          <w:spacing w:val="23"/>
        </w:rPr>
        <w:t xml:space="preserve">通过调研需求侧企业在落实数据安全监管要求方面的焦点问题（见图  </w:t>
      </w:r>
      <w:r>
        <w:rPr>
          <w:color w:val="231F20"/>
          <w:spacing w:val="12"/>
        </w:rPr>
        <w:t>3</w:t>
      </w:r>
      <w:r>
        <w:rPr>
          <w:color w:val="231F20"/>
          <w:spacing w:val="15"/>
        </w:rPr>
        <w:t>），</w:t>
      </w:r>
      <w:r>
        <w:rPr>
          <w:color w:val="231F20"/>
          <w:spacing w:val="12"/>
        </w:rPr>
        <w:t>可以发现“重要数据、核心数据等的识别与保护”（60.0</w:t>
      </w:r>
      <w:r>
        <w:rPr>
          <w:color w:val="231F20"/>
          <w:spacing w:val="11"/>
        </w:rPr>
        <w:t xml:space="preserve">%）、“数据  </w:t>
      </w:r>
      <w:r>
        <w:rPr>
          <w:color w:val="231F20"/>
          <w:spacing w:val="18"/>
        </w:rPr>
        <w:t>安全风险评估实践操作”（50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18"/>
        </w:rPr>
        <w:t>.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18"/>
        </w:rPr>
        <w:t>7%）、“第三方合作企业的数据安</w:t>
      </w:r>
      <w:r>
        <w:rPr>
          <w:color w:val="231F20"/>
          <w:spacing w:val="17"/>
        </w:rPr>
        <w:t>全防护”</w:t>
      </w:r>
      <w:r>
        <w:rPr>
          <w:color w:val="231F20"/>
        </w:rPr>
        <w:t xml:space="preserve"> </w:t>
      </w:r>
      <w:r>
        <w:rPr>
          <w:color w:val="231F20"/>
          <w:spacing w:val="16"/>
        </w:rPr>
        <w:t>（50.7%） 备受关注。其中， 与去年相同， 企业在重要数据识别、数据安</w:t>
      </w:r>
      <w:r>
        <w:rPr>
          <w:color w:val="231F20"/>
          <w:spacing w:val="15"/>
        </w:rPr>
        <w:t xml:space="preserve">  </w:t>
      </w:r>
      <w:r>
        <w:rPr>
          <w:color w:val="231F20"/>
          <w:spacing w:val="24"/>
        </w:rPr>
        <w:t>全风险评估方面仍有待行业主管部门出台明确指引。另外，随</w:t>
      </w:r>
      <w:r>
        <w:rPr>
          <w:color w:val="231F20"/>
          <w:spacing w:val="23"/>
        </w:rPr>
        <w:t xml:space="preserve">着数据交互  </w:t>
      </w:r>
      <w:r>
        <w:rPr>
          <w:color w:val="231F20"/>
          <w:spacing w:val="24"/>
        </w:rPr>
        <w:t>场景日趋复杂，产品与服务供应链引发的数据泄露风险持续涌</w:t>
      </w:r>
      <w:r>
        <w:rPr>
          <w:color w:val="231F20"/>
          <w:spacing w:val="23"/>
        </w:rPr>
        <w:t xml:space="preserve">现，数据合  </w:t>
      </w:r>
      <w:r>
        <w:rPr>
          <w:color w:val="231F20"/>
          <w:spacing w:val="25"/>
        </w:rPr>
        <w:t>作方安全管理和监督难度大幅上升，这导致今年企业在合作方管理方面亟</w:t>
      </w:r>
    </w:p>
    <w:p>
      <w:pPr>
        <w:pStyle w:val="BodyText"/>
        <w:spacing w:line="182" w:lineRule="auto"/>
        <w:ind w:left="649"/>
        <w:sectPr>
          <w:headerReference w:type="default" r:id="rId6"/>
          <w:pgSz w:w="11906" w:h="16838"/>
          <w:pgMar w:top="400" w:right="787" w:bottom="0" w:left="1065" w:header="0" w:footer="0" w:gutter="0"/>
          <w:pgNumType w:start="4"/>
          <w:cols w:num="1" w:space="708" w:equalWidth="0">
            <w:col w:w="10052" w:space="0"/>
          </w:cols>
        </w:sectPr>
      </w:pPr>
      <w:r>
        <w:rPr>
          <w:color w:val="231F20"/>
          <w:spacing w:val="21"/>
        </w:rPr>
        <w:t>待监管提供明确指引，为企业进行合作方安全管理提供抓手。</w:t>
      </w:r>
    </w:p>
    <w:p>
      <w:pPr>
        <w:pStyle w:val="BodyText"/>
        <w:spacing w:before="288" w:line="233" w:lineRule="auto"/>
        <w:ind w:left="647" w:right="910" w:firstLine="553"/>
        <w:jc w:val="both"/>
      </w:pPr>
      <w:r>
        <w:rPr>
          <w:color w:val="231F20"/>
          <w:spacing w:val="19"/>
        </w:rPr>
        <w:t>除此之外，图3中“个人信息主体权益（如删除权、可携权）的保护如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10"/>
        </w:rPr>
        <w:t>何响应”（45.3%）、“数据分类分级的落地指引”（44.0%）、“数据出境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1"/>
        </w:rPr>
        <w:t>合规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1"/>
        </w:rPr>
        <w:t>的实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1"/>
        </w:rPr>
        <w:t>践操作</w:t>
      </w:r>
      <w:r>
        <w:rPr>
          <w:color w:val="231F20"/>
          <w:spacing w:val="-37"/>
        </w:rPr>
        <w:t xml:space="preserve"> </w:t>
      </w:r>
      <w:r>
        <w:rPr>
          <w:color w:val="231F20"/>
          <w:spacing w:val="1"/>
        </w:rPr>
        <w:t>”（3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1"/>
        </w:rPr>
        <w:t>4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1"/>
        </w:rPr>
        <w:t>.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1"/>
        </w:rPr>
        <w:t>7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1"/>
        </w:rPr>
        <w:t>%）</w:t>
      </w:r>
      <w:r>
        <w:rPr>
          <w:color w:val="231F20"/>
          <w:spacing w:val="58"/>
        </w:rPr>
        <w:t xml:space="preserve"> </w:t>
      </w:r>
      <w:r>
        <w:rPr>
          <w:color w:val="231F20"/>
          <w:spacing w:val="1"/>
        </w:rPr>
        <w:t>也是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1"/>
        </w:rPr>
        <w:t>企业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1"/>
        </w:rPr>
        <w:t>落实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1"/>
        </w:rPr>
        <w:t>数据安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1"/>
        </w:rPr>
        <w:t>全监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1"/>
        </w:rPr>
        <w:t>管要求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1"/>
        </w:rPr>
        <w:t>过程 中面临</w:t>
      </w:r>
    </w:p>
    <w:p>
      <w:pPr>
        <w:pStyle w:val="BodyText"/>
        <w:spacing w:before="2" w:line="175" w:lineRule="auto"/>
        <w:ind w:left="661"/>
      </w:pPr>
      <w:r>
        <w:rPr>
          <w:color w:val="231F20"/>
          <w:spacing w:val="10"/>
        </w:rPr>
        <w:t>的主要挑战。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/>
    <w:p/>
    <w:p/>
    <w:p/>
    <w:p>
      <w:pPr>
        <w:sectPr>
          <w:headerReference w:type="default" r:id="rId7"/>
          <w:type w:val="nextPage"/>
          <w:pgSz w:w="11906" w:h="16838"/>
          <w:pgMar w:top="400" w:right="787" w:bottom="0" w:left="1065" w:header="0" w:footer="0" w:gutter="0"/>
          <w:pgNumType w:start="5"/>
          <w:cols w:num="1" w:space="708" w:equalWidth="0">
            <w:col w:w="10052" w:space="0"/>
          </w:cols>
          <w:titlePg w:val="0"/>
        </w:sectPr>
      </w:pPr>
    </w:p>
    <w:p>
      <w:pPr>
        <w:pStyle w:val="BodyText"/>
        <w:tabs>
          <w:tab w:val="left" w:pos="276"/>
        </w:tabs>
        <w:spacing w:before="69"/>
        <w:rPr>
          <w:sz w:val="19"/>
          <w:szCs w:val="19"/>
        </w:rPr>
      </w:pPr>
      <w:r>
        <w:rPr>
          <w:color w:val="FFFFFF"/>
          <w:sz w:val="19"/>
          <w:szCs w:val="19"/>
          <w:shd w:val="clear" w:color="auto" w:fill="599DD3"/>
        </w:rPr>
        <w:tab/>
      </w:r>
      <w:r>
        <w:rPr>
          <w:color w:val="FFFFFF"/>
          <w:spacing w:val="4"/>
          <w:sz w:val="19"/>
          <w:szCs w:val="19"/>
          <w:shd w:val="clear" w:color="auto" w:fill="599DD3"/>
        </w:rPr>
        <w:t>2023年数据安全行业调研报告</w:t>
      </w:r>
      <w:r>
        <w:rPr>
          <w:color w:val="FFFFFF"/>
          <w:spacing w:val="27"/>
          <w:w w:val="101"/>
          <w:sz w:val="19"/>
          <w:szCs w:val="19"/>
          <w:shd w:val="clear" w:color="auto" w:fill="599DD3"/>
        </w:rPr>
        <w:t xml:space="preserve"> </w:t>
      </w:r>
      <w:r>
        <w:rPr>
          <w:position w:val="-9"/>
          <w:sz w:val="19"/>
          <w:szCs w:val="19"/>
        </w:rPr>
        <w:drawing>
          <wp:inline distT="0" distB="0" distL="0" distR="0">
            <wp:extent cx="262737" cy="21890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2737" cy="218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sz w:val="19"/>
          <w:szCs w:val="19"/>
          <w:u w:val="double" w:color="000000"/>
        </w:rPr>
        <w:t xml:space="preserve">                                                                                                           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8" w:line="224" w:lineRule="exact"/>
        <w:ind w:left="187"/>
        <w:rPr>
          <w:sz w:val="25"/>
          <w:szCs w:val="25"/>
        </w:rPr>
      </w:pPr>
      <w:r>
        <w:rPr>
          <w:color w:val="231F20"/>
          <w:spacing w:val="2"/>
          <w:position w:val="-3"/>
          <w:sz w:val="25"/>
          <w:szCs w:val="25"/>
        </w:rPr>
        <w:t>03</w:t>
      </w:r>
    </w:p>
    <w:p>
      <w:pPr>
        <w:spacing w:line="224" w:lineRule="exact"/>
        <w:rPr>
          <w:sz w:val="25"/>
          <w:szCs w:val="25"/>
        </w:rPr>
        <w:sectPr>
          <w:headerReference w:type="default" r:id="rId8"/>
          <w:type w:val="continuous"/>
          <w:pgSz w:w="11906" w:h="16838"/>
          <w:pgMar w:top="400" w:right="787" w:bottom="0" w:left="1065" w:header="0" w:footer="0" w:gutter="0"/>
          <w:pgNumType w:start="6"/>
          <w:cols w:num="2" w:space="708" w:equalWidth="0">
            <w:col w:w="9332" w:space="0"/>
            <w:col w:w="720" w:space="0"/>
          </w:cols>
        </w:sect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527" w:lineRule="exact"/>
        <w:ind w:firstLine="7834"/>
      </w:pPr>
      <w:r>
        <w:rPr>
          <w:position w:val="-10"/>
        </w:rPr>
        <w:drawing>
          <wp:inline distT="0" distB="0" distL="0" distR="0">
            <wp:extent cx="1568237" cy="33491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68237" cy="334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8"/>
      </w:pPr>
    </w:p>
    <w:p>
      <w:pPr>
        <w:spacing w:before="37"/>
      </w:pPr>
    </w:p>
    <w:tbl>
      <w:tblPr>
        <w:tblStyle w:val="TableNormal2"/>
        <w:tblW w:w="8575" w:type="dxa"/>
        <w:tblInd w:w="991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</w:tblPr>
      <w:tblGrid>
        <w:gridCol w:w="4918"/>
        <w:gridCol w:w="3657"/>
      </w:tblGrid>
      <w:tr>
        <w:tblPrEx>
          <w:tblW w:w="8575" w:type="dxa"/>
          <w:tblInd w:w="991" w:type="dxa"/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  <w:tblLayout w:type="fixed"/>
        </w:tblPrEx>
        <w:trPr>
          <w:trHeight w:val="3848"/>
        </w:trPr>
        <w:tc>
          <w:tcPr>
            <w:tcW w:w="4918" w:type="dxa"/>
            <w:tcBorders>
              <w:right w:val="nil"/>
            </w:tcBorders>
            <w:vAlign w:val="top"/>
          </w:tcPr>
          <w:p>
            <w:pPr>
              <w:pStyle w:val="TableText"/>
              <w:spacing w:line="278" w:lineRule="auto"/>
            </w:pPr>
          </w:p>
          <w:p>
            <w:pPr>
              <w:spacing w:before="78" w:line="175" w:lineRule="auto"/>
              <w:ind w:right="22"/>
              <w:jc w:val="righ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2"/>
                <w:sz w:val="18"/>
                <w:szCs w:val="18"/>
              </w:rPr>
              <w:t>第三方合作企业的数据安全防护</w:t>
            </w:r>
          </w:p>
          <w:p>
            <w:pPr>
              <w:pStyle w:val="TableText"/>
              <w:spacing w:line="248" w:lineRule="auto"/>
            </w:pPr>
          </w:p>
          <w:p>
            <w:pPr>
              <w:spacing w:before="77" w:line="175" w:lineRule="auto"/>
              <w:ind w:right="22"/>
              <w:jc w:val="righ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2"/>
                <w:sz w:val="18"/>
                <w:szCs w:val="18"/>
              </w:rPr>
              <w:t>数据分类分级的落地指引</w:t>
            </w:r>
          </w:p>
          <w:p>
            <w:pPr>
              <w:pStyle w:val="TableText"/>
              <w:spacing w:line="247" w:lineRule="auto"/>
            </w:pPr>
          </w:p>
          <w:p>
            <w:pPr>
              <w:spacing w:before="77" w:line="172" w:lineRule="auto"/>
              <w:ind w:right="22"/>
              <w:jc w:val="righ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3"/>
                <w:sz w:val="18"/>
                <w:szCs w:val="18"/>
              </w:rPr>
              <w:t>个人信息主体权益（如删除权、可携权）的保护如何响应</w:t>
            </w:r>
          </w:p>
          <w:p>
            <w:pPr>
              <w:pStyle w:val="TableText"/>
              <w:spacing w:line="253" w:lineRule="auto"/>
            </w:pPr>
          </w:p>
          <w:p>
            <w:pPr>
              <w:spacing w:before="77" w:line="174" w:lineRule="auto"/>
              <w:ind w:right="22"/>
              <w:jc w:val="righ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2"/>
                <w:sz w:val="18"/>
                <w:szCs w:val="18"/>
              </w:rPr>
              <w:t>数据安全风险评估实践操作</w:t>
            </w:r>
          </w:p>
          <w:p>
            <w:pPr>
              <w:pStyle w:val="TableText"/>
              <w:spacing w:line="247" w:lineRule="auto"/>
            </w:pPr>
          </w:p>
          <w:p>
            <w:pPr>
              <w:spacing w:before="77" w:line="176" w:lineRule="auto"/>
              <w:ind w:right="22"/>
              <w:jc w:val="righ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2"/>
                <w:sz w:val="18"/>
                <w:szCs w:val="18"/>
              </w:rPr>
              <w:t>数据出境合规的实践操作</w:t>
            </w:r>
          </w:p>
          <w:p>
            <w:pPr>
              <w:pStyle w:val="TableText"/>
              <w:spacing w:line="247" w:lineRule="auto"/>
            </w:pPr>
          </w:p>
          <w:p>
            <w:pPr>
              <w:spacing w:before="78" w:line="175" w:lineRule="auto"/>
              <w:ind w:right="22"/>
              <w:jc w:val="right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2"/>
                <w:sz w:val="18"/>
                <w:szCs w:val="18"/>
              </w:rPr>
              <w:t>重要数据、核心数据等的识别与保护</w:t>
            </w:r>
          </w:p>
        </w:tc>
        <w:tc>
          <w:tcPr>
            <w:tcW w:w="3657" w:type="dxa"/>
            <w:tcBorders>
              <w:left w:val="nil"/>
            </w:tcBorders>
            <w:vAlign w:val="top"/>
          </w:tcPr>
          <w:p>
            <w:pPr>
              <w:spacing w:line="234" w:lineRule="exact"/>
            </w:pPr>
            <w:r>
              <w:pict>
                <v:rect id="_x0000_s1055" style="width:112.15pt;height:14.2pt;margin-top:15.6pt;margin-left:-176.94pt;mso-position-horizontal-relative:right-margin-area;mso-position-vertical-relative:top-margin-area;position:absolute;z-index:251696128" filled="t" fillcolor="#009cd9" stroked="f"/>
              </w:pict>
            </w:r>
            <w:r>
              <w:pict>
                <v:rect id="_x0000_s1056" style="width:97.5pt;height:14.2pt;margin-top:43.2pt;margin-left:-176.94pt;mso-position-horizontal-relative:right-margin-area;mso-position-vertical-relative:top-margin-area;position:absolute;z-index:251697152" filled="t" fillcolor="#009cd9" stroked="f"/>
              </w:pict>
            </w:r>
            <w:r>
              <w:pict>
                <v:rect id="_x0000_s1057" style="width:101.15pt;height:14.2pt;margin-top:70.8pt;margin-left:-176.94pt;mso-position-horizontal-relative:right-margin-area;mso-position-vertical-relative:top-margin-area;position:absolute;z-index:251694080" filled="t" fillcolor="#009cd9" stroked="f"/>
              </w:pict>
            </w:r>
            <w:r>
              <w:pict>
                <v:rect id="_x0000_s1058" style="width:112.15pt;height:14.2pt;margin-top:98.4pt;margin-left:-176.94pt;mso-position-horizontal-relative:right-margin-area;mso-position-vertical-relative:top-margin-area;position:absolute;z-index:251693056" filled="t" fillcolor="#009cd9" stroked="f"/>
              </w:pict>
            </w:r>
            <w:r>
              <w:pict>
                <v:rect id="_x0000_s1059" style="width:76.15pt;height:14.2pt;margin-top:126pt;margin-left:-176.94pt;mso-position-horizontal-relative:right-margin-area;mso-position-vertical-relative:top-margin-area;position:absolute;z-index:251695104" filled="t" fillcolor="#009cd9" stroked="f"/>
              </w:pict>
            </w:r>
            <w:r>
              <w:pict>
                <v:rect id="_x0000_s1060" style="width:133.15pt;height:14.2pt;margin-top:153.6pt;margin-left:-176.94pt;mso-position-horizontal-relative:right-margin-area;mso-position-vertical-relative:top-margin-area;position:absolute;z-index:251692032" filled="t" fillcolor="#009cd9" stroked="f"/>
              </w:pict>
            </w:r>
          </w:p>
          <w:tbl>
            <w:tblPr>
              <w:tblStyle w:val="TableNormal2"/>
              <w:tblW w:w="3100" w:type="dxa"/>
              <w:tblInd w:w="113" w:type="dxa"/>
              <w:tblBorders>
                <w:top w:val="single" w:sz="6" w:space="0" w:color="E6E7E9"/>
                <w:left w:val="single" w:sz="6" w:space="0" w:color="E6E7E9"/>
                <w:bottom w:val="single" w:sz="6" w:space="0" w:color="E6E7E9"/>
                <w:right w:val="single" w:sz="6" w:space="0" w:color="E6E7E9"/>
                <w:insideH w:val="single" w:sz="6" w:space="0" w:color="E6E7E9"/>
                <w:insideV w:val="single" w:sz="6" w:space="0" w:color="E6E7E9"/>
              </w:tblBorders>
              <w:tblLayout w:type="fixed"/>
            </w:tblPr>
            <w:tblGrid>
              <w:gridCol w:w="448"/>
              <w:gridCol w:w="441"/>
              <w:gridCol w:w="441"/>
              <w:gridCol w:w="440"/>
              <w:gridCol w:w="441"/>
              <w:gridCol w:w="441"/>
              <w:gridCol w:w="448"/>
            </w:tblGrid>
            <w:tr>
              <w:tblPrEx>
                <w:tblW w:w="3100" w:type="dxa"/>
                <w:tblInd w:w="113" w:type="dxa"/>
                <w:tblBorders>
                  <w:top w:val="single" w:sz="6" w:space="0" w:color="E6E7E9"/>
                  <w:left w:val="single" w:sz="6" w:space="0" w:color="E6E7E9"/>
                  <w:bottom w:val="single" w:sz="6" w:space="0" w:color="E6E7E9"/>
                  <w:right w:val="single" w:sz="6" w:space="0" w:color="E6E7E9"/>
                  <w:insideH w:val="single" w:sz="6" w:space="0" w:color="E6E7E9"/>
                  <w:insideV w:val="single" w:sz="6" w:space="0" w:color="E6E7E9"/>
                </w:tblBorders>
                <w:tblLayout w:type="fixed"/>
              </w:tblPrEx>
              <w:trPr>
                <w:trHeight w:val="3210"/>
              </w:trPr>
              <w:tc>
                <w:tcPr>
                  <w:tcW w:w="448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</w:pPr>
                </w:p>
              </w:tc>
              <w:tc>
                <w:tcPr>
                  <w:tcW w:w="441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</w:pPr>
                </w:p>
              </w:tc>
              <w:tc>
                <w:tcPr>
                  <w:tcW w:w="441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</w:pPr>
                </w:p>
              </w:tc>
              <w:tc>
                <w:tcPr>
                  <w:tcW w:w="44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49" w:lineRule="auto"/>
                  </w:pPr>
                </w:p>
                <w:p>
                  <w:pPr>
                    <w:pStyle w:val="TableText"/>
                    <w:spacing w:line="250" w:lineRule="auto"/>
                  </w:pPr>
                </w:p>
                <w:p>
                  <w:pPr>
                    <w:pStyle w:val="TableText"/>
                    <w:spacing w:line="250" w:lineRule="auto"/>
                  </w:pPr>
                </w:p>
                <w:p>
                  <w:pPr>
                    <w:pStyle w:val="TableText"/>
                    <w:spacing w:line="250" w:lineRule="auto"/>
                  </w:pPr>
                </w:p>
                <w:p>
                  <w:pPr>
                    <w:pStyle w:val="TableText"/>
                    <w:spacing w:line="250" w:lineRule="auto"/>
                  </w:pPr>
                </w:p>
                <w:p>
                  <w:pPr>
                    <w:pStyle w:val="TableText"/>
                    <w:spacing w:line="250" w:lineRule="auto"/>
                  </w:pPr>
                </w:p>
                <w:p>
                  <w:pPr>
                    <w:pStyle w:val="TableText"/>
                    <w:spacing w:line="250" w:lineRule="auto"/>
                  </w:pPr>
                </w:p>
                <w:p>
                  <w:pPr>
                    <w:pStyle w:val="TableText"/>
                    <w:spacing w:line="250" w:lineRule="auto"/>
                  </w:pPr>
                </w:p>
                <w:p>
                  <w:pPr>
                    <w:pStyle w:val="TableText"/>
                    <w:spacing w:line="250" w:lineRule="auto"/>
                  </w:pPr>
                </w:p>
                <w:p>
                  <w:pPr>
                    <w:spacing w:before="77" w:line="172" w:lineRule="auto"/>
                    <w:ind w:right="3"/>
                    <w:jc w:val="right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41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99" w:lineRule="auto"/>
                  </w:pPr>
                </w:p>
                <w:p>
                  <w:pPr>
                    <w:pStyle w:val="TableText"/>
                    <w:spacing w:line="300" w:lineRule="auto"/>
                  </w:pPr>
                </w:p>
                <w:p>
                  <w:pPr>
                    <w:spacing w:before="77" w:line="172" w:lineRule="auto"/>
                    <w:jc w:val="right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2"/>
                      <w:w w:val="94"/>
                      <w:sz w:val="18"/>
                      <w:szCs w:val="18"/>
                    </w:rPr>
                    <w:t>44</w:t>
                  </w:r>
                </w:p>
                <w:p>
                  <w:pPr>
                    <w:spacing w:before="318" w:line="172" w:lineRule="auto"/>
                    <w:jc w:val="right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2"/>
                      <w:w w:val="73"/>
                      <w:sz w:val="18"/>
                      <w:szCs w:val="18"/>
                    </w:rPr>
                    <w:t>4</w:t>
                  </w:r>
                </w:p>
                <w:p>
                  <w:pPr>
                    <w:pStyle w:val="TableText"/>
                    <w:spacing w:line="272" w:lineRule="auto"/>
                  </w:pPr>
                </w:p>
                <w:p>
                  <w:pPr>
                    <w:pStyle w:val="TableText"/>
                    <w:spacing w:line="272" w:lineRule="auto"/>
                  </w:pPr>
                </w:p>
                <w:p>
                  <w:pPr>
                    <w:pStyle w:val="TableText"/>
                    <w:spacing w:line="272" w:lineRule="auto"/>
                  </w:pPr>
                </w:p>
                <w:p>
                  <w:pPr>
                    <w:spacing w:before="77" w:line="172" w:lineRule="auto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7"/>
                      <w:sz w:val="18"/>
                      <w:szCs w:val="18"/>
                    </w:rPr>
                    <w:t>4.7%</w:t>
                  </w:r>
                </w:p>
              </w:tc>
              <w:tc>
                <w:tcPr>
                  <w:tcW w:w="441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spacing w:before="97" w:line="174" w:lineRule="auto"/>
                    <w:jc w:val="right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14"/>
                      <w:sz w:val="18"/>
                      <w:szCs w:val="18"/>
                    </w:rPr>
                    <w:t>50.</w:t>
                  </w: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10"/>
                      <w:sz w:val="18"/>
                      <w:szCs w:val="18"/>
                    </w:rPr>
                    <w:t>7</w:t>
                  </w:r>
                </w:p>
                <w:p>
                  <w:pPr>
                    <w:pStyle w:val="TableText"/>
                    <w:spacing w:line="277" w:lineRule="auto"/>
                  </w:pPr>
                </w:p>
                <w:p>
                  <w:pPr>
                    <w:spacing w:before="77" w:line="174" w:lineRule="auto"/>
                    <w:ind w:left="12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5"/>
                      <w:sz w:val="18"/>
                      <w:szCs w:val="18"/>
                    </w:rPr>
                    <w:t>.0%</w:t>
                  </w:r>
                </w:p>
                <w:p>
                  <w:pPr>
                    <w:spacing w:before="318" w:line="172" w:lineRule="auto"/>
                    <w:jc w:val="right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4"/>
                      <w:sz w:val="18"/>
                      <w:szCs w:val="18"/>
                    </w:rPr>
                    <w:t>5.3%</w:t>
                  </w:r>
                </w:p>
                <w:p>
                  <w:pPr>
                    <w:pStyle w:val="TableText"/>
                    <w:spacing w:line="257" w:lineRule="auto"/>
                  </w:pPr>
                </w:p>
                <w:p>
                  <w:pPr>
                    <w:spacing w:before="77" w:line="174" w:lineRule="auto"/>
                    <w:ind w:right="15"/>
                    <w:jc w:val="right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z w:val="18"/>
                      <w:szCs w:val="18"/>
                    </w:rPr>
                    <w:t>50.</w:t>
                  </w:r>
                </w:p>
              </w:tc>
              <w:tc>
                <w:tcPr>
                  <w:tcW w:w="448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spacing w:before="51" w:line="319" w:lineRule="exact"/>
                    <w:ind w:left="3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position w:val="3"/>
                      <w:sz w:val="18"/>
                      <w:szCs w:val="18"/>
                    </w:rPr>
                    <w:t>%</w:t>
                  </w:r>
                </w:p>
                <w:p>
                  <w:pPr>
                    <w:pStyle w:val="TableText"/>
                    <w:spacing w:line="264" w:lineRule="auto"/>
                  </w:pPr>
                </w:p>
                <w:p>
                  <w:pPr>
                    <w:pStyle w:val="TableText"/>
                    <w:spacing w:line="265" w:lineRule="auto"/>
                  </w:pPr>
                </w:p>
                <w:p>
                  <w:pPr>
                    <w:pStyle w:val="TableText"/>
                    <w:spacing w:line="265" w:lineRule="auto"/>
                  </w:pPr>
                </w:p>
                <w:p>
                  <w:pPr>
                    <w:pStyle w:val="TableText"/>
                    <w:spacing w:line="265" w:lineRule="auto"/>
                  </w:pPr>
                </w:p>
                <w:p>
                  <w:pPr>
                    <w:pStyle w:val="TableText"/>
                    <w:spacing w:line="265" w:lineRule="auto"/>
                  </w:pPr>
                </w:p>
                <w:p>
                  <w:pPr>
                    <w:spacing w:before="77" w:line="170" w:lineRule="auto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11"/>
                      <w:sz w:val="18"/>
                      <w:szCs w:val="18"/>
                    </w:rPr>
                    <w:t>7%</w:t>
                  </w:r>
                </w:p>
                <w:p>
                  <w:pPr>
                    <w:pStyle w:val="TableText"/>
                    <w:spacing w:line="271" w:lineRule="auto"/>
                  </w:pPr>
                </w:p>
                <w:p>
                  <w:pPr>
                    <w:pStyle w:val="TableText"/>
                    <w:spacing w:line="272" w:lineRule="auto"/>
                  </w:pPr>
                </w:p>
                <w:p>
                  <w:pPr>
                    <w:pStyle w:val="TableText"/>
                    <w:spacing w:line="272" w:lineRule="auto"/>
                  </w:pPr>
                </w:p>
                <w:p>
                  <w:pPr>
                    <w:spacing w:before="78" w:line="174" w:lineRule="auto"/>
                    <w:jc w:val="right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585A"/>
                      <w:spacing w:val="-4"/>
                      <w:sz w:val="18"/>
                      <w:szCs w:val="18"/>
                    </w:rPr>
                    <w:t>60%</w:t>
                  </w:r>
                </w:p>
              </w:tc>
            </w:tr>
          </w:tbl>
          <w:p>
            <w:pPr>
              <w:spacing w:before="103" w:line="174" w:lineRule="auto"/>
              <w:ind w:left="24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color w:val="57585A"/>
                <w:spacing w:val="-20"/>
                <w:sz w:val="18"/>
                <w:szCs w:val="18"/>
              </w:rPr>
              <w:t>0%     10%    20%    30%    40%    50%    60%</w:t>
            </w:r>
            <w:r>
              <w:rPr>
                <w:rFonts w:ascii="Microsoft YaHei" w:eastAsia="Microsoft YaHei" w:hAnsi="Microsoft YaHei" w:cs="Microsoft YaHei"/>
                <w:color w:val="57585A"/>
                <w:spacing w:val="-21"/>
                <w:sz w:val="18"/>
                <w:szCs w:val="18"/>
              </w:rPr>
              <w:t xml:space="preserve">    70%</w:t>
            </w:r>
          </w:p>
        </w:tc>
      </w:tr>
    </w:tbl>
    <w:p>
      <w:pPr>
        <w:pStyle w:val="BodyText"/>
        <w:spacing w:before="198" w:line="177" w:lineRule="auto"/>
        <w:ind w:left="2857"/>
        <w:rPr>
          <w:sz w:val="20"/>
          <w:szCs w:val="20"/>
        </w:rPr>
      </w:pPr>
      <w:r>
        <w:rPr>
          <w:color w:val="231F20"/>
          <w:spacing w:val="2"/>
          <w:sz w:val="20"/>
          <w:szCs w:val="20"/>
        </w:rPr>
        <w:t>图3</w:t>
      </w:r>
      <w:r>
        <w:rPr>
          <w:color w:val="231F20"/>
          <w:spacing w:val="37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数据安全需求侧落实数据安全监管要求的焦点问题</w:t>
      </w:r>
    </w:p>
    <w:p>
      <w:pPr>
        <w:spacing w:line="407" w:lineRule="auto"/>
        <w:rPr>
          <w:rFonts w:ascii="Arial"/>
          <w:sz w:val="21"/>
        </w:rPr>
      </w:pPr>
    </w:p>
    <w:p>
      <w:pPr>
        <w:pStyle w:val="BodyText"/>
        <w:spacing w:before="121" w:line="176" w:lineRule="auto"/>
        <w:ind w:left="1044"/>
        <w:rPr>
          <w:sz w:val="28"/>
          <w:szCs w:val="28"/>
        </w:rPr>
      </w:pPr>
      <w:r>
        <w:rPr>
          <w:color w:val="231F20"/>
          <w:spacing w:val="26"/>
          <w:sz w:val="28"/>
          <w:szCs w:val="28"/>
        </w:rPr>
        <w:t>三、以数据安全风险评估为抓手深化数据安</w:t>
      </w:r>
      <w:r>
        <w:rPr>
          <w:color w:val="231F20"/>
          <w:spacing w:val="25"/>
          <w:sz w:val="28"/>
          <w:szCs w:val="28"/>
        </w:rPr>
        <w:t>全建设</w:t>
      </w:r>
    </w:p>
    <w:p>
      <w:pPr>
        <w:pStyle w:val="BodyText"/>
        <w:spacing w:before="284" w:line="233" w:lineRule="auto"/>
        <w:ind w:left="1020" w:right="910" w:firstLine="630"/>
      </w:pPr>
      <w:r>
        <w:rPr>
          <w:color w:val="231F20"/>
          <w:spacing w:val="23"/>
        </w:rPr>
        <w:t>一方面，《网络数据安全风险评估实施指引</w:t>
      </w:r>
      <w:r>
        <w:rPr>
          <w:color w:val="231F20"/>
          <w:spacing w:val="22"/>
        </w:rPr>
        <w:t>》等数据安全风险相关政</w:t>
      </w:r>
      <w:r>
        <w:rPr>
          <w:color w:val="231F20"/>
        </w:rPr>
        <w:t xml:space="preserve"> </w:t>
      </w:r>
      <w:r>
        <w:rPr>
          <w:color w:val="231F20"/>
          <w:spacing w:val="24"/>
        </w:rPr>
        <w:t>策的发布，为各行业企业开展数据安全评估提供了</w:t>
      </w:r>
      <w:r>
        <w:rPr>
          <w:color w:val="231F20"/>
          <w:spacing w:val="23"/>
        </w:rPr>
        <w:t xml:space="preserve">方法指引；另一方面， </w:t>
      </w:r>
      <w:r>
        <w:rPr>
          <w:color w:val="231F20"/>
          <w:spacing w:val="26"/>
        </w:rPr>
        <w:t>部分监管机构对企业报送数据安全风险评估报告提出了明确要求，进一步</w:t>
      </w:r>
      <w:r>
        <w:rPr>
          <w:color w:val="231F20"/>
        </w:rPr>
        <w:t xml:space="preserve"> </w:t>
      </w:r>
      <w:r>
        <w:rPr>
          <w:color w:val="231F20"/>
          <w:spacing w:val="23"/>
        </w:rPr>
        <w:t>推动了该项工作的落地实施。通过调研我们发现，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23"/>
        </w:rPr>
        <w:t>74.7%的受访企业（见</w:t>
      </w:r>
      <w:r>
        <w:rPr>
          <w:color w:val="231F20"/>
        </w:rPr>
        <w:t xml:space="preserve"> </w:t>
      </w:r>
      <w:r>
        <w:rPr>
          <w:color w:val="231F20"/>
          <w:spacing w:val="25"/>
        </w:rPr>
        <w:t>图1）开展了定期的数据安全评估工作，同比去</w:t>
      </w:r>
      <w:r>
        <w:rPr>
          <w:color w:val="231F20"/>
          <w:spacing w:val="24"/>
        </w:rPr>
        <w:t>年的49.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24"/>
        </w:rPr>
        <w:t xml:space="preserve">5%（数据来源： </w:t>
      </w:r>
      <w:r>
        <w:rPr>
          <w:color w:val="231F20"/>
          <w:spacing w:val="30"/>
        </w:rPr>
        <w:t>《2022年数据安全行业调研报告》）增幅明显。企业通过数据安全风险</w:t>
      </w:r>
      <w:r>
        <w:rPr>
          <w:color w:val="231F20"/>
        </w:rPr>
        <w:t xml:space="preserve"> </w:t>
      </w:r>
      <w:r>
        <w:rPr>
          <w:color w:val="231F20"/>
          <w:spacing w:val="26"/>
        </w:rPr>
        <w:t>评估，分析并处置自身面临的安全风险，并针对性地制定可执行的安全目</w:t>
      </w:r>
    </w:p>
    <w:p>
      <w:pPr>
        <w:pStyle w:val="BodyText"/>
        <w:spacing w:before="2" w:line="181" w:lineRule="auto"/>
        <w:ind w:left="1041"/>
      </w:pPr>
      <w:r>
        <w:rPr>
          <w:color w:val="231F20"/>
          <w:spacing w:val="22"/>
        </w:rPr>
        <w:t>标与安全策略，以实现数据资产的安全流通与</w:t>
      </w:r>
      <w:r>
        <w:rPr>
          <w:color w:val="231F20"/>
          <w:spacing w:val="21"/>
        </w:rPr>
        <w:t>数据价值的高效释放。</w:t>
      </w:r>
    </w:p>
    <w:p>
      <w:pPr>
        <w:spacing w:line="368" w:lineRule="auto"/>
        <w:rPr>
          <w:rFonts w:ascii="Arial"/>
          <w:sz w:val="21"/>
        </w:rPr>
      </w:pPr>
    </w:p>
    <w:p>
      <w:pPr>
        <w:pStyle w:val="BodyText"/>
        <w:spacing w:before="120" w:line="192" w:lineRule="auto"/>
        <w:ind w:left="1058"/>
        <w:rPr>
          <w:sz w:val="28"/>
          <w:szCs w:val="28"/>
        </w:rPr>
      </w:pPr>
      <w:r>
        <w:rPr>
          <w:color w:val="231F20"/>
          <w:spacing w:val="20"/>
          <w:sz w:val="28"/>
          <w:szCs w:val="28"/>
        </w:rPr>
        <w:t>四、数据安全从业门槛越来越高，高素质人才需求旺盛</w:t>
      </w:r>
    </w:p>
    <w:p>
      <w:pPr>
        <w:pStyle w:val="BodyText"/>
        <w:spacing w:before="253" w:line="233" w:lineRule="auto"/>
        <w:ind w:left="1040" w:right="910" w:firstLine="541"/>
        <w:jc w:val="both"/>
        <w:sectPr>
          <w:headerReference w:type="default" r:id="rId9"/>
          <w:pgSz w:w="11906" w:h="16838"/>
          <w:pgMar w:top="400" w:right="787" w:bottom="0" w:left="673" w:header="0" w:footer="0" w:gutter="0"/>
          <w:pgNumType w:start="7"/>
          <w:cols w:num="1" w:space="708" w:equalWidth="0">
            <w:col w:w="10445" w:space="0"/>
          </w:cols>
        </w:sect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1" type="#_x0000_t202" style="width:12.65pt;height:12pt;margin-top:22.04pt;margin-left:-1pt;position:absolute;z-index:251691008" filled="f" stroked="f">
            <o:lock v:ext="edit" aspectratio="f"/>
            <v:textbox inset="0,0,0,0">
              <w:txbxContent>
                <w:p>
                  <w:pPr>
                    <w:spacing w:before="19" w:line="174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231F20"/>
                      <w:spacing w:val="-7"/>
                      <w:sz w:val="24"/>
                      <w:szCs w:val="24"/>
                    </w:rPr>
                    <w:t>01</w:t>
                  </w:r>
                </w:p>
              </w:txbxContent>
            </v:textbox>
          </v:shape>
        </w:pict>
      </w:r>
      <w:r>
        <w:rPr>
          <w:color w:val="231F20"/>
          <w:spacing w:val="19"/>
        </w:rPr>
        <w:t>据本次调研，61.3%的受访企业（见图4）将“开展数据安全人员能力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17"/>
        </w:rPr>
        <w:t>培训”列为未来一年的首要工作，值得关注的是，“开展数据安全人员能力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25"/>
        </w:rPr>
        <w:t>培训”已连续三年成为受访企业的重点工作规划。随着我国数字经济的飞</w:t>
      </w:r>
      <w:r>
        <w:rPr>
          <w:color w:val="231F20"/>
          <w:spacing w:val="9"/>
        </w:rPr>
        <w:t xml:space="preserve"> </w:t>
      </w:r>
    </w:p>
    <w:p>
      <w:pPr>
        <w:pStyle w:val="BodyText"/>
        <w:spacing w:before="253" w:line="233" w:lineRule="auto"/>
        <w:ind w:left="1040" w:right="910" w:firstLine="541"/>
        <w:jc w:val="both"/>
      </w:pPr>
      <w:r>
        <w:rPr>
          <w:color w:val="231F20"/>
          <w:spacing w:val="25"/>
        </w:rPr>
        <w:t>速发展，数据安全作为保障数字经济发展的关键能力底座，与之相关的监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25"/>
        </w:rPr>
        <w:t>管要求密集发布，技术实践不断发展演变。在此基础上，由于数据与企业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25"/>
        </w:rPr>
        <w:t>生产活动的高耦合性，随着需求侧企业业务场景的日益复杂化，对数据安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25"/>
        </w:rPr>
        <w:t>全从业人员提出了更高的要求，从业人员及时、深入的了解监管要求、技</w:t>
      </w:r>
    </w:p>
    <w:p>
      <w:pPr>
        <w:pStyle w:val="BodyText"/>
        <w:spacing w:before="1" w:line="183" w:lineRule="auto"/>
        <w:ind w:left="1041"/>
      </w:pPr>
      <w:r>
        <w:rPr>
          <w:color w:val="231F20"/>
          <w:spacing w:val="22"/>
        </w:rPr>
        <w:t>术发展方向和企业业务目标，以制定符合企业</w:t>
      </w:r>
      <w:r>
        <w:rPr>
          <w:color w:val="231F20"/>
          <w:spacing w:val="21"/>
        </w:rPr>
        <w:t>实际情况的安全策略。</w:t>
      </w:r>
    </w:p>
    <w:p>
      <w:pPr>
        <w:spacing w:before="13"/>
      </w:pPr>
    </w:p>
    <w:p>
      <w:pPr>
        <w:spacing w:before="13"/>
      </w:pPr>
    </w:p>
    <w:p>
      <w:pPr>
        <w:spacing w:before="12"/>
      </w:pPr>
    </w:p>
    <w:p>
      <w:pPr>
        <w:sectPr>
          <w:headerReference w:type="default" r:id="rId10"/>
          <w:type w:val="nextPage"/>
          <w:pgSz w:w="11906" w:h="16838"/>
          <w:pgMar w:top="400" w:right="787" w:bottom="0" w:left="673" w:header="0" w:footer="0" w:gutter="0"/>
          <w:pgNumType w:start="8"/>
          <w:cols w:num="1" w:space="708" w:equalWidth="0">
            <w:col w:w="10445" w:space="0"/>
          </w:cols>
          <w:titlePg w:val="0"/>
        </w:sectPr>
      </w:pPr>
    </w:p>
    <w:p>
      <w:pPr>
        <w:pStyle w:val="BodyText"/>
        <w:tabs>
          <w:tab w:val="left" w:pos="669"/>
        </w:tabs>
        <w:spacing w:before="69"/>
        <w:ind w:left="392"/>
        <w:rPr>
          <w:sz w:val="19"/>
          <w:szCs w:val="19"/>
        </w:rPr>
      </w:pPr>
      <w:r>
        <w:rPr>
          <w:color w:val="FFFFFF"/>
          <w:sz w:val="19"/>
          <w:szCs w:val="19"/>
          <w:shd w:val="clear" w:color="auto" w:fill="599DD3"/>
        </w:rPr>
        <w:tab/>
      </w:r>
      <w:r>
        <w:rPr>
          <w:color w:val="FFFFFF"/>
          <w:spacing w:val="4"/>
          <w:sz w:val="19"/>
          <w:szCs w:val="19"/>
          <w:shd w:val="clear" w:color="auto" w:fill="599DD3"/>
        </w:rPr>
        <w:t>2023年数据安全行业调研报告</w:t>
      </w:r>
      <w:r>
        <w:rPr>
          <w:color w:val="FFFFFF"/>
          <w:spacing w:val="27"/>
          <w:w w:val="101"/>
          <w:sz w:val="19"/>
          <w:szCs w:val="19"/>
          <w:shd w:val="clear" w:color="auto" w:fill="599DD3"/>
        </w:rPr>
        <w:t xml:space="preserve"> </w:t>
      </w:r>
      <w:r>
        <w:rPr>
          <w:position w:val="-9"/>
          <w:sz w:val="19"/>
          <w:szCs w:val="19"/>
        </w:rPr>
        <w:drawing>
          <wp:inline distT="0" distB="0" distL="0" distR="0">
            <wp:extent cx="262737" cy="21890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2737" cy="218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sz w:val="19"/>
          <w:szCs w:val="19"/>
          <w:u w:val="double" w:color="000000"/>
        </w:rPr>
        <w:t xml:space="preserve">                                                                                                           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9" w:line="224" w:lineRule="exact"/>
        <w:ind w:left="187"/>
        <w:rPr>
          <w:sz w:val="25"/>
          <w:szCs w:val="25"/>
        </w:rPr>
      </w:pPr>
      <w:r>
        <w:rPr>
          <w:color w:val="231F20"/>
          <w:spacing w:val="2"/>
          <w:position w:val="-3"/>
          <w:sz w:val="25"/>
          <w:szCs w:val="25"/>
        </w:rPr>
        <w:t>04</w:t>
      </w:r>
    </w:p>
    <w:p>
      <w:pPr>
        <w:spacing w:line="224" w:lineRule="exact"/>
        <w:rPr>
          <w:sz w:val="25"/>
          <w:szCs w:val="25"/>
        </w:rPr>
      </w:pPr>
      <w:r>
        <w:rPr>
          <w:sz w:val="25"/>
          <w:szCs w:val="25"/>
        </w:rPr>
        <w:br/>
      </w:r>
      <w:r>
        <w:rPr>
          <w:sz w:val="25"/>
          <w:szCs w:val="2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https://d.book118.com/265203310010011043</w:t>
        </w:r>
      </w:hyperlink>
    </w:p>
    <w:p>
      <w:pPr>
        <w:spacing w:line="224" w:lineRule="exact"/>
        <w:rPr>
          <w:sz w:val="25"/>
          <w:szCs w:val="25"/>
        </w:rPr>
      </w:pPr>
    </w:p>
    <w:sectPr>
      <w:headerReference w:type="default" r:id="rId12"/>
      <w:type w:val="continuous"/>
      <w:pgSz w:w="11906" w:h="16838"/>
      <w:pgMar w:top="400" w:right="787" w:bottom="0" w:left="673" w:header="0" w:footer="0" w:gutter="0"/>
      <w:pgNumType w:start="9"/>
      <w:cols w:num="2" w:space="708" w:equalWidth="0">
        <w:col w:w="9725" w:space="0"/>
        <w:col w:w="7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yperlink" Target="https://d.book118.com/265203310010011043" TargetMode="External" /><Relationship Id="rId12" Type="http://schemas.openxmlformats.org/officeDocument/2006/relationships/header" Target="header6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2023年数据安全行业调研报告1.9</dc:title>
  <cp:revision>0</cp:revision>
  <dcterms:created xsi:type="dcterms:W3CDTF">2024-01-17T20:30:50Z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2024-01-17T22:31:53Z</vt:filetime>
  </property>
  <property fmtid="{D5CDD505-2E9C-101B-9397-08002B2CF9AE}" pid="3" name="CRO">
    <vt:lpwstr>wqlLaW5nc29mdCBQREYgdG8gV1BTIDkw</vt:lpwstr>
  </property>
</Properties>
</file>