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2174"/>
        </w:tabs>
        <w:spacing w:before="21"/>
        <w:ind w:left="3"/>
        <w:jc w:val="center"/>
      </w:pPr>
      <w:r>
        <w:rPr>
          <w:color w:val="0D0D0D"/>
        </w:rPr>
        <w:t>第一章</w:t>
        <w:tab/>
        <w:t>导</w:t>
      </w:r>
      <w:r>
        <w:rPr>
          <w:color w:val="0D0D0D"/>
          <w:spacing w:val="2"/>
        </w:rPr>
        <w:t xml:space="preserve"> </w:t>
      </w:r>
      <w:r>
        <w:rPr>
          <w:color w:val="0D0D0D"/>
        </w:rPr>
        <w:t>论</w:t>
      </w:r>
    </w:p>
    <w:p>
      <w:pPr>
        <w:pStyle w:val="Heading2"/>
        <w:spacing w:before="156"/>
      </w:pPr>
      <w:r>
        <w:rPr>
          <w:color w:val="0D0D0D"/>
        </w:rPr>
        <w:t>一、单项选择题</w:t>
      </w:r>
    </w:p>
    <w:p>
      <w:pPr>
        <w:pStyle w:val="BodyText"/>
        <w:spacing w:before="9"/>
      </w:pPr>
      <w:r>
        <w:rPr>
          <w:color w:val="0D0D0D"/>
        </w:rPr>
        <w:t xml:space="preserve">1、下列说法不正确的是（ </w:t>
      </w:r>
      <w:r>
        <w:rPr>
          <w:color w:val="0D0D0D"/>
          <w:spacing w:val="-159"/>
        </w:rPr>
        <w:t>）</w:t>
      </w:r>
      <w:r>
        <w:rPr>
          <w:color w:val="0D0D0D"/>
        </w:rPr>
        <w:t>。</w:t>
      </w:r>
    </w:p>
    <w:p>
      <w:pPr>
        <w:pStyle w:val="BodyText"/>
        <w:spacing w:before="13"/>
        <w:ind w:left="3334"/>
      </w:pPr>
      <w:r>
        <w:rPr>
          <w:color w:val="0D0D0D"/>
        </w:rPr>
        <w:t>A、基准利率是指在多种利率并存的条件下起决定作用的利率</w:t>
      </w:r>
    </w:p>
    <w:p>
      <w:pPr>
        <w:pStyle w:val="BodyText"/>
        <w:spacing w:before="10"/>
        <w:ind w:left="3334"/>
      </w:pPr>
      <w:r>
        <w:rPr>
          <w:color w:val="0D0D0D"/>
        </w:rPr>
        <w:t>B、套算利率是指各金融机构根据其基准利率和借贷款项的特点而换算出的利率</w:t>
      </w:r>
    </w:p>
    <w:p>
      <w:pPr>
        <w:pStyle w:val="BodyText"/>
        <w:spacing w:before="13"/>
        <w:ind w:left="3334"/>
      </w:pPr>
      <w:r>
        <w:rPr>
          <w:color w:val="0D0D0D"/>
        </w:rPr>
        <w:t>C、固定利率是指在借贷期内固定不变的利率，浮动利率是指在借贷期内可以调整的利</w:t>
      </w:r>
    </w:p>
    <w:p>
      <w:pPr>
        <w:pStyle w:val="BodyText"/>
        <w:spacing w:before="10"/>
      </w:pPr>
      <w:r>
        <w:rPr>
          <w:color w:val="0D0D0D"/>
          <w:w w:val="102"/>
        </w:rPr>
        <w:t>率</w:t>
      </w:r>
    </w:p>
    <w:p>
      <w:pPr>
        <w:pStyle w:val="BodyText"/>
        <w:spacing w:before="13" w:line="244" w:lineRule="auto"/>
        <w:ind w:left="3330" w:right="5816" w:firstLine="3"/>
      </w:pPr>
      <w:r>
        <w:rPr>
          <w:color w:val="0D0D0D"/>
        </w:rPr>
        <w:t>D、基准利率是指由政府金融管理部门或者中央银行确定的利率</w:t>
      </w:r>
      <w:r>
        <w:rPr>
          <w:b/>
          <w:color w:val="0D0D0D"/>
        </w:rPr>
        <w:t>答案:</w:t>
      </w:r>
      <w:r>
        <w:rPr>
          <w:color w:val="0D0D0D"/>
        </w:rPr>
        <w:t>D</w:t>
      </w:r>
    </w:p>
    <w:p>
      <w:pPr>
        <w:pStyle w:val="BodyText"/>
        <w:spacing w:before="7"/>
        <w:ind w:left="3330"/>
      </w:pPr>
      <w:r>
        <w:rPr>
          <w:b/>
          <w:color w:val="0D0D0D"/>
        </w:rPr>
        <w:t>解析:</w:t>
      </w:r>
      <w:r>
        <w:rPr>
          <w:color w:val="0D0D0D"/>
        </w:rPr>
        <w:t>法定利率是指由政府金融管理部门或者中央银行确定的利率。</w:t>
      </w:r>
    </w:p>
    <w:p>
      <w:pPr>
        <w:pStyle w:val="BodyText"/>
        <w:spacing w:before="10"/>
      </w:pPr>
      <w:r>
        <w:rPr>
          <w:color w:val="0D0D0D"/>
        </w:rPr>
        <w:t xml:space="preserve">2、下列说法中不正确的是（ </w:t>
      </w:r>
      <w:r>
        <w:rPr>
          <w:color w:val="0D0D0D"/>
          <w:spacing w:val="-159"/>
        </w:rPr>
        <w:t>）</w:t>
      </w:r>
      <w:r>
        <w:rPr>
          <w:color w:val="0D0D0D"/>
        </w:rPr>
        <w:t>。</w:t>
      </w:r>
    </w:p>
    <w:p>
      <w:pPr>
        <w:pStyle w:val="BodyText"/>
        <w:spacing w:before="13"/>
        <w:ind w:left="3334"/>
      </w:pPr>
      <w:r>
        <w:rPr>
          <w:color w:val="0D0D0D"/>
        </w:rPr>
        <w:t>A、财务管理的核心是财务分析</w:t>
      </w:r>
    </w:p>
    <w:p>
      <w:pPr>
        <w:pStyle w:val="BodyText"/>
        <w:spacing w:before="9"/>
        <w:ind w:left="3334"/>
      </w:pPr>
      <w:r>
        <w:rPr>
          <w:color w:val="0D0D0D"/>
        </w:rPr>
        <w:t>B、财务预测是为财务决策服务的</w:t>
      </w:r>
    </w:p>
    <w:p>
      <w:pPr>
        <w:pStyle w:val="BodyText"/>
        <w:spacing w:before="14"/>
        <w:ind w:left="3334"/>
      </w:pPr>
      <w:r>
        <w:rPr>
          <w:color w:val="0D0D0D"/>
        </w:rPr>
        <w:t>C、财务预算是控制财务活动的依据</w:t>
      </w:r>
    </w:p>
    <w:p>
      <w:pPr>
        <w:pStyle w:val="BodyText"/>
        <w:spacing w:before="10" w:line="247" w:lineRule="auto"/>
        <w:ind w:left="3330" w:right="6448" w:firstLine="3"/>
      </w:pPr>
      <w:r>
        <w:rPr>
          <w:color w:val="0D0D0D"/>
        </w:rPr>
        <w:t>D、财务控制是对企业财务活动所施加的影响或进行的调节</w:t>
      </w:r>
      <w:r>
        <w:rPr>
          <w:b/>
          <w:color w:val="0D0D0D"/>
        </w:rPr>
        <w:t>答案:</w:t>
      </w:r>
      <w:r>
        <w:rPr>
          <w:color w:val="0D0D0D"/>
        </w:rPr>
        <w:t>A</w:t>
      </w:r>
    </w:p>
    <w:p>
      <w:pPr>
        <w:pStyle w:val="BodyText"/>
        <w:spacing w:line="247" w:lineRule="auto"/>
        <w:ind w:right="2516" w:firstLine="629"/>
      </w:pPr>
      <w:r>
        <w:rPr>
          <w:b/>
          <w:color w:val="0D0D0D"/>
        </w:rPr>
        <w:t>解析:</w:t>
      </w:r>
      <w:r>
        <w:rPr>
          <w:color w:val="0D0D0D"/>
          <w:spacing w:val="-14"/>
        </w:rPr>
        <w:t xml:space="preserve">在市场经济条件下，财务管理的核心是财务决策，财务预测是为财务决策服务的， </w:t>
      </w:r>
      <w:r>
        <w:rPr>
          <w:color w:val="0D0D0D"/>
        </w:rPr>
        <w:t>决策成功与否直接关系到企业的兴衰成败。</w:t>
      </w:r>
    </w:p>
    <w:p>
      <w:pPr>
        <w:pStyle w:val="BodyText"/>
        <w:spacing w:line="396" w:lineRule="exact"/>
      </w:pPr>
      <w:r>
        <w:rPr>
          <w:color w:val="0D0D0D"/>
        </w:rPr>
        <w:t>3、下列（</w:t>
      </w:r>
      <w:r>
        <w:rPr>
          <w:color w:val="0D0D0D"/>
          <w:spacing w:val="121"/>
        </w:rPr>
        <w:t xml:space="preserve"> </w:t>
      </w:r>
      <w:r>
        <w:rPr>
          <w:color w:val="0D0D0D"/>
        </w:rPr>
        <w:t>）不属于资金利率的组成部分。</w:t>
      </w:r>
    </w:p>
    <w:p>
      <w:pPr>
        <w:pStyle w:val="BodyText"/>
        <w:tabs>
          <w:tab w:val="left" w:pos="5537"/>
          <w:tab w:val="left" w:pos="9005"/>
          <w:tab w:val="left" w:pos="12785"/>
        </w:tabs>
        <w:spacing w:before="9" w:line="247" w:lineRule="auto"/>
        <w:ind w:left="3330" w:right="3329" w:firstLine="3"/>
      </w:pPr>
      <w:r>
        <w:rPr>
          <w:color w:val="0D0D0D"/>
          <w:spacing w:val="-4"/>
        </w:rPr>
        <w:t>A</w:t>
      </w:r>
      <w:r>
        <w:rPr>
          <w:color w:val="0D0D0D"/>
        </w:rPr>
        <w:t>、纯利率</w:t>
        <w:tab/>
        <w:t>B、通货膨胀补偿率</w:t>
        <w:tab/>
      </w:r>
      <w:r>
        <w:rPr>
          <w:color w:val="0D0D0D"/>
          <w:spacing w:val="-4"/>
        </w:rPr>
        <w:t>C</w:t>
      </w:r>
      <w:r>
        <w:rPr>
          <w:color w:val="0D0D0D"/>
        </w:rPr>
        <w:t>、流动性风险报酬率</w:t>
        <w:tab/>
        <w:t>D、存款利</w:t>
      </w:r>
      <w:r>
        <w:rPr>
          <w:color w:val="0D0D0D"/>
          <w:spacing w:val="-17"/>
        </w:rPr>
        <w:t>率</w:t>
      </w:r>
      <w:r>
        <w:rPr>
          <w:b/>
          <w:color w:val="0D0D0D"/>
        </w:rPr>
        <w:t>答案:</w:t>
      </w:r>
      <w:r>
        <w:rPr>
          <w:color w:val="0D0D0D"/>
        </w:rPr>
        <w:t>D</w:t>
      </w:r>
    </w:p>
    <w:p>
      <w:pPr>
        <w:pStyle w:val="BodyText"/>
        <w:spacing w:line="247" w:lineRule="auto"/>
        <w:ind w:right="2648" w:firstLine="629"/>
        <w:jc w:val="both"/>
      </w:pPr>
      <w:r>
        <w:rPr>
          <w:b/>
          <w:color w:val="0D0D0D"/>
          <w:w w:val="101"/>
        </w:rPr>
        <w:t>解析</w:t>
      </w:r>
      <w:r>
        <w:rPr>
          <w:b/>
          <w:color w:val="0D0D0D"/>
          <w:spacing w:val="3"/>
          <w:w w:val="101"/>
        </w:rPr>
        <w:t>:</w:t>
      </w:r>
      <w:r>
        <w:rPr>
          <w:color w:val="0D0D0D"/>
          <w:w w:val="102"/>
        </w:rPr>
        <w:t>资金的利率通常由三部分组成</w:t>
      </w:r>
      <w:r>
        <w:rPr>
          <w:color w:val="0D0D0D"/>
          <w:spacing w:val="-180"/>
          <w:w w:val="102"/>
        </w:rPr>
        <w:t>：</w:t>
      </w:r>
      <w:r>
        <w:rPr>
          <w:color w:val="0D0D0D"/>
          <w:w w:val="102"/>
        </w:rPr>
        <w:t>（</w:t>
      </w:r>
      <w:r>
        <w:rPr>
          <w:color w:val="0D0D0D"/>
          <w:spacing w:val="-4"/>
          <w:w w:val="102"/>
        </w:rPr>
        <w:t>1</w:t>
      </w:r>
      <w:r>
        <w:rPr>
          <w:color w:val="0D0D0D"/>
          <w:w w:val="102"/>
        </w:rPr>
        <w:t>）</w:t>
      </w:r>
      <w:r>
        <w:rPr>
          <w:color w:val="0D0D0D"/>
          <w:spacing w:val="-41"/>
          <w:w w:val="102"/>
        </w:rPr>
        <w:t>纯利率；</w:t>
      </w:r>
      <w:r>
        <w:rPr>
          <w:color w:val="0D0D0D"/>
          <w:w w:val="102"/>
        </w:rPr>
        <w:t>（</w:t>
      </w:r>
      <w:r>
        <w:rPr>
          <w:color w:val="0D0D0D"/>
          <w:spacing w:val="-4"/>
          <w:w w:val="102"/>
        </w:rPr>
        <w:t>2</w:t>
      </w:r>
      <w:r>
        <w:rPr>
          <w:color w:val="0D0D0D"/>
          <w:w w:val="102"/>
        </w:rPr>
        <w:t>）通化膨胀补偿率（或称通货膨胀贴水</w:t>
      </w:r>
      <w:r>
        <w:rPr>
          <w:color w:val="0D0D0D"/>
          <w:spacing w:val="-159"/>
          <w:w w:val="102"/>
        </w:rPr>
        <w:t>）</w:t>
      </w:r>
      <w:r>
        <w:rPr>
          <w:color w:val="0D0D0D"/>
          <w:spacing w:val="-162"/>
          <w:w w:val="102"/>
        </w:rPr>
        <w:t>；</w:t>
      </w:r>
      <w:r>
        <w:rPr>
          <w:color w:val="0D0D0D"/>
          <w:spacing w:val="-1"/>
          <w:w w:val="102"/>
        </w:rPr>
        <w:t>（</w:t>
      </w:r>
      <w:r>
        <w:rPr>
          <w:color w:val="0D0D0D"/>
          <w:w w:val="102"/>
        </w:rPr>
        <w:t>3）</w:t>
      </w:r>
      <w:r>
        <w:rPr>
          <w:color w:val="0D0D0D"/>
          <w:spacing w:val="-1"/>
          <w:w w:val="102"/>
        </w:rPr>
        <w:t>风险报酬率。风险报酬率包括违约风险报酬率、流动性风险报酬率和期限风</w:t>
      </w:r>
      <w:r>
        <w:rPr>
          <w:color w:val="0D0D0D"/>
        </w:rPr>
        <w:t>险报酬率。</w:t>
      </w:r>
    </w:p>
    <w:p>
      <w:pPr>
        <w:pStyle w:val="BodyText"/>
      </w:pPr>
      <w:r>
        <w:rPr>
          <w:color w:val="0D0D0D"/>
        </w:rPr>
        <w:t xml:space="preserve">4、下列说法错误的是（ </w:t>
      </w:r>
      <w:r>
        <w:rPr>
          <w:color w:val="0D0D0D"/>
          <w:spacing w:val="-162"/>
        </w:rPr>
        <w:t>）</w:t>
      </w:r>
      <w:r>
        <w:rPr>
          <w:color w:val="0D0D0D"/>
        </w:rPr>
        <w:t>。</w:t>
      </w:r>
    </w:p>
    <w:p>
      <w:pPr>
        <w:pStyle w:val="BodyText"/>
        <w:spacing w:before="9"/>
        <w:ind w:left="3334"/>
      </w:pPr>
      <w:r>
        <w:rPr>
          <w:color w:val="0D0D0D"/>
        </w:rPr>
        <w:t>A、筹资活动是指企业为了满足投资和用资的需要，筹措和集中所需资金的过程</w:t>
      </w:r>
    </w:p>
    <w:p>
      <w:pPr>
        <w:pStyle w:val="BodyText"/>
        <w:tabs>
          <w:tab w:val="left" w:pos="5537"/>
        </w:tabs>
        <w:spacing w:before="13" w:line="247" w:lineRule="auto"/>
        <w:ind w:right="2643" w:firstLine="633"/>
      </w:pPr>
      <w:r>
        <w:rPr>
          <w:color w:val="0D0D0D"/>
        </w:rPr>
        <w:t>B、广义的投资包括企业内部使用资金的过程和对外投放资金的过程，狭义的投资仅</w:t>
      </w:r>
      <w:r>
        <w:rPr>
          <w:color w:val="0D0D0D"/>
          <w:spacing w:val="-17"/>
        </w:rPr>
        <w:t>指</w:t>
      </w:r>
      <w:r>
        <w:rPr>
          <w:color w:val="0D0D0D"/>
        </w:rPr>
        <w:t>企业内部使</w:t>
        <w:tab/>
        <w:t>用资金的过程</w:t>
      </w:r>
    </w:p>
    <w:p>
      <w:pPr>
        <w:pStyle w:val="BodyText"/>
        <w:spacing w:line="397" w:lineRule="exact"/>
        <w:ind w:left="3334"/>
      </w:pPr>
      <w:r>
        <w:rPr>
          <w:color w:val="0D0D0D"/>
        </w:rPr>
        <w:t>C、资金营运活动是指企业在日常生产经营过程中所发生的资金收付活动</w:t>
      </w:r>
    </w:p>
    <w:p>
      <w:pPr>
        <w:pStyle w:val="BodyText"/>
        <w:spacing w:before="10" w:line="247" w:lineRule="auto"/>
        <w:ind w:right="2643" w:firstLine="633"/>
      </w:pPr>
      <w:r>
        <w:rPr>
          <w:color w:val="0D0D0D"/>
        </w:rPr>
        <w:t>D、广义的分配是指企业对各种收入进行分配和分派的过程；狭义的分配仅指对净利润的分配</w:t>
      </w:r>
    </w:p>
    <w:p>
      <w:pPr>
        <w:spacing w:before="0" w:line="396" w:lineRule="exact"/>
        <w:ind w:left="3330" w:right="0" w:firstLine="0"/>
        <w:jc w:val="left"/>
        <w:rPr>
          <w:sz w:val="31"/>
        </w:rPr>
      </w:pPr>
      <w:r>
        <w:rPr>
          <w:b/>
          <w:color w:val="0D0D0D"/>
          <w:sz w:val="31"/>
        </w:rPr>
        <w:t>答案:</w:t>
      </w:r>
      <w:r>
        <w:rPr>
          <w:color w:val="0D0D0D"/>
          <w:sz w:val="31"/>
        </w:rPr>
        <w:t>B</w:t>
      </w:r>
    </w:p>
    <w:p>
      <w:pPr>
        <w:pStyle w:val="BodyText"/>
        <w:spacing w:before="13" w:line="244" w:lineRule="auto"/>
        <w:ind w:right="2643" w:firstLine="629"/>
      </w:pPr>
      <w:r>
        <w:rPr>
          <w:b/>
          <w:color w:val="0D0D0D"/>
        </w:rPr>
        <w:t>解析:</w:t>
      </w:r>
      <w:r>
        <w:rPr>
          <w:color w:val="0D0D0D"/>
        </w:rPr>
        <w:t>企业投资可以分为两类：广义的投资和狭义的投资。前者包括企业内部使用资金的过程和对外投放资金的过程，后者仅指对外投资。</w:t>
      </w:r>
    </w:p>
    <w:p>
      <w:pPr>
        <w:pStyle w:val="BodyText"/>
        <w:spacing w:before="7"/>
      </w:pPr>
      <w:r>
        <w:rPr>
          <w:color w:val="0D0D0D"/>
        </w:rPr>
        <w:t xml:space="preserve">5、下列说法不正确的是（ </w:t>
      </w:r>
      <w:r>
        <w:rPr>
          <w:color w:val="0D0D0D"/>
          <w:spacing w:val="-159"/>
        </w:rPr>
        <w:t>）</w:t>
      </w:r>
      <w:r>
        <w:rPr>
          <w:color w:val="0D0D0D"/>
        </w:rPr>
        <w:t>。</w:t>
      </w:r>
    </w:p>
    <w:p>
      <w:pPr>
        <w:pStyle w:val="BodyText"/>
        <w:spacing w:before="9"/>
        <w:ind w:left="3334"/>
      </w:pPr>
      <w:r>
        <w:rPr>
          <w:color w:val="0D0D0D"/>
        </w:rPr>
        <w:t>A、金融市场的要素主要有市场主体、金融工具、交易价格和利息率</w:t>
      </w:r>
    </w:p>
    <w:p>
      <w:pPr>
        <w:pStyle w:val="BodyText"/>
        <w:spacing w:before="14"/>
        <w:ind w:left="3334"/>
      </w:pPr>
      <w:r>
        <w:rPr>
          <w:color w:val="0D0D0D"/>
        </w:rPr>
        <w:t>B、按期限金融市场分为短期金融市场和长期金融市场，即货币市场和资本市场</w:t>
      </w:r>
    </w:p>
    <w:p>
      <w:pPr>
        <w:pStyle w:val="BodyText"/>
        <w:spacing w:before="9" w:line="247" w:lineRule="auto"/>
        <w:ind w:right="2643" w:firstLine="633"/>
      </w:pPr>
      <w:r>
        <w:rPr>
          <w:color w:val="0D0D0D"/>
        </w:rPr>
        <w:t>C、按证券交易的方式和次数金融市场分为初级市场和次级市场，即发行市场和流通市场，或称一级市场和二级市场</w:t>
      </w:r>
    </w:p>
    <w:p>
      <w:pPr>
        <w:pStyle w:val="BodyText"/>
        <w:spacing w:line="249" w:lineRule="auto"/>
        <w:ind w:left="3330" w:right="4864" w:firstLine="3"/>
      </w:pPr>
      <w:r>
        <w:rPr>
          <w:color w:val="0D0D0D"/>
        </w:rPr>
        <w:t>D、按金融工具的属性金融市场分为基础性金融市场和金融衍生品市场</w:t>
      </w:r>
      <w:r>
        <w:rPr>
          <w:b/>
          <w:color w:val="0D0D0D"/>
        </w:rPr>
        <w:t>答案:</w:t>
      </w:r>
      <w:r>
        <w:rPr>
          <w:color w:val="0D0D0D"/>
        </w:rPr>
        <w:t>A</w:t>
      </w:r>
    </w:p>
    <w:p>
      <w:pPr>
        <w:pStyle w:val="BodyText"/>
        <w:spacing w:line="389" w:lineRule="exact"/>
        <w:ind w:left="3330"/>
      </w:pPr>
      <w:r>
        <w:rPr>
          <w:b/>
          <w:color w:val="0D0D0D"/>
        </w:rPr>
        <w:t>解析:</w:t>
      </w:r>
      <w:r>
        <w:rPr>
          <w:color w:val="0D0D0D"/>
        </w:rPr>
        <w:t>金融市场的要素主要有市场主体、金融工具、交易价格和组织形式。</w:t>
      </w:r>
    </w:p>
    <w:p>
      <w:pPr>
        <w:pStyle w:val="BodyText"/>
        <w:spacing w:before="9"/>
      </w:pPr>
      <w:r>
        <w:rPr>
          <w:color w:val="0D0D0D"/>
        </w:rPr>
        <w:t xml:space="preserve">6、下列各项经济活动中，属于企业狭义投资的是（ </w:t>
      </w:r>
      <w:r>
        <w:rPr>
          <w:color w:val="0D0D0D"/>
          <w:spacing w:val="-159"/>
        </w:rPr>
        <w:t>）</w:t>
      </w:r>
      <w:r>
        <w:rPr>
          <w:color w:val="0D0D0D"/>
        </w:rPr>
        <w:t>。</w:t>
      </w:r>
    </w:p>
    <w:p>
      <w:pPr>
        <w:pStyle w:val="BodyText"/>
        <w:tabs>
          <w:tab w:val="left" w:pos="5855"/>
          <w:tab w:val="left" w:pos="8688"/>
          <w:tab w:val="left" w:pos="11525"/>
        </w:tabs>
        <w:spacing w:before="13" w:line="244" w:lineRule="auto"/>
        <w:ind w:left="3330" w:right="4272" w:firstLine="3"/>
      </w:pPr>
      <w:r>
        <w:rPr>
          <w:color w:val="0D0D0D"/>
          <w:spacing w:val="-4"/>
        </w:rPr>
        <w:t>A</w:t>
      </w:r>
      <w:r>
        <w:rPr>
          <w:color w:val="0D0D0D"/>
        </w:rPr>
        <w:t>、购买设备</w:t>
        <w:tab/>
      </w:r>
      <w:r>
        <w:rPr>
          <w:color w:val="0D0D0D"/>
          <w:spacing w:val="-4"/>
        </w:rPr>
        <w:t>B</w:t>
      </w:r>
      <w:r>
        <w:rPr>
          <w:color w:val="0D0D0D"/>
        </w:rPr>
        <w:t>、购买零部件</w:t>
        <w:tab/>
        <w:t>C、购买专利权</w:t>
        <w:tab/>
        <w:t>D、购买国库</w:t>
      </w:r>
      <w:r>
        <w:rPr>
          <w:color w:val="0D0D0D"/>
          <w:spacing w:val="-17"/>
        </w:rPr>
        <w:t>券</w:t>
      </w:r>
      <w:r>
        <w:rPr>
          <w:b/>
          <w:color w:val="0D0D0D"/>
        </w:rPr>
        <w:t>答案:</w:t>
      </w:r>
      <w:r>
        <w:rPr>
          <w:color w:val="0D0D0D"/>
        </w:rPr>
        <w:t>D</w:t>
      </w:r>
    </w:p>
    <w:p>
      <w:pPr>
        <w:pStyle w:val="BodyText"/>
        <w:spacing w:before="7"/>
        <w:ind w:left="3330"/>
      </w:pPr>
      <w:r>
        <w:rPr>
          <w:b/>
          <w:color w:val="0D0D0D"/>
        </w:rPr>
        <w:t>解析:</w:t>
      </w:r>
      <w:r>
        <w:rPr>
          <w:color w:val="0D0D0D"/>
        </w:rPr>
        <w:t>广义投资包括对内使用资金和对外投放资金两个过程，狭义投资仅指对外投资。</w:t>
      </w:r>
    </w:p>
    <w:p>
      <w:pPr>
        <w:pStyle w:val="BodyText"/>
        <w:spacing w:before="10"/>
      </w:pPr>
      <w:r>
        <w:rPr>
          <w:color w:val="0D0D0D"/>
        </w:rPr>
        <w:t xml:space="preserve">7、没有风险和通货膨胀情况下的均衡点利率是（ </w:t>
      </w:r>
      <w:r>
        <w:rPr>
          <w:color w:val="0D0D0D"/>
          <w:spacing w:val="-162"/>
        </w:rPr>
        <w:t>）</w:t>
      </w:r>
      <w:r>
        <w:rPr>
          <w:color w:val="0D0D0D"/>
        </w:rPr>
        <w:t>。</w:t>
      </w:r>
    </w:p>
    <w:p>
      <w:pPr>
        <w:pStyle w:val="BodyText"/>
        <w:tabs>
          <w:tab w:val="left" w:pos="5224"/>
          <w:tab w:val="left" w:pos="7428"/>
          <w:tab w:val="left" w:pos="10895"/>
        </w:tabs>
        <w:spacing w:before="13" w:line="244" w:lineRule="auto"/>
        <w:ind w:left="3330" w:right="5219" w:firstLine="3"/>
      </w:pPr>
      <w:r>
        <w:rPr>
          <w:color w:val="0D0D0D"/>
          <w:spacing w:val="-4"/>
        </w:rPr>
        <w:t>A</w:t>
      </w:r>
      <w:r>
        <w:rPr>
          <w:color w:val="0D0D0D"/>
        </w:rPr>
        <w:t>、利率</w:t>
        <w:tab/>
      </w:r>
      <w:r>
        <w:rPr>
          <w:color w:val="0D0D0D"/>
          <w:spacing w:val="-4"/>
        </w:rPr>
        <w:t>B</w:t>
      </w:r>
      <w:r>
        <w:rPr>
          <w:color w:val="0D0D0D"/>
        </w:rPr>
        <w:t>、纯利率</w:t>
        <w:tab/>
        <w:t>C、流动风险报酬率</w:t>
        <w:tab/>
        <w:t>D、市场利</w:t>
      </w:r>
      <w:r>
        <w:rPr>
          <w:color w:val="0D0D0D"/>
          <w:spacing w:val="-17"/>
        </w:rPr>
        <w:t>率</w:t>
      </w:r>
      <w:r>
        <w:rPr>
          <w:b/>
          <w:color w:val="0D0D0D"/>
        </w:rPr>
        <w:t>答案:</w:t>
      </w:r>
      <w:r>
        <w:rPr>
          <w:color w:val="0D0D0D"/>
        </w:rPr>
        <w:t>B</w:t>
      </w:r>
    </w:p>
    <w:p>
      <w:pPr>
        <w:pStyle w:val="BodyText"/>
        <w:spacing w:before="7"/>
        <w:ind w:left="3330"/>
      </w:pPr>
      <w:r>
        <w:rPr>
          <w:b/>
          <w:color w:val="0D0D0D"/>
        </w:rPr>
        <w:t>解析:</w:t>
      </w:r>
      <w:r>
        <w:rPr>
          <w:color w:val="0D0D0D"/>
        </w:rPr>
        <w:t>纯利率是没有风险和通货膨胀情况下的均衡点利率，用第二章资金时间价值的相</w:t>
      </w:r>
    </w:p>
    <w:p>
      <w:pPr>
        <w:spacing w:after="0"/>
        <w:sectPr>
          <w:headerReference w:type="default" r:id="rId4"/>
          <w:footerReference w:type="default" r:id="rId5"/>
          <w:type w:val="continuous"/>
          <w:pgSz w:w="17860" w:h="25260"/>
          <w:pgMar w:top="1720" w:right="0" w:bottom="1940" w:left="0" w:header="1129" w:footer="1752"/>
          <w:pgNumType w:start="1"/>
          <w:cols w:space="708"/>
        </w:sectPr>
      </w:pPr>
    </w:p>
    <w:p>
      <w:pPr>
        <w:pStyle w:val="BodyText"/>
        <w:spacing w:before="3"/>
        <w:ind w:left="0"/>
        <w:rPr>
          <w:sz w:val="8"/>
        </w:rPr>
      </w:pPr>
    </w:p>
    <w:p>
      <w:pPr>
        <w:pStyle w:val="BodyText"/>
        <w:spacing w:before="63"/>
      </w:pPr>
      <w:r>
        <w:rPr>
          <w:color w:val="0D0D0D"/>
        </w:rPr>
        <w:t>对数表示。</w:t>
      </w:r>
    </w:p>
    <w:p>
      <w:pPr>
        <w:pStyle w:val="BodyText"/>
        <w:spacing w:before="10" w:line="247" w:lineRule="auto"/>
        <w:ind w:right="2634"/>
        <w:jc w:val="both"/>
      </w:pPr>
      <w:r>
        <w:rPr>
          <w:color w:val="0D0D0D"/>
        </w:rPr>
        <w:t>8</w:t>
      </w:r>
      <w:r>
        <w:rPr>
          <w:color w:val="0D0D0D"/>
          <w:spacing w:val="-10"/>
        </w:rPr>
        <w:t xml:space="preserve">、甲、乙两个企业均投入 </w:t>
      </w:r>
      <w:r>
        <w:rPr>
          <w:color w:val="0D0D0D"/>
        </w:rPr>
        <w:t>100</w:t>
      </w:r>
      <w:r>
        <w:rPr>
          <w:color w:val="0D0D0D"/>
          <w:spacing w:val="1"/>
        </w:rPr>
        <w:t xml:space="preserve"> 万元的资本，本年获利均为</w:t>
      </w:r>
      <w:r>
        <w:rPr>
          <w:color w:val="0D0D0D"/>
        </w:rPr>
        <w:t>20</w:t>
      </w:r>
      <w:r>
        <w:rPr>
          <w:color w:val="0D0D0D"/>
          <w:spacing w:val="-2"/>
        </w:rPr>
        <w:t xml:space="preserve"> 万元，但甲企业的获利已全部</w:t>
      </w:r>
      <w:r>
        <w:rPr>
          <w:color w:val="0D0D0D"/>
        </w:rPr>
        <w:t>转化为现金，而乙企业则全部是应收账款。如果在分析时认为这两个企业都获利20</w:t>
      </w:r>
      <w:r>
        <w:rPr>
          <w:color w:val="0D0D0D"/>
          <w:spacing w:val="21"/>
        </w:rPr>
        <w:t xml:space="preserve"> 万元， 经营效果相同。得出这种结论的原因是（ </w:t>
      </w:r>
      <w:r>
        <w:rPr>
          <w:color w:val="0D0D0D"/>
          <w:spacing w:val="-159"/>
        </w:rPr>
        <w:t>）</w:t>
      </w:r>
      <w:r>
        <w:rPr>
          <w:color w:val="0D0D0D"/>
        </w:rPr>
        <w:t>。</w:t>
      </w:r>
    </w:p>
    <w:p>
      <w:pPr>
        <w:pStyle w:val="BodyText"/>
        <w:tabs>
          <w:tab w:val="left" w:pos="9642"/>
        </w:tabs>
        <w:ind w:left="3334"/>
        <w:jc w:val="both"/>
      </w:pPr>
      <w:r>
        <w:rPr>
          <w:color w:val="0D0D0D"/>
          <w:spacing w:val="-4"/>
        </w:rPr>
        <w:t>A</w:t>
      </w:r>
      <w:r>
        <w:rPr>
          <w:color w:val="0D0D0D"/>
        </w:rPr>
        <w:t>、没有考虑利润的取得时间</w:t>
        <w:tab/>
      </w:r>
      <w:r>
        <w:rPr>
          <w:color w:val="0D0D0D"/>
          <w:spacing w:val="-4"/>
        </w:rPr>
        <w:t>B</w:t>
      </w:r>
      <w:r>
        <w:rPr>
          <w:color w:val="0D0D0D"/>
        </w:rPr>
        <w:t>、没有考虑利润的获得和所承担风险大</w:t>
      </w:r>
    </w:p>
    <w:p>
      <w:pPr>
        <w:pStyle w:val="BodyText"/>
        <w:spacing w:before="10"/>
      </w:pPr>
      <w:r>
        <w:rPr>
          <w:color w:val="0D0D0D"/>
          <w:w w:val="102"/>
        </w:rPr>
        <w:t>小</w:t>
      </w:r>
    </w:p>
    <w:p>
      <w:pPr>
        <w:pStyle w:val="BodyText"/>
        <w:tabs>
          <w:tab w:val="left" w:pos="9635"/>
        </w:tabs>
        <w:spacing w:before="13" w:line="244" w:lineRule="auto"/>
        <w:ind w:left="3330" w:right="2998" w:firstLine="3"/>
      </w:pPr>
      <w:r>
        <w:rPr>
          <w:color w:val="0D0D0D"/>
          <w:spacing w:val="-4"/>
        </w:rPr>
        <w:t>C</w:t>
      </w:r>
      <w:r>
        <w:rPr>
          <w:color w:val="0D0D0D"/>
        </w:rPr>
        <w:t>、没有考虑所获利润和投入资本的关系</w:t>
        <w:tab/>
      </w:r>
      <w:r>
        <w:rPr>
          <w:color w:val="0D0D0D"/>
          <w:spacing w:val="-4"/>
        </w:rPr>
        <w:t>D</w:t>
      </w:r>
      <w:r>
        <w:rPr>
          <w:color w:val="0D0D0D"/>
        </w:rPr>
        <w:t>、没有考虑所获利润与规模大小关</w:t>
      </w:r>
      <w:r>
        <w:rPr>
          <w:color w:val="0D0D0D"/>
          <w:spacing w:val="-17"/>
        </w:rPr>
        <w:t>系</w:t>
      </w:r>
      <w:r>
        <w:rPr>
          <w:b/>
          <w:color w:val="0D0D0D"/>
        </w:rPr>
        <w:t>答案:</w:t>
      </w:r>
      <w:r>
        <w:rPr>
          <w:color w:val="0D0D0D"/>
        </w:rPr>
        <w:t>B</w:t>
      </w:r>
    </w:p>
    <w:p>
      <w:pPr>
        <w:pStyle w:val="BodyText"/>
        <w:spacing w:before="7"/>
        <w:ind w:left="3330"/>
      </w:pPr>
      <w:r>
        <w:rPr>
          <w:b/>
          <w:color w:val="0D0D0D"/>
        </w:rPr>
        <w:t>解析:</w:t>
      </w:r>
      <w:r>
        <w:rPr>
          <w:color w:val="0D0D0D"/>
        </w:rPr>
        <w:t>得出这种结论的原因是没有考虑应收账款可能产生的坏账损失，即没有考虑利润</w:t>
      </w:r>
    </w:p>
    <w:p>
      <w:pPr>
        <w:pStyle w:val="BodyText"/>
        <w:spacing w:before="10"/>
      </w:pPr>
      <w:r>
        <w:rPr>
          <w:color w:val="0D0D0D"/>
        </w:rPr>
        <w:t>的获得和所承担风险大小。</w:t>
      </w:r>
    </w:p>
    <w:p>
      <w:pPr>
        <w:pStyle w:val="BodyText"/>
        <w:spacing w:before="13" w:line="244" w:lineRule="auto"/>
        <w:ind w:left="3334" w:right="9012" w:hanging="634"/>
      </w:pPr>
      <w:r>
        <w:rPr>
          <w:color w:val="0D0D0D"/>
        </w:rPr>
        <w:t>9、企业财务关系中最为重要的关系是（</w:t>
      </w:r>
      <w:r>
        <w:rPr>
          <w:color w:val="0D0D0D"/>
          <w:spacing w:val="90"/>
        </w:rPr>
        <w:t xml:space="preserve"> </w:t>
      </w:r>
      <w:r>
        <w:rPr>
          <w:color w:val="0D0D0D"/>
          <w:spacing w:val="-163"/>
        </w:rPr>
        <w:t>）</w:t>
      </w:r>
      <w:r>
        <w:rPr>
          <w:color w:val="0D0D0D"/>
          <w:spacing w:val="-18"/>
        </w:rPr>
        <w:t>。</w:t>
      </w:r>
      <w:r>
        <w:rPr>
          <w:color w:val="0D0D0D"/>
          <w:spacing w:val="-4"/>
        </w:rPr>
        <w:t>A</w:t>
      </w:r>
      <w:r>
        <w:rPr>
          <w:color w:val="0D0D0D"/>
        </w:rPr>
        <w:t>、股东与经营者之间的关系</w:t>
      </w:r>
    </w:p>
    <w:p>
      <w:pPr>
        <w:pStyle w:val="BodyText"/>
        <w:spacing w:before="7"/>
        <w:ind w:left="3017"/>
      </w:pPr>
      <w:r>
        <w:rPr>
          <w:color w:val="0D0D0D"/>
        </w:rPr>
        <w:t>B、股东与债权人之间的关系</w:t>
      </w:r>
    </w:p>
    <w:p>
      <w:pPr>
        <w:pStyle w:val="BodyText"/>
        <w:spacing w:before="9"/>
        <w:ind w:left="3334"/>
      </w:pPr>
      <w:r>
        <w:rPr>
          <w:color w:val="0D0D0D"/>
        </w:rPr>
        <w:t>C、股东、经营者、债权人之间的关系</w:t>
      </w:r>
    </w:p>
    <w:p>
      <w:pPr>
        <w:pStyle w:val="BodyText"/>
        <w:spacing w:before="15" w:line="244" w:lineRule="auto"/>
        <w:ind w:left="3330" w:right="5969" w:hanging="155"/>
      </w:pPr>
      <w:r>
        <w:rPr>
          <w:color w:val="0D0D0D"/>
        </w:rPr>
        <w:t>D、企业与作为社会管理的政府有关部门、社会公众之间的关系</w:t>
      </w:r>
      <w:r>
        <w:rPr>
          <w:b/>
          <w:color w:val="0D0D0D"/>
        </w:rPr>
        <w:t>答案:</w:t>
      </w:r>
      <w:r>
        <w:rPr>
          <w:color w:val="0D0D0D"/>
        </w:rPr>
        <w:t>C</w:t>
      </w:r>
    </w:p>
    <w:p>
      <w:pPr>
        <w:pStyle w:val="BodyText"/>
        <w:spacing w:before="6" w:line="247" w:lineRule="auto"/>
        <w:ind w:right="2526" w:firstLine="629"/>
      </w:pPr>
      <w:r>
        <w:rPr>
          <w:b/>
          <w:color w:val="0D0D0D"/>
        </w:rPr>
        <w:t>解析:</w:t>
      </w:r>
      <w:r>
        <w:rPr>
          <w:color w:val="0D0D0D"/>
        </w:rPr>
        <w:t xml:space="preserve">本题的考核点是对企业相关利益者，即股东、经营者、债权人之间关系的理解。 </w:t>
      </w:r>
      <w:r>
        <w:rPr>
          <w:color w:val="0D0D0D"/>
          <w:spacing w:val="-17"/>
        </w:rPr>
        <w:t xml:space="preserve">企业为了实现自身的财务目标，就必须协调好股东、经营者和债权人之间的利害关系，因此， </w:t>
      </w:r>
      <w:r>
        <w:rPr>
          <w:color w:val="0D0D0D"/>
        </w:rPr>
        <w:t>他们之间的关系就成了企业最重要的财务关系。</w:t>
      </w:r>
    </w:p>
    <w:p>
      <w:pPr>
        <w:pStyle w:val="BodyText"/>
        <w:tabs>
          <w:tab w:val="left" w:pos="10261"/>
        </w:tabs>
        <w:spacing w:line="247" w:lineRule="auto"/>
        <w:ind w:left="3334" w:right="2860" w:hanging="634"/>
      </w:pPr>
      <w:r>
        <w:rPr>
          <w:color w:val="0D0D0D"/>
        </w:rPr>
        <w:t xml:space="preserve">10、作为企业财务管理目标，每股利润最大化目标较之利润最大化目标的优点在于（ </w:t>
      </w:r>
      <w:r>
        <w:rPr>
          <w:color w:val="0D0D0D"/>
          <w:spacing w:val="13"/>
        </w:rPr>
        <w:t xml:space="preserve"> </w:t>
      </w:r>
      <w:r>
        <w:rPr>
          <w:color w:val="0D0D0D"/>
          <w:spacing w:val="-162"/>
        </w:rPr>
        <w:t>）</w:t>
      </w:r>
      <w:r>
        <w:rPr>
          <w:color w:val="0D0D0D"/>
          <w:spacing w:val="-16"/>
        </w:rPr>
        <w:t>。</w:t>
      </w:r>
      <w:r>
        <w:rPr>
          <w:color w:val="0D0D0D"/>
          <w:spacing w:val="-4"/>
        </w:rPr>
        <w:t>A</w:t>
      </w:r>
      <w:r>
        <w:rPr>
          <w:color w:val="0D0D0D"/>
        </w:rPr>
        <w:t>、考虑了资金时间价值因素</w:t>
        <w:tab/>
        <w:t>B、考虑了风险价值因素</w:t>
      </w:r>
    </w:p>
    <w:p>
      <w:pPr>
        <w:pStyle w:val="BodyText"/>
        <w:tabs>
          <w:tab w:val="left" w:pos="10261"/>
        </w:tabs>
        <w:spacing w:line="244" w:lineRule="auto"/>
        <w:ind w:left="3330" w:right="3635" w:firstLine="3"/>
      </w:pPr>
      <w:r>
        <w:rPr>
          <w:color w:val="0D0D0D"/>
          <w:spacing w:val="-4"/>
        </w:rPr>
        <w:t>C</w:t>
      </w:r>
      <w:r>
        <w:rPr>
          <w:color w:val="0D0D0D"/>
        </w:rPr>
        <w:t>、反映了创造利润与投入资本之间的关系</w:t>
        <w:tab/>
        <w:t>D、能够避免企业的短期行</w:t>
      </w:r>
      <w:r>
        <w:rPr>
          <w:color w:val="0D0D0D"/>
          <w:spacing w:val="-17"/>
        </w:rPr>
        <w:t>为</w:t>
      </w:r>
      <w:r>
        <w:rPr>
          <w:b/>
          <w:color w:val="0D0D0D"/>
        </w:rPr>
        <w:t>答案:</w:t>
      </w:r>
      <w:r>
        <w:rPr>
          <w:color w:val="0D0D0D"/>
        </w:rPr>
        <w:t>C</w:t>
      </w:r>
    </w:p>
    <w:p>
      <w:pPr>
        <w:pStyle w:val="BodyText"/>
        <w:spacing w:before="3" w:line="247" w:lineRule="auto"/>
        <w:ind w:right="2643" w:firstLine="629"/>
        <w:jc w:val="both"/>
      </w:pPr>
      <w:r>
        <w:rPr>
          <w:b/>
          <w:color w:val="0D0D0D"/>
        </w:rPr>
        <w:t>解析:</w:t>
      </w:r>
      <w:r>
        <w:rPr>
          <w:color w:val="0D0D0D"/>
          <w:spacing w:val="-1"/>
        </w:rPr>
        <w:t>本题的考点是财务管理目标相关表述优缺点的比较，因为每股利润等于税后净利</w:t>
      </w:r>
      <w:r>
        <w:rPr>
          <w:color w:val="0D0D0D"/>
          <w:spacing w:val="-14"/>
        </w:rPr>
        <w:t>与投入股份数的对比，是相对数指标，所以每股利润最大化较之利润最大化的优点在于它反映了创造利润与投入资本的关系。</w:t>
      </w:r>
    </w:p>
    <w:p>
      <w:pPr>
        <w:pStyle w:val="Heading2"/>
        <w:spacing w:line="394" w:lineRule="exact"/>
      </w:pPr>
      <w:r>
        <w:rPr>
          <w:color w:val="0D0D0D"/>
        </w:rPr>
        <w:t>二、多项选择题</w:t>
      </w:r>
    </w:p>
    <w:p>
      <w:pPr>
        <w:pStyle w:val="BodyText"/>
        <w:spacing w:before="14"/>
      </w:pPr>
      <w:r>
        <w:rPr>
          <w:color w:val="0D0D0D"/>
        </w:rPr>
        <w:t xml:space="preserve">1、为了协调所有者与债权人之间的矛盾，通常采用的方法包括（ </w:t>
      </w:r>
      <w:r>
        <w:rPr>
          <w:color w:val="0D0D0D"/>
          <w:spacing w:val="-163"/>
        </w:rPr>
        <w:t>）</w:t>
      </w:r>
      <w:r>
        <w:rPr>
          <w:color w:val="0D0D0D"/>
        </w:rPr>
        <w:t>。</w:t>
      </w:r>
    </w:p>
    <w:p>
      <w:pPr>
        <w:pStyle w:val="BodyText"/>
        <w:tabs>
          <w:tab w:val="left" w:pos="9635"/>
        </w:tabs>
        <w:spacing w:before="10"/>
        <w:ind w:left="3334"/>
      </w:pPr>
      <w:r>
        <w:rPr>
          <w:color w:val="0D0D0D"/>
          <w:spacing w:val="-4"/>
        </w:rPr>
        <w:t>A</w:t>
      </w:r>
      <w:r>
        <w:rPr>
          <w:color w:val="0D0D0D"/>
        </w:rPr>
        <w:t>、在借款合同中加入某些限制性条款</w:t>
        <w:tab/>
      </w:r>
      <w:r>
        <w:rPr>
          <w:color w:val="0D0D0D"/>
          <w:spacing w:val="-4"/>
        </w:rPr>
        <w:t>B</w:t>
      </w:r>
      <w:r>
        <w:rPr>
          <w:color w:val="0D0D0D"/>
        </w:rPr>
        <w:t>、参与企业的经营决策</w:t>
      </w:r>
    </w:p>
    <w:p>
      <w:pPr>
        <w:pStyle w:val="BodyText"/>
        <w:tabs>
          <w:tab w:val="left" w:pos="9635"/>
        </w:tabs>
        <w:spacing w:before="13" w:line="244" w:lineRule="auto"/>
        <w:ind w:left="3330" w:right="4582" w:firstLine="3"/>
      </w:pPr>
      <w:r>
        <w:rPr>
          <w:color w:val="0D0D0D"/>
          <w:spacing w:val="-4"/>
        </w:rPr>
        <w:t>C</w:t>
      </w:r>
      <w:r>
        <w:rPr>
          <w:color w:val="0D0D0D"/>
        </w:rPr>
        <w:t>、对企业的经营活动进行财务监督</w:t>
        <w:tab/>
      </w:r>
      <w:r>
        <w:rPr>
          <w:color w:val="0D0D0D"/>
          <w:spacing w:val="-4"/>
        </w:rPr>
        <w:t>D</w:t>
      </w:r>
      <w:r>
        <w:rPr>
          <w:color w:val="0D0D0D"/>
        </w:rPr>
        <w:t>、收回借款或者停止借</w:t>
      </w:r>
      <w:r>
        <w:rPr>
          <w:color w:val="0D0D0D"/>
          <w:spacing w:val="-17"/>
        </w:rPr>
        <w:t>款</w:t>
      </w:r>
      <w:r>
        <w:rPr>
          <w:b/>
          <w:color w:val="0D0D0D"/>
        </w:rPr>
        <w:t>答案:</w:t>
      </w:r>
      <w:r>
        <w:rPr>
          <w:color w:val="0D0D0D"/>
        </w:rPr>
        <w:t>AD</w:t>
      </w:r>
    </w:p>
    <w:p>
      <w:pPr>
        <w:pStyle w:val="BodyText"/>
        <w:spacing w:before="7" w:line="247" w:lineRule="auto"/>
        <w:ind w:right="2547" w:firstLine="629"/>
      </w:pPr>
      <w:r>
        <w:rPr>
          <w:b/>
          <w:color w:val="0D0D0D"/>
          <w:w w:val="101"/>
        </w:rPr>
        <w:t>解析</w:t>
      </w:r>
      <w:r>
        <w:rPr>
          <w:b/>
          <w:color w:val="0D0D0D"/>
          <w:spacing w:val="3"/>
          <w:w w:val="101"/>
        </w:rPr>
        <w:t>:</w:t>
      </w:r>
      <w:r>
        <w:rPr>
          <w:color w:val="0D0D0D"/>
          <w:w w:val="102"/>
        </w:rPr>
        <w:t>通常可采用以下方式协调所有者与债权人的矛盾</w:t>
      </w:r>
      <w:r>
        <w:rPr>
          <w:color w:val="0D0D0D"/>
          <w:spacing w:val="-190"/>
          <w:w w:val="102"/>
        </w:rPr>
        <w:t>：</w:t>
      </w:r>
      <w:r>
        <w:rPr>
          <w:color w:val="0D0D0D"/>
          <w:w w:val="102"/>
        </w:rPr>
        <w:t>（1）限制性借款，即在借款合</w:t>
      </w:r>
      <w:r>
        <w:rPr>
          <w:color w:val="0D0D0D"/>
        </w:rPr>
        <w:t>同中加入某些限制性条款，如规定借款的用途、借款的担保条款和借款的信用条件等</w:t>
      </w:r>
      <w:r>
        <w:rPr>
          <w:color w:val="0D0D0D"/>
          <w:spacing w:val="-218"/>
        </w:rPr>
        <w:t>。</w:t>
      </w:r>
      <w:r>
        <w:rPr>
          <w:color w:val="0D0D0D"/>
          <w:spacing w:val="-8"/>
        </w:rPr>
        <w:t xml:space="preserve">（2） </w:t>
      </w:r>
      <w:r>
        <w:rPr>
          <w:color w:val="0D0D0D"/>
          <w:spacing w:val="-13"/>
        </w:rPr>
        <w:t>收回借款或停止借款，即当债权人发现公司有侵蚀其债权价值的意图时，采取收回债权和不 给予公司增加放款的方法保护自身的权益。</w:t>
      </w:r>
    </w:p>
    <w:p>
      <w:pPr>
        <w:pStyle w:val="BodyText"/>
        <w:spacing w:line="395" w:lineRule="exact"/>
      </w:pPr>
      <w:r>
        <w:rPr>
          <w:color w:val="0D0D0D"/>
        </w:rPr>
        <w:t xml:space="preserve">2、企业的财务关系包括（ </w:t>
      </w:r>
      <w:r>
        <w:rPr>
          <w:color w:val="0D0D0D"/>
          <w:spacing w:val="-159"/>
        </w:rPr>
        <w:t>）</w:t>
      </w:r>
      <w:r>
        <w:rPr>
          <w:color w:val="0D0D0D"/>
        </w:rPr>
        <w:t>。</w:t>
      </w:r>
    </w:p>
    <w:p>
      <w:pPr>
        <w:pStyle w:val="BodyText"/>
        <w:tabs>
          <w:tab w:val="left" w:pos="8688"/>
        </w:tabs>
        <w:spacing w:before="9"/>
        <w:ind w:left="3334"/>
      </w:pPr>
      <w:r>
        <w:rPr>
          <w:color w:val="0D0D0D"/>
          <w:spacing w:val="-4"/>
        </w:rPr>
        <w:t>A</w:t>
      </w:r>
      <w:r>
        <w:rPr>
          <w:color w:val="0D0D0D"/>
        </w:rPr>
        <w:t>、企业与政府之间的财务关系</w:t>
        <w:tab/>
        <w:t>B、企业与投资者之间的财务关系</w:t>
      </w:r>
    </w:p>
    <w:p>
      <w:pPr>
        <w:pStyle w:val="BodyText"/>
        <w:tabs>
          <w:tab w:val="left" w:pos="8688"/>
        </w:tabs>
        <w:spacing w:before="13" w:line="244" w:lineRule="auto"/>
        <w:ind w:left="3330" w:right="4260" w:firstLine="3"/>
      </w:pPr>
      <w:r>
        <w:rPr>
          <w:color w:val="0D0D0D"/>
          <w:spacing w:val="-4"/>
        </w:rPr>
        <w:t>C</w:t>
      </w:r>
      <w:r>
        <w:rPr>
          <w:color w:val="0D0D0D"/>
        </w:rPr>
        <w:t>、企业与债务人之间的财务关系</w:t>
        <w:tab/>
        <w:t>D、企业内部各单位之间的财务关</w:t>
      </w:r>
      <w:r>
        <w:rPr>
          <w:color w:val="0D0D0D"/>
          <w:spacing w:val="-18"/>
        </w:rPr>
        <w:t>系</w:t>
      </w:r>
      <w:r>
        <w:rPr>
          <w:b/>
          <w:color w:val="0D0D0D"/>
        </w:rPr>
        <w:t>答案:</w:t>
      </w:r>
      <w:r>
        <w:rPr>
          <w:color w:val="0D0D0D"/>
        </w:rPr>
        <w:t>ABCD</w:t>
      </w:r>
    </w:p>
    <w:p>
      <w:pPr>
        <w:pStyle w:val="BodyText"/>
        <w:spacing w:before="7" w:line="247" w:lineRule="auto"/>
        <w:ind w:right="2634" w:firstLine="640"/>
      </w:pPr>
      <w:r>
        <w:rPr>
          <w:b/>
          <w:color w:val="0D0D0D"/>
          <w:spacing w:val="9"/>
        </w:rPr>
        <w:t>解析:</w:t>
      </w:r>
      <w:r>
        <w:rPr>
          <w:color w:val="0D0D0D"/>
        </w:rPr>
        <w:t>企业财务关系是指企业在组织财务活动过程中与有关各方所发生的经济利益关</w:t>
      </w:r>
      <w:r>
        <w:rPr>
          <w:color w:val="0D0D0D"/>
          <w:w w:val="102"/>
        </w:rPr>
        <w:t>系，企业财务关系可概括为以下几个方面</w:t>
      </w:r>
      <w:r>
        <w:rPr>
          <w:color w:val="0D0D0D"/>
          <w:spacing w:val="-244"/>
          <w:w w:val="102"/>
        </w:rPr>
        <w:t>：</w:t>
      </w:r>
      <w:r>
        <w:rPr>
          <w:color w:val="0D0D0D"/>
          <w:w w:val="102"/>
        </w:rPr>
        <w:t>（</w:t>
      </w:r>
      <w:r>
        <w:rPr>
          <w:color w:val="0D0D0D"/>
          <w:spacing w:val="-4"/>
          <w:w w:val="102"/>
        </w:rPr>
        <w:t>1</w:t>
      </w:r>
      <w:r>
        <w:rPr>
          <w:color w:val="0D0D0D"/>
          <w:w w:val="102"/>
        </w:rPr>
        <w:t>）企业与政府之间的财务关系</w:t>
      </w:r>
      <w:r>
        <w:rPr>
          <w:color w:val="0D0D0D"/>
          <w:spacing w:val="-241"/>
          <w:w w:val="102"/>
        </w:rPr>
        <w:t>；</w:t>
      </w:r>
      <w:r>
        <w:rPr>
          <w:color w:val="0D0D0D"/>
          <w:w w:val="102"/>
        </w:rPr>
        <w:t>（2）企业与投资者之间的财务关系</w:t>
      </w:r>
      <w:r>
        <w:rPr>
          <w:color w:val="0D0D0D"/>
          <w:spacing w:val="-209"/>
          <w:w w:val="102"/>
        </w:rPr>
        <w:t>；</w:t>
      </w:r>
      <w:r>
        <w:rPr>
          <w:color w:val="0D0D0D"/>
          <w:w w:val="102"/>
        </w:rPr>
        <w:t>（</w:t>
      </w:r>
      <w:r>
        <w:rPr>
          <w:color w:val="0D0D0D"/>
          <w:spacing w:val="-4"/>
          <w:w w:val="102"/>
        </w:rPr>
        <w:t>3</w:t>
      </w:r>
      <w:r>
        <w:rPr>
          <w:color w:val="0D0D0D"/>
          <w:w w:val="102"/>
        </w:rPr>
        <w:t>）企业与债权人之间的财务关系</w:t>
      </w:r>
      <w:r>
        <w:rPr>
          <w:color w:val="0D0D0D"/>
          <w:spacing w:val="-252"/>
          <w:w w:val="102"/>
        </w:rPr>
        <w:t>；</w:t>
      </w:r>
      <w:r>
        <w:rPr>
          <w:color w:val="0D0D0D"/>
          <w:w w:val="102"/>
        </w:rPr>
        <w:t>（</w:t>
      </w:r>
      <w:r>
        <w:rPr>
          <w:color w:val="0D0D0D"/>
          <w:spacing w:val="-4"/>
          <w:w w:val="102"/>
        </w:rPr>
        <w:t>4</w:t>
      </w:r>
      <w:r>
        <w:rPr>
          <w:color w:val="0D0D0D"/>
          <w:w w:val="102"/>
        </w:rPr>
        <w:t>）</w:t>
      </w:r>
      <w:r>
        <w:rPr>
          <w:color w:val="0D0D0D"/>
          <w:spacing w:val="-2"/>
          <w:w w:val="102"/>
        </w:rPr>
        <w:t>企业与受资者之间的财务关系</w:t>
      </w:r>
      <w:r>
        <w:rPr>
          <w:color w:val="0D0D0D"/>
          <w:spacing w:val="-184"/>
          <w:w w:val="102"/>
        </w:rPr>
        <w:t>；</w:t>
      </w:r>
      <w:r>
        <w:rPr>
          <w:color w:val="0D0D0D"/>
          <w:w w:val="102"/>
        </w:rPr>
        <w:t>（5）企业与债务人之间的财务关系</w:t>
      </w:r>
      <w:r>
        <w:rPr>
          <w:color w:val="0D0D0D"/>
          <w:spacing w:val="-230"/>
          <w:w w:val="102"/>
        </w:rPr>
        <w:t>；</w:t>
      </w:r>
      <w:r>
        <w:rPr>
          <w:color w:val="0D0D0D"/>
          <w:w w:val="102"/>
        </w:rPr>
        <w:t>（</w:t>
      </w:r>
      <w:r>
        <w:rPr>
          <w:color w:val="0D0D0D"/>
          <w:spacing w:val="-1"/>
          <w:w w:val="102"/>
        </w:rPr>
        <w:t>6</w:t>
      </w:r>
      <w:r>
        <w:rPr>
          <w:color w:val="0D0D0D"/>
          <w:w w:val="102"/>
        </w:rPr>
        <w:t>）企业内部各单位之间的财务关系</w:t>
      </w:r>
      <w:r>
        <w:rPr>
          <w:color w:val="0D0D0D"/>
          <w:spacing w:val="-234"/>
          <w:w w:val="102"/>
        </w:rPr>
        <w:t>；</w:t>
      </w:r>
      <w:r>
        <w:rPr>
          <w:color w:val="0D0D0D"/>
          <w:spacing w:val="1"/>
          <w:w w:val="102"/>
        </w:rPr>
        <w:t>（</w:t>
      </w:r>
      <w:r>
        <w:rPr>
          <w:color w:val="0D0D0D"/>
          <w:w w:val="102"/>
        </w:rPr>
        <w:t>7）企业与</w:t>
      </w:r>
      <w:r>
        <w:rPr>
          <w:color w:val="0D0D0D"/>
        </w:rPr>
        <w:t>职工之间的财务关系。</w:t>
      </w:r>
    </w:p>
    <w:p>
      <w:pPr>
        <w:pStyle w:val="BodyText"/>
        <w:spacing w:line="394" w:lineRule="exact"/>
      </w:pPr>
      <w:r>
        <w:rPr>
          <w:color w:val="0D0D0D"/>
        </w:rPr>
        <w:t xml:space="preserve">3、影响财务管理的主要金融环境因素有（ </w:t>
      </w:r>
      <w:r>
        <w:rPr>
          <w:color w:val="0D0D0D"/>
          <w:spacing w:val="-159"/>
        </w:rPr>
        <w:t>）</w:t>
      </w:r>
      <w:r>
        <w:rPr>
          <w:color w:val="0D0D0D"/>
        </w:rPr>
        <w:t>。</w:t>
      </w:r>
    </w:p>
    <w:p>
      <w:pPr>
        <w:pStyle w:val="BodyText"/>
        <w:tabs>
          <w:tab w:val="left" w:pos="5855"/>
          <w:tab w:val="left" w:pos="8375"/>
          <w:tab w:val="left" w:pos="10578"/>
        </w:tabs>
        <w:spacing w:before="10" w:line="247" w:lineRule="auto"/>
        <w:ind w:left="3330" w:right="5541" w:firstLine="3"/>
      </w:pPr>
      <w:r>
        <w:rPr>
          <w:color w:val="0D0D0D"/>
          <w:spacing w:val="-4"/>
        </w:rPr>
        <w:t>A</w:t>
      </w:r>
      <w:r>
        <w:rPr>
          <w:color w:val="0D0D0D"/>
        </w:rPr>
        <w:t>、金融工具</w:t>
        <w:tab/>
      </w:r>
      <w:r>
        <w:rPr>
          <w:color w:val="0D0D0D"/>
          <w:spacing w:val="-4"/>
        </w:rPr>
        <w:t>B</w:t>
      </w:r>
      <w:r>
        <w:rPr>
          <w:color w:val="0D0D0D"/>
        </w:rPr>
        <w:t>、金融市场</w:t>
        <w:tab/>
      </w:r>
      <w:r>
        <w:rPr>
          <w:color w:val="0D0D0D"/>
          <w:spacing w:val="-4"/>
        </w:rPr>
        <w:t>C</w:t>
      </w:r>
      <w:r>
        <w:rPr>
          <w:color w:val="0D0D0D"/>
        </w:rPr>
        <w:t>、利息率</w:t>
        <w:tab/>
      </w:r>
      <w:r>
        <w:rPr>
          <w:color w:val="0D0D0D"/>
          <w:spacing w:val="-4"/>
        </w:rPr>
        <w:t>D</w:t>
      </w:r>
      <w:r>
        <w:rPr>
          <w:color w:val="0D0D0D"/>
        </w:rPr>
        <w:t>、金融机</w:t>
      </w:r>
      <w:r>
        <w:rPr>
          <w:color w:val="0D0D0D"/>
          <w:spacing w:val="-18"/>
        </w:rPr>
        <w:t>构</w:t>
      </w:r>
      <w:r>
        <w:rPr>
          <w:b/>
          <w:color w:val="0D0D0D"/>
        </w:rPr>
        <w:t>答案:</w:t>
      </w:r>
      <w:r>
        <w:rPr>
          <w:color w:val="0D0D0D"/>
        </w:rPr>
        <w:t>ABCD</w:t>
      </w:r>
    </w:p>
    <w:p>
      <w:pPr>
        <w:pStyle w:val="BodyText"/>
        <w:spacing w:line="247" w:lineRule="auto"/>
        <w:ind w:right="2484" w:firstLine="629"/>
      </w:pPr>
      <w:r>
        <w:rPr>
          <w:b/>
          <w:color w:val="0D0D0D"/>
        </w:rPr>
        <w:t>解析:</w:t>
      </w:r>
      <w:r>
        <w:rPr>
          <w:color w:val="0D0D0D"/>
        </w:rPr>
        <w:t xml:space="preserve">对企业财务管理影响比较大的环境因素包括经济环境、法律环境和金融环境。其 </w:t>
      </w:r>
      <w:r>
        <w:rPr>
          <w:color w:val="0D0D0D"/>
          <w:spacing w:val="-1"/>
        </w:rPr>
        <w:t>中，金融环境是企业最为主要的环境因素。影响财务管理的主要金融环境因素有金融机构、</w:t>
      </w:r>
      <w:r>
        <w:rPr>
          <w:color w:val="0D0D0D"/>
        </w:rPr>
        <w:t>金融工具、金融市场和利息率四个方面。</w:t>
      </w:r>
    </w:p>
    <w:p>
      <w:pPr>
        <w:pStyle w:val="BodyText"/>
      </w:pPr>
      <w:r>
        <w:rPr>
          <w:color w:val="0D0D0D"/>
        </w:rPr>
        <w:t xml:space="preserve">4、下列经济行为中，不属于企业广义的投资活动的有（ </w:t>
      </w:r>
      <w:r>
        <w:rPr>
          <w:color w:val="0D0D0D"/>
          <w:spacing w:val="-163"/>
        </w:rPr>
        <w:t>）</w:t>
      </w:r>
      <w:r>
        <w:rPr>
          <w:color w:val="0D0D0D"/>
        </w:rPr>
        <w:t>。</w:t>
      </w:r>
    </w:p>
    <w:p>
      <w:pPr>
        <w:spacing w:after="0"/>
        <w:sectPr>
          <w:headerReference w:type="default" r:id="rId6"/>
          <w:footerReference w:type="default" r:id="rId7"/>
          <w:pgSz w:w="17860" w:h="25260"/>
          <w:pgMar w:top="1720" w:right="0" w:bottom="1940" w:left="0" w:header="1129" w:footer="1752"/>
          <w:pgNumType w:start="2"/>
          <w:cols w:space="708"/>
        </w:sectPr>
      </w:pPr>
    </w:p>
    <w:p>
      <w:pPr>
        <w:pStyle w:val="BodyText"/>
        <w:spacing w:before="3"/>
        <w:ind w:left="0"/>
        <w:rPr>
          <w:sz w:val="8"/>
        </w:rPr>
      </w:pPr>
    </w:p>
    <w:p>
      <w:pPr>
        <w:pStyle w:val="BodyText"/>
        <w:tabs>
          <w:tab w:val="left" w:pos="7122"/>
          <w:tab w:val="left" w:pos="11223"/>
          <w:tab w:val="left" w:pos="13747"/>
        </w:tabs>
        <w:spacing w:before="63" w:line="247" w:lineRule="auto"/>
        <w:ind w:right="2684" w:firstLine="633"/>
      </w:pPr>
      <w:r>
        <w:rPr>
          <w:color w:val="0D0D0D"/>
        </w:rPr>
        <w:t>A、企业购置无形资产</w:t>
        <w:tab/>
      </w:r>
      <w:r>
        <w:rPr>
          <w:color w:val="0D0D0D"/>
          <w:spacing w:val="-4"/>
        </w:rPr>
        <w:t>B</w:t>
      </w:r>
      <w:r>
        <w:rPr>
          <w:color w:val="0D0D0D"/>
        </w:rPr>
        <w:t>、企业提取盈余公积金</w:t>
        <w:tab/>
        <w:t>C、支付利息</w:t>
        <w:tab/>
        <w:t>D、企业</w:t>
      </w:r>
      <w:r>
        <w:rPr>
          <w:color w:val="0D0D0D"/>
          <w:spacing w:val="-17"/>
        </w:rPr>
        <w:t>购</w:t>
      </w:r>
      <w:r>
        <w:rPr>
          <w:color w:val="0D0D0D"/>
        </w:rPr>
        <w:t>买股票</w:t>
      </w:r>
    </w:p>
    <w:p>
      <w:pPr>
        <w:spacing w:before="0" w:line="397" w:lineRule="exact"/>
        <w:ind w:left="3330" w:right="0" w:firstLine="0"/>
        <w:jc w:val="left"/>
        <w:rPr>
          <w:sz w:val="31"/>
        </w:rPr>
      </w:pPr>
      <w:r>
        <w:rPr>
          <w:b/>
          <w:color w:val="0D0D0D"/>
          <w:sz w:val="31"/>
        </w:rPr>
        <w:t>答案:</w:t>
      </w:r>
      <w:r>
        <w:rPr>
          <w:color w:val="0D0D0D"/>
          <w:sz w:val="31"/>
        </w:rPr>
        <w:t>BC</w:t>
      </w:r>
    </w:p>
    <w:p>
      <w:pPr>
        <w:pStyle w:val="BodyText"/>
        <w:spacing w:before="9" w:line="247" w:lineRule="auto"/>
        <w:ind w:right="2484" w:firstLine="629"/>
      </w:pPr>
      <w:r>
        <w:rPr>
          <w:b/>
          <w:color w:val="0D0D0D"/>
        </w:rPr>
        <w:t>解析:</w:t>
      </w:r>
      <w:r>
        <w:rPr>
          <w:color w:val="0D0D0D"/>
        </w:rPr>
        <w:t>企业投资可以分为广义的投资和狭义的投资两种。广义的投资是指企业指筹集的 资金投入使用的过程，包括企业内部使用资金的过程（</w:t>
      </w:r>
      <w:r>
        <w:rPr>
          <w:color w:val="0D0D0D"/>
          <w:spacing w:val="-2"/>
        </w:rPr>
        <w:t>如购置流动资产、固定资产、无形资</w:t>
      </w:r>
      <w:r>
        <w:rPr>
          <w:color w:val="0D0D0D"/>
        </w:rPr>
        <w:t>产等）和对外投放资金的过程（如投资购买其他企业的股票、债券或与其他企业联营等</w:t>
      </w:r>
      <w:r>
        <w:rPr>
          <w:color w:val="0D0D0D"/>
          <w:spacing w:val="-208"/>
        </w:rPr>
        <w:t>）</w:t>
      </w:r>
      <w:r>
        <w:rPr>
          <w:color w:val="0D0D0D"/>
        </w:rPr>
        <w:t xml:space="preserve">。  </w:t>
      </w:r>
      <w:r>
        <w:rPr>
          <w:color w:val="0D0D0D"/>
          <w:spacing w:val="2"/>
        </w:rPr>
        <w:t>狭义的投资仅指对外投资。本题中的选项</w:t>
      </w:r>
      <w:r>
        <w:rPr>
          <w:color w:val="0D0D0D"/>
        </w:rPr>
        <w:t>B</w:t>
      </w:r>
      <w:r>
        <w:rPr>
          <w:color w:val="0D0D0D"/>
          <w:spacing w:val="-2"/>
        </w:rPr>
        <w:t xml:space="preserve"> 属于分配活动，选项</w:t>
      </w:r>
      <w:r>
        <w:rPr>
          <w:color w:val="0D0D0D"/>
        </w:rPr>
        <w:t>C</w:t>
      </w:r>
      <w:r>
        <w:rPr>
          <w:color w:val="0D0D0D"/>
          <w:spacing w:val="-11"/>
        </w:rPr>
        <w:t xml:space="preserve"> 属于筹资活动。</w:t>
      </w:r>
    </w:p>
    <w:p>
      <w:pPr>
        <w:pStyle w:val="BodyText"/>
        <w:spacing w:line="247" w:lineRule="auto"/>
        <w:ind w:right="2584"/>
      </w:pPr>
      <w:r>
        <w:rPr>
          <w:color w:val="0D0D0D"/>
        </w:rPr>
        <w:t>5、金融工具是指在信用活动中产生的、能证明债权债务关系并据以进行货币资金交易的合法凭证，一般具有下列（ ）基本特征。</w:t>
      </w:r>
    </w:p>
    <w:p>
      <w:pPr>
        <w:pStyle w:val="BodyText"/>
        <w:tabs>
          <w:tab w:val="left" w:pos="5537"/>
          <w:tab w:val="left" w:pos="7745"/>
          <w:tab w:val="left" w:pos="9945"/>
        </w:tabs>
        <w:spacing w:line="247" w:lineRule="auto"/>
        <w:ind w:left="3330" w:right="6486" w:firstLine="3"/>
      </w:pPr>
      <w:r>
        <w:rPr>
          <w:color w:val="0D0D0D"/>
          <w:spacing w:val="-4"/>
        </w:rPr>
        <w:t>A</w:t>
      </w:r>
      <w:r>
        <w:rPr>
          <w:color w:val="0D0D0D"/>
        </w:rPr>
        <w:t>、期限性</w:t>
        <w:tab/>
        <w:t>B、流动性</w:t>
        <w:tab/>
      </w:r>
      <w:r>
        <w:rPr>
          <w:color w:val="0D0D0D"/>
          <w:spacing w:val="-4"/>
        </w:rPr>
        <w:t>C</w:t>
      </w:r>
      <w:r>
        <w:rPr>
          <w:color w:val="0D0D0D"/>
        </w:rPr>
        <w:t>、风险性</w:t>
        <w:tab/>
        <w:t>D、收益</w:t>
      </w:r>
      <w:r>
        <w:rPr>
          <w:color w:val="0D0D0D"/>
          <w:spacing w:val="-16"/>
        </w:rPr>
        <w:t>性</w:t>
      </w:r>
      <w:r>
        <w:rPr>
          <w:b/>
          <w:color w:val="0D0D0D"/>
        </w:rPr>
        <w:t>答案:</w:t>
      </w:r>
      <w:r>
        <w:rPr>
          <w:color w:val="0D0D0D"/>
        </w:rPr>
        <w:t>ABCD</w:t>
      </w:r>
    </w:p>
    <w:p>
      <w:pPr>
        <w:pStyle w:val="BodyText"/>
        <w:spacing w:line="247" w:lineRule="auto"/>
        <w:ind w:right="2643" w:firstLine="629"/>
        <w:jc w:val="both"/>
      </w:pPr>
      <w:r>
        <w:rPr>
          <w:b/>
          <w:color w:val="0D0D0D"/>
        </w:rPr>
        <w:t>解析:</w:t>
      </w:r>
      <w:r>
        <w:rPr>
          <w:color w:val="0D0D0D"/>
          <w:spacing w:val="-1"/>
        </w:rPr>
        <w:t>金融工具是指在信用活动中产生的、能够证明债权债务关系并据以进行货币资金</w:t>
      </w:r>
      <w:r>
        <w:rPr>
          <w:color w:val="0D0D0D"/>
          <w:spacing w:val="-12"/>
        </w:rPr>
        <w:t>交易的合法凭证，它对于债权债务双方所应承担的义务与享有的权利均具有法律效力。金融 工具一般具有期限性、流动性、风险性和收益性四个基本特征。</w:t>
      </w:r>
    </w:p>
    <w:p>
      <w:pPr>
        <w:pStyle w:val="BodyText"/>
      </w:pPr>
      <w:r>
        <w:rPr>
          <w:color w:val="0D0D0D"/>
        </w:rPr>
        <w:t xml:space="preserve">6、金融市场的要素主要有（ </w:t>
      </w:r>
      <w:r>
        <w:rPr>
          <w:color w:val="0D0D0D"/>
          <w:spacing w:val="-159"/>
        </w:rPr>
        <w:t>）</w:t>
      </w:r>
      <w:r>
        <w:rPr>
          <w:color w:val="0D0D0D"/>
        </w:rPr>
        <w:t>。</w:t>
      </w:r>
    </w:p>
    <w:p>
      <w:pPr>
        <w:pStyle w:val="BodyText"/>
        <w:tabs>
          <w:tab w:val="left" w:pos="5855"/>
          <w:tab w:val="left" w:pos="8375"/>
          <w:tab w:val="left" w:pos="10895"/>
        </w:tabs>
        <w:spacing w:before="7" w:line="247" w:lineRule="auto"/>
        <w:ind w:left="3330" w:right="5219" w:firstLine="3"/>
      </w:pPr>
      <w:r>
        <w:rPr>
          <w:color w:val="0D0D0D"/>
          <w:spacing w:val="-4"/>
        </w:rPr>
        <w:t>A</w:t>
      </w:r>
      <w:r>
        <w:rPr>
          <w:color w:val="0D0D0D"/>
        </w:rPr>
        <w:t>、市场主体</w:t>
        <w:tab/>
      </w:r>
      <w:r>
        <w:rPr>
          <w:color w:val="0D0D0D"/>
          <w:spacing w:val="-4"/>
        </w:rPr>
        <w:t>B</w:t>
      </w:r>
      <w:r>
        <w:rPr>
          <w:color w:val="0D0D0D"/>
        </w:rPr>
        <w:t>、金融工具</w:t>
        <w:tab/>
      </w:r>
      <w:r>
        <w:rPr>
          <w:color w:val="0D0D0D"/>
          <w:spacing w:val="-4"/>
        </w:rPr>
        <w:t>C</w:t>
      </w:r>
      <w:r>
        <w:rPr>
          <w:color w:val="0D0D0D"/>
        </w:rPr>
        <w:t>、交易价格</w:t>
        <w:tab/>
        <w:t>D、市场利</w:t>
      </w:r>
      <w:r>
        <w:rPr>
          <w:color w:val="0D0D0D"/>
          <w:spacing w:val="-17"/>
        </w:rPr>
        <w:t>率</w:t>
      </w:r>
      <w:r>
        <w:rPr>
          <w:b/>
          <w:color w:val="0D0D0D"/>
        </w:rPr>
        <w:t>答案:</w:t>
      </w:r>
      <w:r>
        <w:rPr>
          <w:color w:val="0D0D0D"/>
        </w:rPr>
        <w:t>ABC</w:t>
      </w:r>
    </w:p>
    <w:p>
      <w:pPr>
        <w:pStyle w:val="BodyText"/>
        <w:spacing w:line="247" w:lineRule="auto"/>
        <w:ind w:right="2484" w:firstLine="629"/>
      </w:pPr>
      <w:r>
        <w:rPr>
          <w:b/>
          <w:color w:val="0D0D0D"/>
        </w:rPr>
        <w:t>解析:</w:t>
      </w:r>
      <w:r>
        <w:rPr>
          <w:color w:val="0D0D0D"/>
        </w:rPr>
        <w:t xml:space="preserve">金融市场是办理各种票据、有价证券、外汇和金融衍生品买卖，以及同业之间进 </w:t>
      </w:r>
      <w:r>
        <w:rPr>
          <w:color w:val="0D0D0D"/>
          <w:spacing w:val="-2"/>
        </w:rPr>
        <w:t xml:space="preserve">行货币借贷的场所。金融市场的要素主要有：市场主体、金融工具、交易价格和组织形式。 </w:t>
      </w:r>
      <w:r>
        <w:rPr>
          <w:color w:val="0D0D0D"/>
        </w:rPr>
        <w:t>7、以企业价值最大化作为财务管理的目标，它具有的优点包括（</w:t>
      </w:r>
      <w:r>
        <w:rPr>
          <w:color w:val="0D0D0D"/>
          <w:spacing w:val="-35"/>
        </w:rPr>
        <w:t xml:space="preserve"> </w:t>
      </w:r>
      <w:r>
        <w:rPr>
          <w:color w:val="0D0D0D"/>
          <w:spacing w:val="-163"/>
        </w:rPr>
        <w:t>）</w:t>
      </w:r>
      <w:r>
        <w:rPr>
          <w:color w:val="0D0D0D"/>
        </w:rPr>
        <w:t>。</w:t>
      </w:r>
    </w:p>
    <w:p>
      <w:pPr>
        <w:pStyle w:val="BodyText"/>
        <w:tabs>
          <w:tab w:val="left" w:pos="8058"/>
        </w:tabs>
        <w:ind w:left="3334"/>
      </w:pPr>
      <w:r>
        <w:rPr>
          <w:color w:val="0D0D0D"/>
          <w:spacing w:val="-4"/>
        </w:rPr>
        <w:t>A</w:t>
      </w:r>
      <w:r>
        <w:rPr>
          <w:color w:val="0D0D0D"/>
        </w:rPr>
        <w:t>、考虑了资金的时间价值</w:t>
        <w:tab/>
        <w:t>B、反映了投资的风险价值</w:t>
      </w:r>
    </w:p>
    <w:p>
      <w:pPr>
        <w:pStyle w:val="BodyText"/>
        <w:tabs>
          <w:tab w:val="left" w:pos="8058"/>
        </w:tabs>
        <w:spacing w:before="9" w:line="244" w:lineRule="auto"/>
        <w:ind w:left="3330" w:right="3306" w:firstLine="3"/>
      </w:pPr>
      <w:r>
        <w:rPr>
          <w:color w:val="0D0D0D"/>
          <w:spacing w:val="-4"/>
        </w:rPr>
        <w:t>C</w:t>
      </w:r>
      <w:r>
        <w:rPr>
          <w:color w:val="0D0D0D"/>
        </w:rPr>
        <w:t>、有利于社会资源合理配置</w:t>
        <w:tab/>
        <w:t>D、即期市场上的股价可直接揭示企业获利能</w:t>
      </w:r>
      <w:r>
        <w:rPr>
          <w:color w:val="0D0D0D"/>
          <w:spacing w:val="-18"/>
        </w:rPr>
        <w:t>力</w:t>
      </w:r>
      <w:r>
        <w:rPr>
          <w:b/>
          <w:color w:val="0D0D0D"/>
        </w:rPr>
        <w:t>答案:</w:t>
      </w:r>
      <w:r>
        <w:rPr>
          <w:color w:val="0D0D0D"/>
        </w:rPr>
        <w:t>ABC</w:t>
      </w:r>
    </w:p>
    <w:p>
      <w:pPr>
        <w:pStyle w:val="BodyText"/>
        <w:spacing w:before="7" w:line="247" w:lineRule="auto"/>
        <w:ind w:right="2538" w:firstLine="629"/>
      </w:pPr>
      <w:r>
        <w:rPr>
          <w:b/>
          <w:color w:val="0D0D0D"/>
          <w:w w:val="101"/>
        </w:rPr>
        <w:t>解析</w:t>
      </w:r>
      <w:r>
        <w:rPr>
          <w:b/>
          <w:color w:val="0D0D0D"/>
          <w:spacing w:val="3"/>
          <w:w w:val="101"/>
        </w:rPr>
        <w:t>:</w:t>
      </w:r>
      <w:r>
        <w:rPr>
          <w:color w:val="0D0D0D"/>
          <w:w w:val="102"/>
        </w:rPr>
        <w:t>以企业价值最大化作为财务管理的目标，其优点主要表现在</w:t>
      </w:r>
      <w:r>
        <w:rPr>
          <w:color w:val="0D0D0D"/>
          <w:spacing w:val="-197"/>
          <w:w w:val="102"/>
        </w:rPr>
        <w:t>：</w:t>
      </w:r>
      <w:r>
        <w:rPr>
          <w:color w:val="0D0D0D"/>
          <w:w w:val="102"/>
        </w:rPr>
        <w:t>（</w:t>
      </w:r>
      <w:r>
        <w:rPr>
          <w:color w:val="0D0D0D"/>
          <w:spacing w:val="-1"/>
          <w:w w:val="102"/>
        </w:rPr>
        <w:t>1</w:t>
      </w:r>
      <w:r>
        <w:rPr>
          <w:color w:val="0D0D0D"/>
          <w:w w:val="102"/>
        </w:rPr>
        <w:t>）考虑了资金的时间价格和投资的风险价值</w:t>
      </w:r>
      <w:r>
        <w:rPr>
          <w:color w:val="0D0D0D"/>
          <w:spacing w:val="-213"/>
          <w:w w:val="102"/>
        </w:rPr>
        <w:t>；</w:t>
      </w:r>
      <w:r>
        <w:rPr>
          <w:color w:val="0D0D0D"/>
          <w:w w:val="102"/>
        </w:rPr>
        <w:t>（</w:t>
      </w:r>
      <w:r>
        <w:rPr>
          <w:color w:val="0D0D0D"/>
          <w:spacing w:val="-4"/>
          <w:w w:val="102"/>
        </w:rPr>
        <w:t>2</w:t>
      </w:r>
      <w:r>
        <w:rPr>
          <w:color w:val="0D0D0D"/>
          <w:w w:val="102"/>
        </w:rPr>
        <w:t>）反映了对企业资产保值增值的要求</w:t>
      </w:r>
      <w:r>
        <w:rPr>
          <w:color w:val="0D0D0D"/>
          <w:spacing w:val="-255"/>
          <w:w w:val="102"/>
        </w:rPr>
        <w:t>；</w:t>
      </w:r>
      <w:r>
        <w:rPr>
          <w:color w:val="0D0D0D"/>
          <w:spacing w:val="-4"/>
          <w:w w:val="102"/>
        </w:rPr>
        <w:t>（</w:t>
      </w:r>
      <w:r>
        <w:rPr>
          <w:color w:val="0D0D0D"/>
          <w:spacing w:val="-1"/>
          <w:w w:val="102"/>
        </w:rPr>
        <w:t>3</w:t>
      </w:r>
      <w:r>
        <w:rPr>
          <w:color w:val="0D0D0D"/>
          <w:spacing w:val="-40"/>
          <w:w w:val="102"/>
        </w:rPr>
        <w:t>）</w:t>
      </w:r>
      <w:r>
        <w:rPr>
          <w:color w:val="0D0D0D"/>
          <w:w w:val="102"/>
        </w:rPr>
        <w:t>有利于克服管理上的片面性和短期行为</w:t>
      </w:r>
      <w:r>
        <w:rPr>
          <w:color w:val="0D0D0D"/>
          <w:spacing w:val="-209"/>
          <w:w w:val="102"/>
        </w:rPr>
        <w:t>；</w:t>
      </w:r>
      <w:r>
        <w:rPr>
          <w:color w:val="0D0D0D"/>
          <w:spacing w:val="-4"/>
          <w:w w:val="102"/>
        </w:rPr>
        <w:t>（</w:t>
      </w:r>
      <w:r>
        <w:rPr>
          <w:color w:val="0D0D0D"/>
          <w:w w:val="102"/>
        </w:rPr>
        <w:t>4）</w:t>
      </w:r>
      <w:r>
        <w:rPr>
          <w:color w:val="0D0D0D"/>
          <w:spacing w:val="-1"/>
          <w:w w:val="102"/>
        </w:rPr>
        <w:t>有利于社会资源合理配置，有利于实现社会效益最大化。以企</w:t>
      </w:r>
      <w:r>
        <w:rPr>
          <w:color w:val="0D0D0D"/>
          <w:w w:val="102"/>
        </w:rPr>
        <w:t>业价值最大化作为财务管理的目标也存在以下问题</w:t>
      </w:r>
      <w:r>
        <w:rPr>
          <w:color w:val="0D0D0D"/>
          <w:spacing w:val="-245"/>
          <w:w w:val="102"/>
        </w:rPr>
        <w:t>：</w:t>
      </w:r>
      <w:r>
        <w:rPr>
          <w:color w:val="0D0D0D"/>
          <w:w w:val="102"/>
        </w:rPr>
        <w:t>（1</w:t>
      </w:r>
      <w:r>
        <w:rPr>
          <w:color w:val="0D0D0D"/>
          <w:spacing w:val="-51"/>
          <w:w w:val="102"/>
        </w:rPr>
        <w:t>）</w:t>
      </w:r>
      <w:r>
        <w:rPr>
          <w:color w:val="0D0D0D"/>
          <w:spacing w:val="-8"/>
          <w:w w:val="102"/>
        </w:rPr>
        <w:t>对于股票上市企业，虽可以通过股</w:t>
      </w:r>
      <w:r>
        <w:rPr>
          <w:color w:val="0D0D0D"/>
          <w:spacing w:val="-17"/>
        </w:rPr>
        <w:t xml:space="preserve">票价格的变动揭示企业价值，但是股价是受多种因素影响的结果，特别是即期市场上的股价 </w:t>
      </w:r>
      <w:r>
        <w:rPr>
          <w:color w:val="0D0D0D"/>
          <w:spacing w:val="-19"/>
        </w:rPr>
        <w:t>不一定能够直接揭示企业的获利能力，只有长期趋势才能做到这一点</w:t>
      </w:r>
      <w:r>
        <w:rPr>
          <w:color w:val="0D0D0D"/>
          <w:spacing w:val="-227"/>
        </w:rPr>
        <w:t>。</w:t>
      </w:r>
      <w:r>
        <w:rPr>
          <w:color w:val="0D0D0D"/>
          <w:spacing w:val="-19"/>
        </w:rPr>
        <w:t>（2）</w:t>
      </w:r>
      <w:r>
        <w:rPr>
          <w:color w:val="0D0D0D"/>
        </w:rPr>
        <w:t xml:space="preserve">为了控股或稳定 </w:t>
      </w:r>
      <w:r>
        <w:rPr>
          <w:color w:val="0D0D0D"/>
          <w:spacing w:val="-14"/>
        </w:rPr>
        <w:t>购销关系，现代企业不少采用环形持股的方式，相互持股。法人股东对股票市场的敏感程度 远不及个人股东，对股价最大化目标没有足够的兴趣</w:t>
      </w:r>
      <w:r>
        <w:rPr>
          <w:color w:val="0D0D0D"/>
          <w:spacing w:val="-266"/>
        </w:rPr>
        <w:t>。</w:t>
      </w:r>
      <w:r>
        <w:rPr>
          <w:color w:val="0D0D0D"/>
        </w:rPr>
        <w:t>（3）</w:t>
      </w:r>
      <w:r>
        <w:rPr>
          <w:color w:val="0D0D0D"/>
          <w:spacing w:val="-9"/>
        </w:rPr>
        <w:t xml:space="preserve">对于非上市企业，只有对企业进 </w:t>
      </w:r>
      <w:r>
        <w:rPr>
          <w:color w:val="0D0D0D"/>
          <w:spacing w:val="-18"/>
        </w:rPr>
        <w:t>行专门的评估才能真正确定其价值。而在评估企业的资产价值时，由于受评估标准和评估方 式的影响，这种估价不易做到客观和公正，这也导致企业价值确定的困难。</w:t>
      </w:r>
    </w:p>
    <w:p>
      <w:pPr>
        <w:pStyle w:val="BodyText"/>
        <w:tabs>
          <w:tab w:val="left" w:pos="6168"/>
        </w:tabs>
        <w:spacing w:line="244" w:lineRule="auto"/>
        <w:ind w:left="3334" w:right="2534" w:hanging="634"/>
      </w:pPr>
      <w:r>
        <w:rPr>
          <w:color w:val="0D0D0D"/>
        </w:rPr>
        <w:t>8</w:t>
      </w:r>
      <w:r>
        <w:rPr>
          <w:color w:val="0D0D0D"/>
          <w:spacing w:val="-116"/>
        </w:rPr>
        <w:t>、</w:t>
      </w:r>
      <w:r>
        <w:rPr>
          <w:color w:val="0D0D0D"/>
        </w:rPr>
        <w:t>为确保企业财务目标的实现</w:t>
      </w:r>
      <w:r>
        <w:rPr>
          <w:color w:val="0D0D0D"/>
          <w:spacing w:val="-137"/>
        </w:rPr>
        <w:t>，</w:t>
      </w:r>
      <w:r>
        <w:rPr>
          <w:color w:val="0D0D0D"/>
        </w:rPr>
        <w:t>下列各项中</w:t>
      </w:r>
      <w:r>
        <w:rPr>
          <w:color w:val="0D0D0D"/>
          <w:spacing w:val="-123"/>
        </w:rPr>
        <w:t>，</w:t>
      </w:r>
      <w:r>
        <w:rPr>
          <w:color w:val="0D0D0D"/>
        </w:rPr>
        <w:t>可用于协调所有者与经营者矛盾的措施</w:t>
      </w:r>
      <w:r>
        <w:rPr>
          <w:color w:val="0D0D0D"/>
          <w:spacing w:val="-143"/>
        </w:rPr>
        <w:t>有</w:t>
      </w:r>
      <w:r>
        <w:rPr>
          <w:color w:val="0D0D0D"/>
        </w:rPr>
        <w:t xml:space="preserve">（ </w:t>
      </w:r>
      <w:r>
        <w:rPr>
          <w:color w:val="0D0D0D"/>
          <w:spacing w:val="94"/>
        </w:rPr>
        <w:t xml:space="preserve"> </w:t>
      </w:r>
      <w:r>
        <w:rPr>
          <w:color w:val="0D0D0D"/>
          <w:spacing w:val="-162"/>
        </w:rPr>
        <w:t>）</w:t>
      </w:r>
      <w:r>
        <w:rPr>
          <w:color w:val="0D0D0D"/>
          <w:spacing w:val="-16"/>
        </w:rPr>
        <w:t>。</w:t>
      </w:r>
      <w:r>
        <w:rPr>
          <w:color w:val="0D0D0D"/>
          <w:spacing w:val="-4"/>
        </w:rPr>
        <w:t>A</w:t>
      </w:r>
      <w:r>
        <w:rPr>
          <w:color w:val="0D0D0D"/>
        </w:rPr>
        <w:t>、解聘经营者</w:t>
        <w:tab/>
      </w:r>
      <w:r>
        <w:rPr>
          <w:color w:val="0D0D0D"/>
          <w:spacing w:val="-4"/>
        </w:rPr>
        <w:t>B</w:t>
      </w:r>
      <w:r>
        <w:rPr>
          <w:color w:val="0D0D0D"/>
        </w:rPr>
        <w:t>、绩效股形式</w:t>
      </w:r>
    </w:p>
    <w:p>
      <w:pPr>
        <w:pStyle w:val="BodyText"/>
        <w:tabs>
          <w:tab w:val="left" w:pos="8375"/>
        </w:tabs>
        <w:spacing w:before="2" w:line="244" w:lineRule="auto"/>
        <w:ind w:left="3330" w:right="4260" w:firstLine="3"/>
      </w:pPr>
      <w:r>
        <w:rPr>
          <w:color w:val="0D0D0D"/>
          <w:spacing w:val="-4"/>
        </w:rPr>
        <w:t>C</w:t>
      </w:r>
      <w:r>
        <w:rPr>
          <w:color w:val="0D0D0D"/>
        </w:rPr>
        <w:t>、公司被其他公司接收或吞并</w:t>
        <w:tab/>
      </w:r>
      <w:r>
        <w:rPr>
          <w:color w:val="0D0D0D"/>
          <w:spacing w:val="-4"/>
        </w:rPr>
        <w:t>D</w:t>
      </w:r>
      <w:r>
        <w:rPr>
          <w:color w:val="0D0D0D"/>
        </w:rPr>
        <w:t>、所有者给经营者以“股票选择权</w:t>
      </w:r>
      <w:r>
        <w:rPr>
          <w:color w:val="0D0D0D"/>
          <w:spacing w:val="-19"/>
        </w:rPr>
        <w:t xml:space="preserve">” </w:t>
      </w:r>
      <w:r>
        <w:rPr>
          <w:b/>
          <w:color w:val="0D0D0D"/>
        </w:rPr>
        <w:t>答案:</w:t>
      </w:r>
      <w:r>
        <w:rPr>
          <w:color w:val="0D0D0D"/>
        </w:rPr>
        <w:t>ABCD</w:t>
      </w:r>
    </w:p>
    <w:p>
      <w:pPr>
        <w:pStyle w:val="BodyText"/>
        <w:spacing w:before="7" w:line="247" w:lineRule="auto"/>
        <w:ind w:right="2644" w:firstLine="629"/>
        <w:jc w:val="both"/>
      </w:pPr>
      <w:r>
        <w:rPr>
          <w:b/>
          <w:color w:val="0D0D0D"/>
        </w:rPr>
        <w:t>解析:</w:t>
      </w:r>
      <w:r>
        <w:rPr>
          <w:color w:val="0D0D0D"/>
          <w:spacing w:val="-1"/>
        </w:rPr>
        <w:t>经营者和所有者的主要矛盾是经营者希望在提高企业价值和股东财富的同时，能</w:t>
      </w:r>
      <w:r>
        <w:rPr>
          <w:color w:val="0D0D0D"/>
          <w:spacing w:val="-14"/>
        </w:rPr>
        <w:t>更多地增加享受成本；而所有者则希望以较小的享受成本支出带来更高的企业价值或股东财</w:t>
      </w:r>
      <w:r>
        <w:rPr>
          <w:color w:val="0D0D0D"/>
          <w:spacing w:val="-13"/>
        </w:rPr>
        <w:t>务财富。可用于协调所有者与经营者矛盾的措施包括解聘、接收和激励。激励有两种基本方</w:t>
      </w:r>
      <w:r>
        <w:rPr>
          <w:color w:val="0D0D0D"/>
          <w:spacing w:val="-86"/>
          <w:w w:val="102"/>
        </w:rPr>
        <w:t>式：</w:t>
      </w:r>
      <w:r>
        <w:rPr>
          <w:color w:val="0D0D0D"/>
          <w:spacing w:val="-1"/>
          <w:w w:val="102"/>
        </w:rPr>
        <w:t>（</w:t>
      </w:r>
      <w:r>
        <w:rPr>
          <w:color w:val="0D0D0D"/>
          <w:spacing w:val="-4"/>
          <w:w w:val="102"/>
        </w:rPr>
        <w:t>1</w:t>
      </w:r>
      <w:r>
        <w:rPr>
          <w:color w:val="0D0D0D"/>
          <w:spacing w:val="-159"/>
          <w:w w:val="102"/>
        </w:rPr>
        <w:t>）</w:t>
      </w:r>
      <w:r>
        <w:rPr>
          <w:color w:val="0D0D0D"/>
          <w:w w:val="102"/>
        </w:rPr>
        <w:t>“股票选择权”方式</w:t>
      </w:r>
      <w:r>
        <w:rPr>
          <w:color w:val="0D0D0D"/>
          <w:spacing w:val="-176"/>
          <w:w w:val="102"/>
        </w:rPr>
        <w:t>；</w:t>
      </w:r>
      <w:r>
        <w:rPr>
          <w:color w:val="0D0D0D"/>
          <w:w w:val="102"/>
        </w:rPr>
        <w:t>（</w:t>
      </w:r>
      <w:r>
        <w:rPr>
          <w:color w:val="0D0D0D"/>
          <w:spacing w:val="-4"/>
          <w:w w:val="102"/>
        </w:rPr>
        <w:t>2</w:t>
      </w:r>
      <w:r>
        <w:rPr>
          <w:color w:val="0D0D0D"/>
          <w:spacing w:val="-159"/>
          <w:w w:val="102"/>
        </w:rPr>
        <w:t>）</w:t>
      </w:r>
      <w:r>
        <w:rPr>
          <w:color w:val="0D0D0D"/>
          <w:w w:val="102"/>
        </w:rPr>
        <w:t>“绩效股”形式。</w:t>
      </w:r>
    </w:p>
    <w:p>
      <w:pPr>
        <w:pStyle w:val="BodyText"/>
        <w:spacing w:line="396" w:lineRule="exact"/>
      </w:pPr>
      <w:r>
        <w:rPr>
          <w:color w:val="0D0D0D"/>
        </w:rPr>
        <w:t xml:space="preserve">9、按利率之间的变动关系，利率可以分为（ </w:t>
      </w:r>
      <w:r>
        <w:rPr>
          <w:color w:val="0D0D0D"/>
          <w:spacing w:val="-163"/>
        </w:rPr>
        <w:t>）</w:t>
      </w:r>
      <w:r>
        <w:rPr>
          <w:color w:val="0D0D0D"/>
        </w:rPr>
        <w:t>。</w:t>
      </w:r>
    </w:p>
    <w:p>
      <w:pPr>
        <w:pStyle w:val="BodyText"/>
        <w:tabs>
          <w:tab w:val="left" w:pos="5855"/>
          <w:tab w:val="left" w:pos="8375"/>
          <w:tab w:val="left" w:pos="10895"/>
        </w:tabs>
        <w:spacing w:before="10" w:line="244" w:lineRule="auto"/>
        <w:ind w:left="3330" w:right="5219" w:firstLine="3"/>
      </w:pPr>
      <w:r>
        <w:rPr>
          <w:color w:val="0D0D0D"/>
          <w:spacing w:val="-4"/>
        </w:rPr>
        <w:t>A</w:t>
      </w:r>
      <w:r>
        <w:rPr>
          <w:color w:val="0D0D0D"/>
        </w:rPr>
        <w:t>、固定利率</w:t>
        <w:tab/>
      </w:r>
      <w:r>
        <w:rPr>
          <w:color w:val="0D0D0D"/>
          <w:spacing w:val="-4"/>
        </w:rPr>
        <w:t>B</w:t>
      </w:r>
      <w:r>
        <w:rPr>
          <w:color w:val="0D0D0D"/>
        </w:rPr>
        <w:t>、浮动利率</w:t>
        <w:tab/>
      </w:r>
      <w:r>
        <w:rPr>
          <w:color w:val="0D0D0D"/>
          <w:spacing w:val="-4"/>
        </w:rPr>
        <w:t>C</w:t>
      </w:r>
      <w:r>
        <w:rPr>
          <w:color w:val="0D0D0D"/>
        </w:rPr>
        <w:t>、基准利率</w:t>
        <w:tab/>
        <w:t>D、套算利</w:t>
      </w:r>
      <w:r>
        <w:rPr>
          <w:color w:val="0D0D0D"/>
          <w:spacing w:val="-17"/>
        </w:rPr>
        <w:t>率</w:t>
      </w:r>
      <w:r>
        <w:rPr>
          <w:b/>
          <w:color w:val="0D0D0D"/>
        </w:rPr>
        <w:t>答案:</w:t>
      </w:r>
      <w:r>
        <w:rPr>
          <w:color w:val="0D0D0D"/>
        </w:rPr>
        <w:t>CD</w:t>
      </w:r>
    </w:p>
    <w:p>
      <w:pPr>
        <w:pStyle w:val="BodyText"/>
        <w:spacing w:before="7" w:line="247" w:lineRule="auto"/>
        <w:ind w:right="2509" w:firstLine="629"/>
      </w:pPr>
      <w:r>
        <w:rPr>
          <w:b/>
          <w:color w:val="0D0D0D"/>
        </w:rPr>
        <w:t>解析:</w:t>
      </w:r>
      <w:r>
        <w:rPr>
          <w:color w:val="0D0D0D"/>
        </w:rPr>
        <w:t>按利率与市场资金供求情况的关系来划分</w:t>
      </w:r>
      <w:r>
        <w:rPr>
          <w:color w:val="0D0D0D"/>
          <w:spacing w:val="-15"/>
        </w:rPr>
        <w:t xml:space="preserve">，利率可以划分为固定利率和浮动利率； </w:t>
      </w:r>
      <w:r>
        <w:rPr>
          <w:color w:val="0D0D0D"/>
          <w:spacing w:val="-11"/>
        </w:rPr>
        <w:t>按利率形成的机制不同来划分，利率可以划分为市场利率和法定利率；依照利率之间的变动 关系来划分，利率可以划分为基准利率和套算利率。</w:t>
      </w:r>
    </w:p>
    <w:p>
      <w:pPr>
        <w:pStyle w:val="BodyText"/>
        <w:spacing w:line="394" w:lineRule="exact"/>
      </w:pPr>
      <w:r>
        <w:rPr>
          <w:color w:val="0D0D0D"/>
        </w:rPr>
        <w:t xml:space="preserve">10、相对于其他企业而言，股份有限公司的主要优点有（ </w:t>
      </w:r>
      <w:r>
        <w:rPr>
          <w:color w:val="0D0D0D"/>
          <w:spacing w:val="-159"/>
        </w:rPr>
        <w:t>）</w:t>
      </w:r>
      <w:r>
        <w:rPr>
          <w:color w:val="0D0D0D"/>
        </w:rPr>
        <w:t>。</w:t>
      </w:r>
    </w:p>
    <w:p>
      <w:pPr>
        <w:pStyle w:val="BodyText"/>
        <w:tabs>
          <w:tab w:val="left" w:pos="6485"/>
          <w:tab w:val="left" w:pos="9005"/>
          <w:tab w:val="left" w:pos="12155"/>
        </w:tabs>
        <w:spacing w:before="13" w:line="244" w:lineRule="auto"/>
        <w:ind w:left="3330" w:right="2692" w:firstLine="3"/>
      </w:pPr>
      <w:r>
        <w:rPr>
          <w:color w:val="0D0D0D"/>
          <w:spacing w:val="-4"/>
        </w:rPr>
        <w:t>A</w:t>
      </w:r>
      <w:r>
        <w:rPr>
          <w:color w:val="0D0D0D"/>
        </w:rPr>
        <w:t>、受政府管制少</w:t>
        <w:tab/>
        <w:t>B、筹资方便</w:t>
        <w:tab/>
        <w:t>C、承担有限责任</w:t>
        <w:tab/>
        <w:t>D、盈利用途不受限</w:t>
      </w:r>
      <w:r>
        <w:rPr>
          <w:color w:val="0D0D0D"/>
          <w:spacing w:val="-18"/>
        </w:rPr>
        <w:t>制</w:t>
      </w:r>
      <w:r>
        <w:rPr>
          <w:b/>
          <w:color w:val="0D0D0D"/>
        </w:rPr>
        <w:t>答案:</w:t>
      </w:r>
      <w:r>
        <w:rPr>
          <w:color w:val="0D0D0D"/>
        </w:rPr>
        <w:t>BC</w:t>
      </w:r>
    </w:p>
    <w:p>
      <w:pPr>
        <w:pStyle w:val="BodyText"/>
        <w:spacing w:before="7"/>
        <w:ind w:left="3330"/>
      </w:pPr>
      <w:r>
        <w:rPr>
          <w:b/>
          <w:color w:val="0D0D0D"/>
          <w:w w:val="101"/>
        </w:rPr>
        <w:t>解析</w:t>
      </w:r>
      <w:r>
        <w:rPr>
          <w:b/>
          <w:color w:val="0D0D0D"/>
          <w:spacing w:val="3"/>
          <w:w w:val="101"/>
        </w:rPr>
        <w:t>:</w:t>
      </w:r>
      <w:r>
        <w:rPr>
          <w:color w:val="0D0D0D"/>
          <w:w w:val="102"/>
        </w:rPr>
        <w:t>与独资企业和合伙企业相比，股份有限公司的特点包括</w:t>
      </w:r>
      <w:r>
        <w:rPr>
          <w:color w:val="0D0D0D"/>
          <w:spacing w:val="-194"/>
          <w:w w:val="102"/>
        </w:rPr>
        <w:t>：</w:t>
      </w:r>
      <w:r>
        <w:rPr>
          <w:color w:val="0D0D0D"/>
          <w:w w:val="102"/>
        </w:rPr>
        <w:t>（</w:t>
      </w:r>
      <w:r>
        <w:rPr>
          <w:color w:val="0D0D0D"/>
          <w:spacing w:val="-4"/>
          <w:w w:val="102"/>
        </w:rPr>
        <w:t>1</w:t>
      </w:r>
      <w:r>
        <w:rPr>
          <w:color w:val="0D0D0D"/>
          <w:w w:val="102"/>
        </w:rPr>
        <w:t>）</w:t>
      </w:r>
      <w:r>
        <w:rPr>
          <w:color w:val="0D0D0D"/>
          <w:spacing w:val="-33"/>
          <w:w w:val="102"/>
        </w:rPr>
        <w:t>有阴责任；</w:t>
      </w:r>
      <w:r>
        <w:rPr>
          <w:color w:val="0D0D0D"/>
          <w:spacing w:val="-3"/>
          <w:w w:val="102"/>
        </w:rPr>
        <w:t>（</w:t>
      </w:r>
      <w:r>
        <w:rPr>
          <w:color w:val="0D0D0D"/>
          <w:w w:val="102"/>
        </w:rPr>
        <w:t>2）永</w:t>
      </w:r>
    </w:p>
    <w:p>
      <w:pPr>
        <w:spacing w:after="0"/>
        <w:sectPr>
          <w:headerReference w:type="default" r:id="rId8"/>
          <w:footerReference w:type="default" r:id="rId9"/>
          <w:pgSz w:w="17860" w:h="25260"/>
          <w:pgMar w:top="1720" w:right="0" w:bottom="1940" w:left="0" w:header="1129" w:footer="1752"/>
          <w:pgNumType w:start="3"/>
          <w:cols w:space="708"/>
        </w:sectPr>
      </w:pPr>
    </w:p>
    <w:p>
      <w:pPr>
        <w:pStyle w:val="BodyText"/>
        <w:spacing w:before="3"/>
        <w:ind w:left="0"/>
        <w:rPr>
          <w:sz w:val="8"/>
        </w:rPr>
      </w:pPr>
    </w:p>
    <w:p>
      <w:pPr>
        <w:pStyle w:val="BodyText"/>
        <w:spacing w:before="63"/>
      </w:pPr>
      <w:r>
        <w:rPr>
          <w:color w:val="0D0D0D"/>
          <w:spacing w:val="-41"/>
          <w:w w:val="102"/>
        </w:rPr>
        <w:t>续存在；</w:t>
      </w:r>
      <w:r>
        <w:rPr>
          <w:color w:val="0D0D0D"/>
          <w:spacing w:val="-1"/>
          <w:w w:val="102"/>
        </w:rPr>
        <w:t>（</w:t>
      </w:r>
      <w:r>
        <w:rPr>
          <w:color w:val="0D0D0D"/>
          <w:spacing w:val="-4"/>
          <w:w w:val="102"/>
        </w:rPr>
        <w:t>3</w:t>
      </w:r>
      <w:r>
        <w:rPr>
          <w:color w:val="0D0D0D"/>
          <w:w w:val="102"/>
        </w:rPr>
        <w:t>）</w:t>
      </w:r>
      <w:r>
        <w:rPr>
          <w:color w:val="0D0D0D"/>
          <w:spacing w:val="-34"/>
          <w:w w:val="102"/>
        </w:rPr>
        <w:t>可转让性；</w:t>
      </w:r>
      <w:r>
        <w:rPr>
          <w:color w:val="0D0D0D"/>
          <w:spacing w:val="-4"/>
          <w:w w:val="102"/>
        </w:rPr>
        <w:t>（</w:t>
      </w:r>
      <w:r>
        <w:rPr>
          <w:color w:val="0D0D0D"/>
          <w:w w:val="102"/>
        </w:rPr>
        <w:t>4）</w:t>
      </w:r>
      <w:r>
        <w:rPr>
          <w:color w:val="0D0D0D"/>
          <w:spacing w:val="-34"/>
          <w:w w:val="102"/>
        </w:rPr>
        <w:t>易于筹资；</w:t>
      </w:r>
      <w:r>
        <w:rPr>
          <w:color w:val="0D0D0D"/>
          <w:spacing w:val="-4"/>
          <w:w w:val="102"/>
        </w:rPr>
        <w:t>（</w:t>
      </w:r>
      <w:r>
        <w:rPr>
          <w:color w:val="0D0D0D"/>
          <w:w w:val="102"/>
        </w:rPr>
        <w:t>5）</w:t>
      </w:r>
      <w:r>
        <w:rPr>
          <w:color w:val="0D0D0D"/>
          <w:spacing w:val="3"/>
          <w:w w:val="102"/>
        </w:rPr>
        <w:t>对公司的收益重复纳税。详见教材</w:t>
      </w:r>
      <w:r>
        <w:rPr>
          <w:color w:val="0D0D0D"/>
          <w:w w:val="102"/>
        </w:rPr>
        <w:t>11-12</w:t>
      </w:r>
      <w:r>
        <w:rPr>
          <w:color w:val="0D0D0D"/>
          <w:spacing w:val="-80"/>
        </w:rPr>
        <w:t xml:space="preserve"> </w:t>
      </w:r>
      <w:r>
        <w:rPr>
          <w:color w:val="0D0D0D"/>
          <w:w w:val="102"/>
        </w:rPr>
        <w:t>页。</w:t>
      </w:r>
    </w:p>
    <w:p>
      <w:pPr>
        <w:pStyle w:val="BodyText"/>
        <w:spacing w:before="10"/>
      </w:pPr>
      <w:r>
        <w:rPr>
          <w:color w:val="0D0D0D"/>
        </w:rPr>
        <w:t xml:space="preserve">11、在不存在通货膨胀的情况下，利率的组成因素包括（ </w:t>
      </w:r>
      <w:r>
        <w:rPr>
          <w:color w:val="0D0D0D"/>
          <w:spacing w:val="-159"/>
        </w:rPr>
        <w:t>）</w:t>
      </w:r>
      <w:r>
        <w:rPr>
          <w:color w:val="0D0D0D"/>
        </w:rPr>
        <w:t>。</w:t>
      </w:r>
    </w:p>
    <w:p>
      <w:pPr>
        <w:pStyle w:val="BodyText"/>
        <w:tabs>
          <w:tab w:val="left" w:pos="5540"/>
          <w:tab w:val="left" w:pos="9015"/>
          <w:tab w:val="left" w:pos="12800"/>
        </w:tabs>
        <w:spacing w:before="13"/>
        <w:ind w:left="3334"/>
      </w:pPr>
      <w:r>
        <w:rPr>
          <w:color w:val="0D0D0D"/>
        </w:rPr>
        <w:t>A、纯利率</w:t>
        <w:tab/>
        <w:t>B、违约风险收益率</w:t>
        <w:tab/>
      </w:r>
      <w:r>
        <w:rPr>
          <w:color w:val="0D0D0D"/>
          <w:spacing w:val="-4"/>
        </w:rPr>
        <w:t>C</w:t>
      </w:r>
      <w:r>
        <w:rPr>
          <w:color w:val="0D0D0D"/>
        </w:rPr>
        <w:t>、流动性风险收益率</w:t>
        <w:tab/>
        <w:t>D、期限风险收益</w:t>
      </w:r>
    </w:p>
    <w:p>
      <w:pPr>
        <w:pStyle w:val="BodyText"/>
        <w:spacing w:before="10"/>
      </w:pPr>
      <w:r>
        <w:rPr>
          <w:color w:val="0D0D0D"/>
          <w:w w:val="102"/>
        </w:rPr>
        <w:t>率</w:t>
      </w:r>
    </w:p>
    <w:p>
      <w:pPr>
        <w:spacing w:before="13"/>
        <w:ind w:left="3330" w:right="0" w:firstLine="0"/>
        <w:jc w:val="left"/>
        <w:rPr>
          <w:sz w:val="31"/>
        </w:rPr>
      </w:pPr>
      <w:r>
        <w:rPr>
          <w:b/>
          <w:color w:val="0D0D0D"/>
          <w:sz w:val="31"/>
        </w:rPr>
        <w:t>答案:</w:t>
      </w:r>
      <w:r>
        <w:rPr>
          <w:color w:val="0D0D0D"/>
          <w:sz w:val="31"/>
        </w:rPr>
        <w:t>ABCD</w:t>
      </w:r>
    </w:p>
    <w:p>
      <w:pPr>
        <w:pStyle w:val="BodyText"/>
        <w:spacing w:before="10"/>
        <w:ind w:left="3330"/>
      </w:pPr>
      <w:r>
        <w:rPr>
          <w:b/>
          <w:color w:val="0D0D0D"/>
        </w:rPr>
        <w:t>解析:</w:t>
      </w:r>
      <w:r>
        <w:rPr>
          <w:color w:val="0D0D0D"/>
        </w:rPr>
        <w:t>利率＝纯利率＋通货膨胀补偿率＋风险收益率其中风险收益率包括：违约风险收</w:t>
      </w:r>
    </w:p>
    <w:p>
      <w:pPr>
        <w:pStyle w:val="BodyText"/>
        <w:spacing w:before="13"/>
      </w:pPr>
      <w:r>
        <w:rPr>
          <w:color w:val="0D0D0D"/>
        </w:rPr>
        <w:t>益率、流动性风险收益率、期限风险收益率。</w:t>
      </w:r>
    </w:p>
    <w:p>
      <w:pPr>
        <w:pStyle w:val="BodyText"/>
        <w:spacing w:before="9"/>
      </w:pPr>
      <w:r>
        <w:rPr>
          <w:color w:val="0D0D0D"/>
        </w:rPr>
        <w:t xml:space="preserve">12、下列各项中，属于企业资金营运活动的有（ </w:t>
      </w:r>
      <w:r>
        <w:rPr>
          <w:color w:val="0D0D0D"/>
          <w:spacing w:val="-162"/>
        </w:rPr>
        <w:t>）</w:t>
      </w:r>
      <w:r>
        <w:rPr>
          <w:color w:val="0D0D0D"/>
        </w:rPr>
        <w:t>。</w:t>
      </w:r>
    </w:p>
    <w:p>
      <w:pPr>
        <w:pStyle w:val="BodyText"/>
        <w:tabs>
          <w:tab w:val="left" w:pos="6168"/>
          <w:tab w:val="left" w:pos="8688"/>
          <w:tab w:val="left" w:pos="11525"/>
        </w:tabs>
        <w:spacing w:before="14" w:line="244" w:lineRule="auto"/>
        <w:ind w:left="3330" w:right="4589" w:firstLine="3"/>
      </w:pPr>
      <w:r>
        <w:rPr>
          <w:color w:val="0D0D0D"/>
          <w:spacing w:val="-4"/>
        </w:rPr>
        <w:t>A</w:t>
      </w:r>
      <w:r>
        <w:rPr>
          <w:color w:val="0D0D0D"/>
        </w:rPr>
        <w:t>、采购原材料</w:t>
        <w:tab/>
      </w:r>
      <w:r>
        <w:rPr>
          <w:color w:val="0D0D0D"/>
          <w:spacing w:val="-4"/>
        </w:rPr>
        <w:t>B</w:t>
      </w:r>
      <w:r>
        <w:rPr>
          <w:color w:val="0D0D0D"/>
        </w:rPr>
        <w:t>、销售商品</w:t>
        <w:tab/>
        <w:t>C、购买国库券</w:t>
        <w:tab/>
        <w:t>D、支付利</w:t>
      </w:r>
      <w:r>
        <w:rPr>
          <w:color w:val="0D0D0D"/>
          <w:spacing w:val="-17"/>
        </w:rPr>
        <w:t>息</w:t>
      </w:r>
      <w:r>
        <w:rPr>
          <w:b/>
          <w:color w:val="0D0D0D"/>
        </w:rPr>
        <w:t>答案:</w:t>
      </w:r>
      <w:r>
        <w:rPr>
          <w:color w:val="0D0D0D"/>
        </w:rPr>
        <w:t>AB</w:t>
      </w:r>
    </w:p>
    <w:p>
      <w:pPr>
        <w:pStyle w:val="BodyText"/>
        <w:spacing w:before="7" w:line="247" w:lineRule="auto"/>
        <w:ind w:right="2484" w:firstLine="629"/>
      </w:pPr>
      <w:r>
        <w:rPr>
          <w:b/>
          <w:color w:val="0D0D0D"/>
        </w:rPr>
        <w:t>解析:</w:t>
      </w:r>
      <w:r>
        <w:rPr>
          <w:color w:val="0D0D0D"/>
        </w:rPr>
        <w:t xml:space="preserve">企业在日常生产经营过程中，会发生一系列的资金收付。首先，企业要采购材料 </w:t>
      </w:r>
      <w:r>
        <w:rPr>
          <w:color w:val="0D0D0D"/>
          <w:spacing w:val="-1"/>
        </w:rPr>
        <w:t>或商品，以便从事生产和销售活动，同时，还要支付工资和其他营业费用；其次，当企业把</w:t>
      </w:r>
      <w:r>
        <w:rPr>
          <w:color w:val="0D0D0D"/>
          <w:spacing w:val="-9"/>
        </w:rPr>
        <w:t>产品或商品售出后，便可取得收入，收回资金；最后，如果企业现有资金不能满足企业经营 的需要，还要采取短期借款方式来筹集所需资金。上述各方面都会产生企业资金的收付。  13、下列属于资本市场融资工具的有（</w:t>
      </w:r>
      <w:r>
        <w:rPr>
          <w:color w:val="0D0D0D"/>
          <w:spacing w:val="-19"/>
        </w:rPr>
        <w:t xml:space="preserve"> </w:t>
      </w:r>
      <w:r>
        <w:rPr>
          <w:color w:val="0D0D0D"/>
          <w:spacing w:val="-162"/>
        </w:rPr>
        <w:t>）</w:t>
      </w:r>
      <w:r>
        <w:rPr>
          <w:color w:val="0D0D0D"/>
        </w:rPr>
        <w:t>。</w:t>
      </w:r>
    </w:p>
    <w:p>
      <w:pPr>
        <w:pStyle w:val="BodyText"/>
        <w:tabs>
          <w:tab w:val="left" w:pos="5224"/>
          <w:tab w:val="left" w:pos="7115"/>
          <w:tab w:val="left" w:pos="9635"/>
        </w:tabs>
        <w:spacing w:line="247" w:lineRule="auto"/>
        <w:ind w:left="3330" w:right="4899" w:firstLine="3"/>
      </w:pPr>
      <w:r>
        <w:rPr>
          <w:color w:val="0D0D0D"/>
          <w:spacing w:val="-4"/>
        </w:rPr>
        <w:t>A</w:t>
      </w:r>
      <w:r>
        <w:rPr>
          <w:color w:val="0D0D0D"/>
        </w:rPr>
        <w:t>、股票</w:t>
        <w:tab/>
      </w:r>
      <w:r>
        <w:rPr>
          <w:color w:val="0D0D0D"/>
          <w:spacing w:val="-4"/>
        </w:rPr>
        <w:t>B</w:t>
      </w:r>
      <w:r>
        <w:rPr>
          <w:color w:val="0D0D0D"/>
        </w:rPr>
        <w:t>、债券</w:t>
        <w:tab/>
      </w:r>
      <w:r>
        <w:rPr>
          <w:color w:val="0D0D0D"/>
          <w:spacing w:val="-4"/>
        </w:rPr>
        <w:t>C</w:t>
      </w:r>
      <w:r>
        <w:rPr>
          <w:color w:val="0D0D0D"/>
        </w:rPr>
        <w:t>、商业票据</w:t>
        <w:tab/>
      </w:r>
      <w:r>
        <w:rPr>
          <w:color w:val="0D0D0D"/>
          <w:spacing w:val="-4"/>
        </w:rPr>
        <w:t>D</w:t>
      </w:r>
      <w:r>
        <w:rPr>
          <w:color w:val="0D0D0D"/>
        </w:rPr>
        <w:t>、可转让大额定期存</w:t>
      </w:r>
      <w:r>
        <w:rPr>
          <w:color w:val="0D0D0D"/>
          <w:spacing w:val="-17"/>
        </w:rPr>
        <w:t>单</w:t>
      </w:r>
      <w:r>
        <w:rPr>
          <w:b/>
          <w:color w:val="0D0D0D"/>
        </w:rPr>
        <w:t>答案:</w:t>
      </w:r>
      <w:r>
        <w:rPr>
          <w:color w:val="0D0D0D"/>
        </w:rPr>
        <w:t>AB</w:t>
      </w:r>
    </w:p>
    <w:p>
      <w:pPr>
        <w:pStyle w:val="BodyText"/>
        <w:spacing w:line="247" w:lineRule="auto"/>
        <w:ind w:right="2643" w:firstLine="629"/>
      </w:pPr>
      <w:r>
        <w:rPr>
          <w:b/>
          <w:color w:val="0D0D0D"/>
        </w:rPr>
        <w:t>解析:</w:t>
      </w:r>
      <w:r>
        <w:rPr>
          <w:color w:val="0D0D0D"/>
          <w:spacing w:val="-1"/>
        </w:rPr>
        <w:t>金融工具按其期限不同可分为货币市场工具和资本市场工具，前者主要有商业票</w:t>
      </w:r>
      <w:r>
        <w:rPr>
          <w:color w:val="0D0D0D"/>
        </w:rPr>
        <w:t>据、国库券（国债</w:t>
      </w:r>
      <w:r>
        <w:rPr>
          <w:color w:val="0D0D0D"/>
          <w:spacing w:val="-173"/>
        </w:rPr>
        <w:t>）</w:t>
      </w:r>
      <w:r>
        <w:rPr>
          <w:color w:val="0D0D0D"/>
        </w:rPr>
        <w:t>、可转让大额定期存单、回购协议；后者主要是股票和债券等。</w:t>
      </w:r>
    </w:p>
    <w:p>
      <w:pPr>
        <w:pStyle w:val="BodyText"/>
        <w:tabs>
          <w:tab w:val="left" w:pos="9635"/>
        </w:tabs>
        <w:spacing w:line="396" w:lineRule="exact"/>
      </w:pPr>
      <w:r>
        <w:rPr>
          <w:color w:val="0D0D0D"/>
        </w:rPr>
        <w:t>14、下列有关个人独资企业的中，正确的有（</w:t>
        <w:tab/>
      </w:r>
      <w:r>
        <w:rPr>
          <w:color w:val="0D0D0D"/>
          <w:spacing w:val="-162"/>
        </w:rPr>
        <w:t>）</w:t>
      </w:r>
      <w:r>
        <w:rPr>
          <w:color w:val="0D0D0D"/>
        </w:rPr>
        <w:t>。</w:t>
      </w:r>
    </w:p>
    <w:p>
      <w:pPr>
        <w:pStyle w:val="BodyText"/>
        <w:tabs>
          <w:tab w:val="left" w:pos="6801"/>
        </w:tabs>
        <w:spacing w:before="8"/>
        <w:ind w:left="3334"/>
      </w:pPr>
      <w:r>
        <w:rPr>
          <w:color w:val="0D0D0D"/>
          <w:spacing w:val="-4"/>
        </w:rPr>
        <w:t>A</w:t>
      </w:r>
      <w:r>
        <w:rPr>
          <w:color w:val="0D0D0D"/>
        </w:rPr>
        <w:t>、只有一个出资者</w:t>
        <w:tab/>
      </w:r>
      <w:r>
        <w:rPr>
          <w:color w:val="0D0D0D"/>
          <w:spacing w:val="-4"/>
        </w:rPr>
        <w:t>B</w:t>
      </w:r>
      <w:r>
        <w:rPr>
          <w:color w:val="0D0D0D"/>
        </w:rPr>
        <w:t>、出资者对企业债务承担有限责任</w:t>
      </w:r>
    </w:p>
    <w:p>
      <w:pPr>
        <w:pStyle w:val="BodyText"/>
        <w:tabs>
          <w:tab w:val="left" w:pos="8688"/>
        </w:tabs>
        <w:spacing w:before="10" w:line="244" w:lineRule="auto"/>
        <w:ind w:left="3330" w:right="4260" w:firstLine="3"/>
      </w:pPr>
      <w:r>
        <w:rPr>
          <w:color w:val="0D0D0D"/>
          <w:spacing w:val="-4"/>
        </w:rPr>
        <w:t>C</w:t>
      </w:r>
      <w:r>
        <w:rPr>
          <w:color w:val="0D0D0D"/>
        </w:rPr>
        <w:t>、独资企业应该交纳企业所得税</w:t>
        <w:tab/>
        <w:t>D、独资企业的收益交纳个人所得</w:t>
      </w:r>
      <w:r>
        <w:rPr>
          <w:color w:val="0D0D0D"/>
          <w:spacing w:val="-18"/>
        </w:rPr>
        <w:t>税</w:t>
      </w:r>
      <w:r>
        <w:rPr>
          <w:b/>
          <w:color w:val="0D0D0D"/>
        </w:rPr>
        <w:t>答案:</w:t>
      </w:r>
      <w:r>
        <w:rPr>
          <w:color w:val="0D0D0D"/>
        </w:rPr>
        <w:t>AD</w:t>
      </w:r>
    </w:p>
    <w:p>
      <w:pPr>
        <w:pStyle w:val="BodyText"/>
        <w:spacing w:before="7" w:line="247" w:lineRule="auto"/>
        <w:ind w:right="2664" w:firstLine="629"/>
        <w:jc w:val="both"/>
      </w:pPr>
      <w:r>
        <w:rPr>
          <w:b/>
          <w:color w:val="0D0D0D"/>
          <w:w w:val="101"/>
        </w:rPr>
        <w:t>解析</w:t>
      </w:r>
      <w:r>
        <w:rPr>
          <w:b/>
          <w:color w:val="0D0D0D"/>
          <w:spacing w:val="3"/>
          <w:w w:val="101"/>
        </w:rPr>
        <w:t>:</w:t>
      </w:r>
      <w:r>
        <w:rPr>
          <w:color w:val="0D0D0D"/>
          <w:w w:val="102"/>
        </w:rPr>
        <w:t>个人独资企业的特点有</w:t>
      </w:r>
      <w:r>
        <w:rPr>
          <w:color w:val="0D0D0D"/>
          <w:spacing w:val="-176"/>
          <w:w w:val="102"/>
        </w:rPr>
        <w:t>：</w:t>
      </w:r>
      <w:r>
        <w:rPr>
          <w:color w:val="0D0D0D"/>
          <w:spacing w:val="-1"/>
          <w:w w:val="102"/>
        </w:rPr>
        <w:t>（</w:t>
      </w:r>
      <w:r>
        <w:rPr>
          <w:color w:val="0D0D0D"/>
          <w:w w:val="102"/>
        </w:rPr>
        <w:t>1）</w:t>
      </w:r>
      <w:r>
        <w:rPr>
          <w:color w:val="0D0D0D"/>
          <w:spacing w:val="-22"/>
          <w:w w:val="102"/>
        </w:rPr>
        <w:t>只有一个出资者；</w:t>
      </w:r>
      <w:r>
        <w:rPr>
          <w:color w:val="0D0D0D"/>
          <w:spacing w:val="-4"/>
          <w:w w:val="102"/>
        </w:rPr>
        <w:t>（</w:t>
      </w:r>
      <w:r>
        <w:rPr>
          <w:color w:val="0D0D0D"/>
          <w:spacing w:val="-1"/>
          <w:w w:val="102"/>
        </w:rPr>
        <w:t>2</w:t>
      </w:r>
      <w:r>
        <w:rPr>
          <w:color w:val="0D0D0D"/>
          <w:w w:val="102"/>
        </w:rPr>
        <w:t>）出资人对企业债务承担无限</w:t>
      </w:r>
      <w:r>
        <w:rPr>
          <w:color w:val="0D0D0D"/>
          <w:spacing w:val="-70"/>
          <w:w w:val="102"/>
        </w:rPr>
        <w:t>责任；</w:t>
      </w:r>
      <w:r>
        <w:rPr>
          <w:color w:val="0D0D0D"/>
          <w:spacing w:val="-1"/>
          <w:w w:val="102"/>
        </w:rPr>
        <w:t>（</w:t>
      </w:r>
      <w:r>
        <w:rPr>
          <w:color w:val="0D0D0D"/>
          <w:spacing w:val="-4"/>
          <w:w w:val="102"/>
        </w:rPr>
        <w:t>3</w:t>
      </w:r>
      <w:r>
        <w:rPr>
          <w:color w:val="0D0D0D"/>
          <w:spacing w:val="-47"/>
          <w:w w:val="102"/>
        </w:rPr>
        <w:t>）</w:t>
      </w:r>
      <w:r>
        <w:rPr>
          <w:color w:val="0D0D0D"/>
          <w:spacing w:val="-6"/>
          <w:w w:val="102"/>
        </w:rPr>
        <w:t>独资企业不作为企业所得税的纳税主体，其收益纳入所有者的其他收益一并计算</w:t>
      </w:r>
      <w:r>
        <w:rPr>
          <w:color w:val="0D0D0D"/>
          <w:spacing w:val="6"/>
        </w:rPr>
        <w:t>交纳个人所得税。所以</w:t>
      </w:r>
      <w:r>
        <w:rPr>
          <w:color w:val="0D0D0D"/>
        </w:rPr>
        <w:t>B</w:t>
      </w:r>
      <w:r>
        <w:rPr>
          <w:color w:val="0D0D0D"/>
          <w:spacing w:val="-8"/>
        </w:rPr>
        <w:t xml:space="preserve"> 承担有限责任不正确，C</w:t>
      </w:r>
      <w:r>
        <w:rPr>
          <w:color w:val="0D0D0D"/>
          <w:spacing w:val="-4"/>
        </w:rPr>
        <w:t xml:space="preserve"> 不应交纳企业所得税，此题应选</w:t>
      </w:r>
      <w:r>
        <w:rPr>
          <w:color w:val="0D0D0D"/>
        </w:rPr>
        <w:t>AD。</w:t>
      </w:r>
    </w:p>
    <w:p>
      <w:pPr>
        <w:pStyle w:val="BodyText"/>
        <w:spacing w:line="394" w:lineRule="exact"/>
        <w:jc w:val="both"/>
      </w:pPr>
      <w:r>
        <w:rPr>
          <w:color w:val="0D0D0D"/>
        </w:rPr>
        <w:t>15、下列有关税收的说法不正确的有（</w:t>
      </w:r>
      <w:r>
        <w:rPr>
          <w:color w:val="0D0D0D"/>
          <w:spacing w:val="148"/>
        </w:rPr>
        <w:t xml:space="preserve"> </w:t>
      </w:r>
      <w:r>
        <w:rPr>
          <w:color w:val="0D0D0D"/>
          <w:spacing w:val="-162"/>
        </w:rPr>
        <w:t>）</w:t>
      </w:r>
      <w:r>
        <w:rPr>
          <w:color w:val="0D0D0D"/>
        </w:rPr>
        <w:t>。</w:t>
      </w:r>
    </w:p>
    <w:p>
      <w:pPr>
        <w:pStyle w:val="BodyText"/>
        <w:spacing w:before="14" w:line="244" w:lineRule="auto"/>
        <w:ind w:left="3334" w:right="7400"/>
      </w:pPr>
      <w:r>
        <w:rPr>
          <w:color w:val="0D0D0D"/>
          <w:spacing w:val="-4"/>
        </w:rPr>
        <w:t>A</w:t>
      </w:r>
      <w:r>
        <w:rPr>
          <w:color w:val="0D0D0D"/>
          <w:spacing w:val="-1"/>
        </w:rPr>
        <w:t xml:space="preserve">、税收具有强制性、无偿性和固定性三个显著特征 </w:t>
      </w:r>
      <w:r>
        <w:rPr>
          <w:color w:val="0D0D0D"/>
          <w:spacing w:val="-4"/>
        </w:rPr>
        <w:t>B</w:t>
      </w:r>
      <w:r>
        <w:rPr>
          <w:color w:val="0D0D0D"/>
        </w:rPr>
        <w:t>、按税收负担能否转稼，可分为货币税和实物税</w:t>
      </w:r>
    </w:p>
    <w:p>
      <w:pPr>
        <w:pStyle w:val="BodyText"/>
        <w:spacing w:before="7" w:line="244" w:lineRule="auto"/>
        <w:ind w:left="3334" w:right="6448"/>
      </w:pPr>
      <w:r>
        <w:rPr>
          <w:color w:val="0D0D0D"/>
          <w:spacing w:val="-4"/>
        </w:rPr>
        <w:t>C</w:t>
      </w:r>
      <w:r>
        <w:rPr>
          <w:color w:val="0D0D0D"/>
          <w:spacing w:val="-1"/>
        </w:rPr>
        <w:t xml:space="preserve">、课税对象是指税法上规定的负有纳税义务的单位和个人 </w:t>
      </w:r>
      <w:r>
        <w:rPr>
          <w:color w:val="0D0D0D"/>
          <w:spacing w:val="-4"/>
        </w:rPr>
        <w:t>D</w:t>
      </w:r>
      <w:r>
        <w:rPr>
          <w:color w:val="0D0D0D"/>
        </w:rPr>
        <w:t>、我国的征税人只有国家各级税务机关</w:t>
      </w:r>
    </w:p>
    <w:p>
      <w:pPr>
        <w:spacing w:before="7"/>
        <w:ind w:left="3330" w:right="0" w:firstLine="0"/>
        <w:jc w:val="left"/>
        <w:rPr>
          <w:sz w:val="31"/>
        </w:rPr>
      </w:pPr>
      <w:r>
        <w:rPr>
          <w:b/>
          <w:color w:val="0D0D0D"/>
          <w:sz w:val="31"/>
        </w:rPr>
        <w:t>答案:</w:t>
      </w:r>
      <w:r>
        <w:rPr>
          <w:color w:val="0D0D0D"/>
          <w:sz w:val="31"/>
        </w:rPr>
        <w:t>BCD</w:t>
      </w:r>
    </w:p>
    <w:p>
      <w:pPr>
        <w:pStyle w:val="BodyText"/>
        <w:spacing w:before="9" w:line="247" w:lineRule="auto"/>
        <w:ind w:right="2498" w:firstLine="629"/>
      </w:pPr>
      <w:r>
        <w:rPr>
          <w:b/>
          <w:color w:val="0D0D0D"/>
        </w:rPr>
        <w:t>解析:</w:t>
      </w:r>
      <w:r>
        <w:rPr>
          <w:color w:val="0D0D0D"/>
        </w:rPr>
        <w:t xml:space="preserve">按税收负担能否转稼，可分为直接税和间接税，按征收的实体来划分，可分为货 </w:t>
      </w:r>
      <w:r>
        <w:rPr>
          <w:color w:val="0D0D0D"/>
          <w:spacing w:val="7"/>
        </w:rPr>
        <w:t>币税和实物税，所以</w:t>
      </w:r>
      <w:r>
        <w:rPr>
          <w:color w:val="0D0D0D"/>
        </w:rPr>
        <w:t>B</w:t>
      </w:r>
      <w:r>
        <w:rPr>
          <w:color w:val="0D0D0D"/>
          <w:spacing w:val="-1"/>
        </w:rPr>
        <w:t xml:space="preserve"> 不正确；税法上规定的负有纳税义务的单位和个人是指纳税义务人， </w:t>
      </w:r>
      <w:r>
        <w:rPr>
          <w:color w:val="0D0D0D"/>
          <w:spacing w:val="-9"/>
        </w:rPr>
        <w:t xml:space="preserve">而课税对象即课税客体，是指税法针对什么征税而言的，所以 </w:t>
      </w:r>
      <w:r>
        <w:rPr>
          <w:color w:val="0D0D0D"/>
        </w:rPr>
        <w:t>C</w:t>
      </w:r>
      <w:r>
        <w:rPr>
          <w:color w:val="0D0D0D"/>
          <w:spacing w:val="-9"/>
        </w:rPr>
        <w:t xml:space="preserve"> 不正确；我国的征税人包括</w:t>
      </w:r>
      <w:r>
        <w:rPr>
          <w:color w:val="0D0D0D"/>
          <w:spacing w:val="-6"/>
        </w:rPr>
        <w:t>国家各级税务机关、海关和财政机关，所以</w:t>
      </w:r>
      <w:r>
        <w:rPr>
          <w:color w:val="0D0D0D"/>
        </w:rPr>
        <w:t>D</w:t>
      </w:r>
      <w:r>
        <w:rPr>
          <w:color w:val="0D0D0D"/>
          <w:spacing w:val="-16"/>
        </w:rPr>
        <w:t xml:space="preserve"> 不正确。</w:t>
      </w:r>
    </w:p>
    <w:p>
      <w:pPr>
        <w:pStyle w:val="Heading2"/>
        <w:spacing w:line="395" w:lineRule="exact"/>
      </w:pPr>
      <w:r>
        <w:rPr>
          <w:color w:val="0D0D0D"/>
        </w:rPr>
        <w:t>三、判断题</w:t>
      </w:r>
    </w:p>
    <w:p>
      <w:pPr>
        <w:pStyle w:val="BodyText"/>
        <w:spacing w:before="13" w:line="244" w:lineRule="auto"/>
        <w:ind w:right="2584"/>
      </w:pPr>
      <w:r>
        <w:rPr>
          <w:color w:val="0D0D0D"/>
        </w:rPr>
        <w:t>1、违约风险报酬率是指对于一项负债，到期日越长，债权人承受的不肯定因素越多，承受的风险也越大，为弥补这种风险而要求提高的利率。</w:t>
      </w:r>
    </w:p>
    <w:p>
      <w:pPr>
        <w:spacing w:before="7"/>
        <w:ind w:left="3330" w:right="0" w:firstLine="0"/>
        <w:jc w:val="left"/>
        <w:rPr>
          <w:sz w:val="31"/>
        </w:rPr>
      </w:pPr>
      <w:r>
        <w:rPr>
          <w:b/>
          <w:color w:val="0D0D0D"/>
          <w:sz w:val="31"/>
        </w:rPr>
        <w:t>答案:</w:t>
      </w:r>
      <w:r>
        <w:rPr>
          <w:color w:val="0D0D0D"/>
          <w:sz w:val="31"/>
        </w:rPr>
        <w:t>×</w:t>
      </w:r>
    </w:p>
    <w:p>
      <w:pPr>
        <w:pStyle w:val="BodyText"/>
        <w:spacing w:before="11" w:line="247" w:lineRule="auto"/>
        <w:ind w:right="2643" w:firstLine="629"/>
        <w:jc w:val="both"/>
      </w:pPr>
      <w:r>
        <w:rPr>
          <w:b/>
          <w:color w:val="0D0D0D"/>
        </w:rPr>
        <w:t>解析:</w:t>
      </w:r>
      <w:r>
        <w:rPr>
          <w:color w:val="0D0D0D"/>
          <w:spacing w:val="-1"/>
        </w:rPr>
        <w:t>期限风险报酬率是指为弥补因偿债期限长而带来的风险，由债权人要求提高的利</w:t>
      </w:r>
      <w:r>
        <w:rPr>
          <w:color w:val="0D0D0D"/>
          <w:spacing w:val="-13"/>
        </w:rPr>
        <w:t>率。违约风险报酬率是指为了弥补因债务人无法按时还本付息而带来的风险，由债权人要求 提高的利率。</w:t>
      </w:r>
    </w:p>
    <w:p>
      <w:pPr>
        <w:pStyle w:val="BodyText"/>
        <w:spacing w:line="247" w:lineRule="auto"/>
        <w:ind w:right="2505"/>
        <w:jc w:val="both"/>
      </w:pPr>
      <w:r>
        <w:rPr>
          <w:color w:val="0D0D0D"/>
        </w:rPr>
        <w:t>2</w:t>
      </w:r>
      <w:r>
        <w:rPr>
          <w:color w:val="0D0D0D"/>
          <w:spacing w:val="-15"/>
        </w:rPr>
        <w:t xml:space="preserve">、以资本利润率最大化作为企业财务管理的目标，仍然没有考虑资金时间价值和风险因素， </w:t>
      </w:r>
      <w:r>
        <w:rPr>
          <w:color w:val="0D0D0D"/>
        </w:rPr>
        <w:t>也不能避免企业的短期行为</w:t>
      </w:r>
      <w:r>
        <w:rPr>
          <w:color w:val="0D0D0D"/>
          <w:spacing w:val="-176"/>
        </w:rPr>
        <w:t>。</w:t>
      </w:r>
      <w:r>
        <w:rPr>
          <w:color w:val="0D0D0D"/>
        </w:rPr>
        <w:t>（ ）</w:t>
      </w:r>
    </w:p>
    <w:p>
      <w:pPr>
        <w:spacing w:before="0" w:line="396" w:lineRule="exact"/>
        <w:ind w:left="3330" w:right="0" w:firstLine="0"/>
        <w:jc w:val="left"/>
        <w:rPr>
          <w:sz w:val="31"/>
        </w:rPr>
      </w:pPr>
      <w:r>
        <w:rPr>
          <w:b/>
          <w:color w:val="0D0D0D"/>
          <w:sz w:val="31"/>
        </w:rPr>
        <w:t>答案:</w:t>
      </w:r>
      <w:r>
        <w:rPr>
          <w:color w:val="0D0D0D"/>
          <w:sz w:val="31"/>
        </w:rPr>
        <w:t>√</w:t>
      </w:r>
    </w:p>
    <w:p>
      <w:pPr>
        <w:pStyle w:val="BodyText"/>
        <w:spacing w:before="10" w:line="247" w:lineRule="auto"/>
        <w:ind w:right="2643" w:firstLine="629"/>
        <w:jc w:val="both"/>
      </w:pPr>
      <w:r>
        <w:rPr>
          <w:b/>
          <w:color w:val="0D0D0D"/>
        </w:rPr>
        <w:t>解析:</w:t>
      </w:r>
      <w:r>
        <w:rPr>
          <w:color w:val="0D0D0D"/>
          <w:spacing w:val="-1"/>
        </w:rPr>
        <w:t>资本利润率是利润额与资本额的比率，以资本利率最大化作为财务管理目标，优</w:t>
      </w:r>
      <w:r>
        <w:rPr>
          <w:color w:val="0D0D0D"/>
          <w:spacing w:val="-8"/>
        </w:rPr>
        <w:t xml:space="preserve">点是把企业实现的利润额同投入的资本进行对比，能够说明企业的盈利水平，可以在不同资 </w:t>
      </w:r>
      <w:r>
        <w:rPr>
          <w:color w:val="0D0D0D"/>
          <w:spacing w:val="-16"/>
        </w:rPr>
        <w:t>本规模的中同一企业不同期间之间进行比较，揭示其盈利水平的差异。但该指标仍然没有考 虑资金时间价值和风险因素，也不能避免企业的短期行为。</w:t>
      </w:r>
    </w:p>
    <w:p>
      <w:pPr>
        <w:pStyle w:val="BodyText"/>
        <w:spacing w:line="395" w:lineRule="exact"/>
        <w:jc w:val="both"/>
      </w:pPr>
      <w:r>
        <w:rPr>
          <w:color w:val="0D0D0D"/>
        </w:rPr>
        <w:t>3、接收是一种通过所有者约束经营者的办法</w:t>
      </w:r>
      <w:r>
        <w:rPr>
          <w:color w:val="0D0D0D"/>
          <w:spacing w:val="-194"/>
        </w:rPr>
        <w:t>。</w:t>
      </w:r>
      <w:r>
        <w:rPr>
          <w:color w:val="0D0D0D"/>
        </w:rPr>
        <w:t>（ ）</w:t>
      </w:r>
    </w:p>
    <w:p>
      <w:pPr>
        <w:spacing w:after="0" w:line="395" w:lineRule="exact"/>
        <w:jc w:val="both"/>
        <w:sectPr>
          <w:headerReference w:type="default" r:id="rId10"/>
          <w:footerReference w:type="default" r:id="rId11"/>
          <w:pgSz w:w="17860" w:h="25260"/>
          <w:pgMar w:top="1720" w:right="0" w:bottom="1940" w:left="0" w:header="1129" w:footer="1752"/>
          <w:pgNumType w:start="4"/>
          <w:cols w:space="708"/>
        </w:sectPr>
      </w:pPr>
    </w:p>
    <w:p>
      <w:pPr>
        <w:pStyle w:val="BodyText"/>
        <w:spacing w:before="3"/>
        <w:ind w:left="0"/>
        <w:rPr>
          <w:sz w:val="8"/>
        </w:rPr>
      </w:pPr>
    </w:p>
    <w:p>
      <w:pPr>
        <w:spacing w:before="63"/>
        <w:ind w:left="3330" w:right="0" w:firstLine="0"/>
        <w:jc w:val="left"/>
        <w:rPr>
          <w:sz w:val="31"/>
        </w:rPr>
      </w:pPr>
      <w:r>
        <w:rPr>
          <w:b/>
          <w:color w:val="0D0D0D"/>
          <w:sz w:val="31"/>
        </w:rPr>
        <w:t>答案:</w:t>
      </w:r>
      <w:r>
        <w:rPr>
          <w:color w:val="0D0D0D"/>
          <w:sz w:val="31"/>
        </w:rPr>
        <w:t>×</w:t>
      </w:r>
    </w:p>
    <w:p>
      <w:pPr>
        <w:pStyle w:val="BodyText"/>
        <w:spacing w:before="10" w:line="247" w:lineRule="auto"/>
        <w:ind w:right="2643" w:firstLine="629"/>
      </w:pPr>
      <w:r>
        <w:rPr>
          <w:b/>
          <w:color w:val="0D0D0D"/>
        </w:rPr>
        <w:t>解析:</w:t>
      </w:r>
      <w:r>
        <w:rPr>
          <w:color w:val="0D0D0D"/>
        </w:rPr>
        <w:t>解聘是一种通过所有者约束经营者的办法；接收是一种通过市场约束经营者的办法。</w:t>
      </w:r>
    </w:p>
    <w:p>
      <w:pPr>
        <w:pStyle w:val="BodyText"/>
        <w:spacing w:line="247" w:lineRule="auto"/>
        <w:ind w:left="3330" w:right="3335" w:hanging="630"/>
      </w:pPr>
      <w:r>
        <w:rPr>
          <w:color w:val="0D0D0D"/>
        </w:rPr>
        <w:t>4、财务管理是企业组织财务活动、处理与各方面财务关系的一项社会管理活动</w:t>
      </w:r>
      <w:r>
        <w:rPr>
          <w:color w:val="0D0D0D"/>
          <w:spacing w:val="-215"/>
        </w:rPr>
        <w:t>。</w:t>
      </w:r>
      <w:r>
        <w:rPr>
          <w:color w:val="0D0D0D"/>
        </w:rPr>
        <w:t>（</w:t>
      </w:r>
      <w:r>
        <w:rPr>
          <w:color w:val="0D0D0D"/>
          <w:spacing w:val="70"/>
        </w:rPr>
        <w:t xml:space="preserve"> </w:t>
      </w:r>
      <w:r>
        <w:rPr>
          <w:color w:val="0D0D0D"/>
          <w:spacing w:val="-16"/>
        </w:rPr>
        <w:t xml:space="preserve">） </w:t>
      </w:r>
      <w:r>
        <w:rPr>
          <w:b/>
          <w:color w:val="0D0D0D"/>
        </w:rPr>
        <w:t>答案:</w:t>
      </w:r>
      <w:r>
        <w:rPr>
          <w:color w:val="0D0D0D"/>
        </w:rPr>
        <w:t>×</w:t>
      </w:r>
    </w:p>
    <w:p>
      <w:pPr>
        <w:pStyle w:val="BodyText"/>
        <w:spacing w:line="247" w:lineRule="auto"/>
        <w:ind w:right="2643" w:firstLine="629"/>
      </w:pPr>
      <w:r>
        <w:rPr>
          <w:b/>
          <w:color w:val="0D0D0D"/>
        </w:rPr>
        <w:t>解析:</w:t>
      </w:r>
      <w:r>
        <w:rPr>
          <w:color w:val="0D0D0D"/>
        </w:rPr>
        <w:t>财务管理是利用价值形式对企业生产经营过程进行的管理，是组织财务活动、处理财务关系的一项综合性管理工作。</w:t>
      </w:r>
    </w:p>
    <w:p>
      <w:pPr>
        <w:pStyle w:val="BodyText"/>
        <w:spacing w:line="247" w:lineRule="auto"/>
        <w:ind w:right="2643"/>
      </w:pPr>
      <w:r>
        <w:rPr>
          <w:color w:val="0D0D0D"/>
        </w:rPr>
        <w:t>5</w:t>
      </w:r>
      <w:r>
        <w:rPr>
          <w:color w:val="0D0D0D"/>
          <w:spacing w:val="-1"/>
        </w:rPr>
        <w:t>、金融工具按其期限不同可分为货币市场工具和资本市场工具，后者主要有商业票据、国</w:t>
      </w:r>
      <w:r>
        <w:rPr>
          <w:color w:val="0D0D0D"/>
        </w:rPr>
        <w:t>库券（国债</w:t>
      </w:r>
      <w:r>
        <w:rPr>
          <w:color w:val="0D0D0D"/>
          <w:spacing w:val="-166"/>
        </w:rPr>
        <w:t>）</w:t>
      </w:r>
      <w:r>
        <w:rPr>
          <w:color w:val="0D0D0D"/>
        </w:rPr>
        <w:t>、可转让大额定期存单、回购协议；前者主要是股票和债券等</w:t>
      </w:r>
      <w:r>
        <w:rPr>
          <w:color w:val="0D0D0D"/>
          <w:spacing w:val="-208"/>
        </w:rPr>
        <w:t>。</w:t>
      </w:r>
      <w:r>
        <w:rPr>
          <w:color w:val="0D0D0D"/>
        </w:rPr>
        <w:t>（）</w:t>
      </w:r>
    </w:p>
    <w:p>
      <w:pPr>
        <w:spacing w:before="0" w:line="396" w:lineRule="exact"/>
        <w:ind w:left="3330" w:right="0" w:firstLine="0"/>
        <w:jc w:val="left"/>
        <w:rPr>
          <w:sz w:val="31"/>
        </w:rPr>
      </w:pPr>
      <w:r>
        <w:rPr>
          <w:b/>
          <w:color w:val="0D0D0D"/>
          <w:sz w:val="31"/>
        </w:rPr>
        <w:t>答案:</w:t>
      </w:r>
      <w:r>
        <w:rPr>
          <w:color w:val="0D0D0D"/>
          <w:sz w:val="31"/>
        </w:rPr>
        <w:t>×</w:t>
      </w:r>
    </w:p>
    <w:p>
      <w:pPr>
        <w:pStyle w:val="BodyText"/>
        <w:spacing w:before="10" w:line="244" w:lineRule="auto"/>
        <w:ind w:right="2643" w:firstLine="629"/>
      </w:pPr>
      <w:r>
        <w:rPr>
          <w:b/>
          <w:color w:val="0D0D0D"/>
        </w:rPr>
        <w:t>解析:</w:t>
      </w:r>
      <w:r>
        <w:rPr>
          <w:color w:val="0D0D0D"/>
          <w:spacing w:val="-1"/>
        </w:rPr>
        <w:t>金融工具按其期限不同可分为货币市场工具和资本市场工具，前者主要有商业票</w:t>
      </w:r>
      <w:r>
        <w:rPr>
          <w:color w:val="0D0D0D"/>
        </w:rPr>
        <w:t>据、国库券（国债</w:t>
      </w:r>
      <w:r>
        <w:rPr>
          <w:color w:val="0D0D0D"/>
          <w:spacing w:val="-173"/>
        </w:rPr>
        <w:t>）</w:t>
      </w:r>
      <w:r>
        <w:rPr>
          <w:color w:val="0D0D0D"/>
        </w:rPr>
        <w:t>、可转让大额定期存单、回购协议；后者主要是股票和债券等。</w:t>
      </w:r>
    </w:p>
    <w:p>
      <w:pPr>
        <w:pStyle w:val="BodyText"/>
        <w:spacing w:before="7" w:line="244" w:lineRule="auto"/>
        <w:ind w:right="2643"/>
      </w:pPr>
      <w:r>
        <w:rPr>
          <w:color w:val="0D0D0D"/>
        </w:rPr>
        <w:t>6</w:t>
      </w:r>
      <w:r>
        <w:rPr>
          <w:color w:val="0D0D0D"/>
          <w:spacing w:val="-1"/>
        </w:rPr>
        <w:t>、金融市场按证券交易的方式和次数分为初级市场和次级市场，即基础性金融市场和金融</w:t>
      </w:r>
      <w:r>
        <w:rPr>
          <w:color w:val="0D0D0D"/>
        </w:rPr>
        <w:t>衍生品市场，或称一级市场和二级市场</w:t>
      </w:r>
      <w:r>
        <w:rPr>
          <w:color w:val="0D0D0D"/>
          <w:spacing w:val="-187"/>
        </w:rPr>
        <w:t>。</w:t>
      </w:r>
      <w:r>
        <w:rPr>
          <w:color w:val="0D0D0D"/>
        </w:rPr>
        <w:t>（ ）</w:t>
      </w:r>
    </w:p>
    <w:p>
      <w:pPr>
        <w:spacing w:before="8"/>
        <w:ind w:left="3330" w:right="0" w:firstLine="0"/>
        <w:jc w:val="left"/>
        <w:rPr>
          <w:sz w:val="31"/>
        </w:rPr>
      </w:pPr>
      <w:r>
        <w:rPr>
          <w:b/>
          <w:color w:val="0D0D0D"/>
          <w:sz w:val="31"/>
        </w:rPr>
        <w:t>答案:</w:t>
      </w:r>
      <w:r>
        <w:rPr>
          <w:color w:val="0D0D0D"/>
          <w:sz w:val="31"/>
        </w:rPr>
        <w:t>×</w:t>
      </w:r>
    </w:p>
    <w:p>
      <w:pPr>
        <w:pStyle w:val="BodyText"/>
        <w:spacing w:before="10" w:line="247" w:lineRule="auto"/>
        <w:ind w:right="2487" w:firstLine="629"/>
      </w:pPr>
      <w:r>
        <w:rPr>
          <w:b/>
          <w:color w:val="0D0D0D"/>
        </w:rPr>
        <w:t>解析:</w:t>
      </w:r>
      <w:r>
        <w:rPr>
          <w:color w:val="0D0D0D"/>
        </w:rPr>
        <w:t xml:space="preserve">金融市场按证券交易的方式和次数分为初级市场和次级市场，即发行市场和流通 </w:t>
      </w:r>
      <w:r>
        <w:rPr>
          <w:color w:val="0D0D0D"/>
          <w:spacing w:val="-20"/>
        </w:rPr>
        <w:t xml:space="preserve">市场，或称一级市场和二级市场；按金融工具的属性分为基础性金融市场和金融衍生品市场。  </w:t>
      </w:r>
      <w:r>
        <w:rPr>
          <w:color w:val="0D0D0D"/>
        </w:rPr>
        <w:t>7、企业价值指的是账面资产的总价值</w:t>
      </w:r>
      <w:r>
        <w:rPr>
          <w:color w:val="0D0D0D"/>
          <w:spacing w:val="-187"/>
        </w:rPr>
        <w:t>。</w:t>
      </w:r>
      <w:r>
        <w:rPr>
          <w:color w:val="0D0D0D"/>
        </w:rPr>
        <w:t>（</w:t>
      </w:r>
      <w:r>
        <w:rPr>
          <w:color w:val="0D0D0D"/>
          <w:spacing w:val="2"/>
        </w:rPr>
        <w:t xml:space="preserve"> </w:t>
      </w:r>
      <w:r>
        <w:rPr>
          <w:color w:val="0D0D0D"/>
        </w:rPr>
        <w:t>）</w:t>
      </w:r>
    </w:p>
    <w:p>
      <w:pPr>
        <w:spacing w:before="0"/>
        <w:ind w:left="3330" w:right="0" w:firstLine="0"/>
        <w:jc w:val="left"/>
        <w:rPr>
          <w:sz w:val="31"/>
        </w:rPr>
      </w:pPr>
      <w:r>
        <w:rPr>
          <w:b/>
          <w:color w:val="0D0D0D"/>
          <w:sz w:val="31"/>
        </w:rPr>
        <w:t>答案:</w:t>
      </w:r>
      <w:r>
        <w:rPr>
          <w:color w:val="0D0D0D"/>
          <w:sz w:val="31"/>
        </w:rPr>
        <w:t>×</w:t>
      </w:r>
    </w:p>
    <w:p>
      <w:pPr>
        <w:pStyle w:val="BodyText"/>
        <w:spacing w:before="9" w:line="247" w:lineRule="auto"/>
        <w:ind w:right="2643" w:firstLine="629"/>
      </w:pPr>
      <w:r>
        <w:rPr>
          <w:b/>
          <w:color w:val="0D0D0D"/>
        </w:rPr>
        <w:t>解析:</w:t>
      </w:r>
      <w:r>
        <w:rPr>
          <w:color w:val="0D0D0D"/>
        </w:rPr>
        <w:t>企业价值不是账面资产的总价值，而是企业全部财产的市场价值，它反映了企业潜在或预期获利能力。</w:t>
      </w:r>
    </w:p>
    <w:p>
      <w:pPr>
        <w:pStyle w:val="BodyText"/>
        <w:spacing w:line="244" w:lineRule="auto"/>
        <w:ind w:left="3330" w:right="5856" w:hanging="630"/>
      </w:pPr>
      <w:r>
        <w:rPr>
          <w:color w:val="0D0D0D"/>
        </w:rPr>
        <w:t>8、在多种利率并存的条件下起决定作用的利率称为基准利率</w:t>
      </w:r>
      <w:r>
        <w:rPr>
          <w:color w:val="0D0D0D"/>
          <w:spacing w:val="-204"/>
        </w:rPr>
        <w:t>。</w:t>
      </w:r>
      <w:r>
        <w:rPr>
          <w:color w:val="0D0D0D"/>
        </w:rPr>
        <w:t xml:space="preserve">（ </w:t>
      </w:r>
      <w:r>
        <w:rPr>
          <w:color w:val="0D0D0D"/>
          <w:spacing w:val="-17"/>
        </w:rPr>
        <w:t xml:space="preserve">） </w:t>
      </w:r>
      <w:r>
        <w:rPr>
          <w:b/>
          <w:color w:val="0D0D0D"/>
        </w:rPr>
        <w:t>答案:</w:t>
      </w:r>
      <w:r>
        <w:rPr>
          <w:color w:val="0D0D0D"/>
        </w:rPr>
        <w:t>√</w:t>
      </w:r>
    </w:p>
    <w:p>
      <w:pPr>
        <w:pStyle w:val="BodyText"/>
        <w:spacing w:before="6" w:line="244" w:lineRule="auto"/>
        <w:ind w:right="2643" w:firstLine="629"/>
      </w:pPr>
      <w:r>
        <w:rPr>
          <w:b/>
          <w:color w:val="0D0D0D"/>
        </w:rPr>
        <w:t>解析:</w:t>
      </w:r>
      <w:r>
        <w:rPr>
          <w:color w:val="0D0D0D"/>
        </w:rPr>
        <w:t>基准利率是指在多种利率并存的条件上起决定作用的利率。在我国是中国人民银行对商业银行贷款的利率。</w:t>
      </w:r>
    </w:p>
    <w:p>
      <w:pPr>
        <w:pStyle w:val="BodyText"/>
        <w:spacing w:before="7" w:line="244" w:lineRule="auto"/>
        <w:ind w:left="3330" w:right="4282" w:hanging="630"/>
      </w:pPr>
      <w:r>
        <w:rPr>
          <w:color w:val="0D0D0D"/>
        </w:rPr>
        <w:t>9、从资金的借贷关系看，利率是一定时期运用资金这一资源的交易价格</w:t>
      </w:r>
      <w:r>
        <w:rPr>
          <w:color w:val="0D0D0D"/>
          <w:spacing w:val="-211"/>
        </w:rPr>
        <w:t>。</w:t>
      </w:r>
      <w:r>
        <w:rPr>
          <w:color w:val="0D0D0D"/>
        </w:rPr>
        <w:t>（</w:t>
      </w:r>
      <w:r>
        <w:rPr>
          <w:color w:val="0D0D0D"/>
          <w:spacing w:val="53"/>
        </w:rPr>
        <w:t xml:space="preserve"> </w:t>
      </w:r>
      <w:r>
        <w:rPr>
          <w:color w:val="0D0D0D"/>
          <w:spacing w:val="-17"/>
        </w:rPr>
        <w:t xml:space="preserve">） </w:t>
      </w:r>
      <w:r>
        <w:rPr>
          <w:b/>
          <w:color w:val="0D0D0D"/>
        </w:rPr>
        <w:t>答案:</w:t>
      </w:r>
      <w:r>
        <w:rPr>
          <w:color w:val="0D0D0D"/>
        </w:rPr>
        <w:t>√</w:t>
      </w:r>
    </w:p>
    <w:p>
      <w:pPr>
        <w:pStyle w:val="BodyText"/>
        <w:spacing w:before="8"/>
        <w:ind w:left="3330"/>
      </w:pPr>
      <w:r>
        <w:rPr>
          <w:b/>
          <w:color w:val="0D0D0D"/>
        </w:rPr>
        <w:t>解析:</w:t>
      </w:r>
      <w:r>
        <w:rPr>
          <w:color w:val="0D0D0D"/>
        </w:rPr>
        <w:t>本题的考点是资金市场上利息率的含义。</w:t>
      </w:r>
    </w:p>
    <w:p>
      <w:pPr>
        <w:pStyle w:val="BodyText"/>
        <w:spacing w:before="9" w:line="247" w:lineRule="auto"/>
        <w:ind w:left="3330" w:right="5068" w:hanging="630"/>
      </w:pPr>
      <w:r>
        <w:rPr>
          <w:color w:val="0D0D0D"/>
        </w:rPr>
        <w:t>10、企业同其债权人的财务关系，在性质上属于投资与受资的关系</w:t>
      </w:r>
      <w:r>
        <w:rPr>
          <w:color w:val="0D0D0D"/>
          <w:spacing w:val="-204"/>
        </w:rPr>
        <w:t>。</w:t>
      </w:r>
      <w:r>
        <w:rPr>
          <w:color w:val="0D0D0D"/>
        </w:rPr>
        <w:t xml:space="preserve">（ </w:t>
      </w:r>
      <w:r>
        <w:rPr>
          <w:color w:val="0D0D0D"/>
          <w:spacing w:val="-17"/>
        </w:rPr>
        <w:t xml:space="preserve">） </w:t>
      </w:r>
      <w:r>
        <w:rPr>
          <w:b/>
          <w:color w:val="0D0D0D"/>
        </w:rPr>
        <w:t>答案:</w:t>
      </w:r>
      <w:r>
        <w:rPr>
          <w:color w:val="0D0D0D"/>
        </w:rPr>
        <w:t>×</w:t>
      </w:r>
    </w:p>
    <w:p>
      <w:pPr>
        <w:pStyle w:val="BodyText"/>
        <w:spacing w:line="396" w:lineRule="exact"/>
        <w:ind w:left="3330"/>
      </w:pPr>
      <w:r>
        <w:rPr>
          <w:b/>
          <w:color w:val="0D0D0D"/>
        </w:rPr>
        <w:t>解析:</w:t>
      </w:r>
      <w:r>
        <w:rPr>
          <w:color w:val="0D0D0D"/>
        </w:rPr>
        <w:t>企业同其债权人之间的财务关系在性质上属于债务与债权关系。</w:t>
      </w:r>
    </w:p>
    <w:p>
      <w:pPr>
        <w:pStyle w:val="BodyText"/>
        <w:tabs>
          <w:tab w:val="left" w:pos="12943"/>
        </w:tabs>
        <w:spacing w:before="14" w:line="244" w:lineRule="auto"/>
        <w:ind w:left="3330" w:right="4596" w:hanging="630"/>
      </w:pPr>
      <w:r>
        <w:rPr>
          <w:color w:val="0D0D0D"/>
        </w:rPr>
        <w:t>11、企业采取短期借款方式来筹集所需资金，这属于企业的筹资活动</w:t>
      </w:r>
      <w:r>
        <w:rPr>
          <w:color w:val="0D0D0D"/>
          <w:spacing w:val="-208"/>
        </w:rPr>
        <w:t>。</w:t>
      </w:r>
      <w:r>
        <w:rPr>
          <w:color w:val="0D0D0D"/>
        </w:rPr>
        <w:t>（</w:t>
        <w:tab/>
      </w:r>
      <w:r>
        <w:rPr>
          <w:color w:val="0D0D0D"/>
          <w:spacing w:val="-17"/>
        </w:rPr>
        <w:t xml:space="preserve">） </w:t>
      </w:r>
      <w:r>
        <w:rPr>
          <w:b/>
          <w:color w:val="0D0D0D"/>
        </w:rPr>
        <w:t>答案:</w:t>
      </w:r>
      <w:r>
        <w:rPr>
          <w:color w:val="0D0D0D"/>
        </w:rPr>
        <w:t>×</w:t>
      </w:r>
    </w:p>
    <w:p>
      <w:pPr>
        <w:pStyle w:val="BodyText"/>
        <w:spacing w:before="7" w:line="244" w:lineRule="auto"/>
        <w:ind w:right="2643" w:firstLine="629"/>
      </w:pPr>
      <w:r>
        <w:rPr>
          <w:b/>
          <w:color w:val="0D0D0D"/>
        </w:rPr>
        <w:t>解析:</w:t>
      </w:r>
      <w:r>
        <w:rPr>
          <w:color w:val="0D0D0D"/>
        </w:rPr>
        <w:t>如果企业现有资金不能满足企业经营的需要，还要采取短期借款方式来筹集所需资金，这属于企业的资金营运活动。</w:t>
      </w:r>
    </w:p>
    <w:p>
      <w:pPr>
        <w:pStyle w:val="BodyText"/>
        <w:ind w:left="0"/>
        <w:rPr>
          <w:sz w:val="20"/>
        </w:rPr>
      </w:pPr>
    </w:p>
    <w:p>
      <w:pPr>
        <w:pStyle w:val="BodyText"/>
        <w:ind w:left="0"/>
        <w:rPr>
          <w:sz w:val="20"/>
        </w:rPr>
      </w:pPr>
    </w:p>
    <w:p>
      <w:pPr>
        <w:pStyle w:val="BodyText"/>
        <w:spacing w:before="8"/>
        <w:ind w:left="0"/>
        <w:rPr>
          <w:sz w:val="19"/>
        </w:rPr>
      </w:pPr>
    </w:p>
    <w:p>
      <w:pPr>
        <w:spacing w:after="0"/>
        <w:rPr>
          <w:sz w:val="19"/>
        </w:rPr>
        <w:sectPr>
          <w:headerReference w:type="default" r:id="rId12"/>
          <w:footerReference w:type="default" r:id="rId13"/>
          <w:pgSz w:w="17860" w:h="25260"/>
          <w:pgMar w:top="1720" w:right="0" w:bottom="1940" w:left="0" w:header="1129" w:footer="1752"/>
          <w:pgNumType w:start="5"/>
          <w:cols w:space="708"/>
        </w:sectPr>
      </w:pPr>
    </w:p>
    <w:p>
      <w:pPr>
        <w:pStyle w:val="BodyText"/>
        <w:ind w:left="0"/>
        <w:rPr>
          <w:sz w:val="32"/>
        </w:rPr>
      </w:pPr>
    </w:p>
    <w:p>
      <w:pPr>
        <w:pStyle w:val="BodyText"/>
        <w:spacing w:before="7"/>
        <w:ind w:left="0"/>
        <w:rPr>
          <w:sz w:val="30"/>
        </w:rPr>
      </w:pPr>
    </w:p>
    <w:p>
      <w:pPr>
        <w:spacing w:before="0"/>
        <w:ind w:left="2700" w:right="0" w:firstLine="0"/>
        <w:jc w:val="left"/>
        <w:rPr>
          <w:b/>
          <w:sz w:val="31"/>
        </w:rPr>
      </w:pPr>
      <w:r>
        <w:rPr>
          <w:b/>
          <w:color w:val="0D0D0D"/>
          <w:sz w:val="31"/>
        </w:rPr>
        <w:t>一、单项选择题</w:t>
      </w:r>
    </w:p>
    <w:p>
      <w:pPr>
        <w:pStyle w:val="Heading1"/>
        <w:tabs>
          <w:tab w:val="left" w:pos="2891"/>
        </w:tabs>
      </w:pPr>
      <w:r>
        <w:rPr>
          <w:b w:val="0"/>
        </w:rPr>
        <w:br w:type="column"/>
      </w:r>
      <w:r>
        <w:rPr>
          <w:color w:val="0D0D0D"/>
        </w:rPr>
        <w:t>第二章</w:t>
        <w:tab/>
        <w:t>财务管理的价值观念</w:t>
      </w:r>
    </w:p>
    <w:p>
      <w:pPr>
        <w:spacing w:after="0"/>
        <w:sectPr>
          <w:headerReference w:type="default" r:id="rId14"/>
          <w:footerReference w:type="default" r:id="rId15"/>
          <w:type w:val="continuous"/>
          <w:pgSz w:w="17860" w:h="25260"/>
          <w:pgMar w:top="1720" w:right="0" w:bottom="1940" w:left="0" w:header="708" w:footer="708"/>
          <w:pgNumType w:start="6"/>
          <w:cols w:num="2" w:space="708" w:equalWidth="0">
            <w:col w:w="4919" w:space="40"/>
            <w:col w:w="12901" w:space="0"/>
          </w:cols>
        </w:sectPr>
      </w:pPr>
    </w:p>
    <w:p>
      <w:pPr>
        <w:pStyle w:val="BodyText"/>
        <w:spacing w:before="10" w:line="247" w:lineRule="auto"/>
        <w:ind w:right="2778"/>
      </w:pPr>
      <w:r>
        <w:rPr>
          <w:color w:val="0D0D0D"/>
        </w:rPr>
        <w:t>1</w:t>
      </w:r>
      <w:r>
        <w:rPr>
          <w:color w:val="0D0D0D"/>
          <w:spacing w:val="-7"/>
        </w:rPr>
        <w:t xml:space="preserve">、有一项年金，前 </w:t>
      </w:r>
      <w:r>
        <w:rPr>
          <w:color w:val="0D0D0D"/>
        </w:rPr>
        <w:t>5</w:t>
      </w:r>
      <w:r>
        <w:rPr>
          <w:color w:val="0D0D0D"/>
          <w:spacing w:val="-12"/>
        </w:rPr>
        <w:t xml:space="preserve"> 年无流入，后 </w:t>
      </w:r>
      <w:r>
        <w:rPr>
          <w:color w:val="0D0D0D"/>
        </w:rPr>
        <w:t>5</w:t>
      </w:r>
      <w:r>
        <w:rPr>
          <w:color w:val="0D0D0D"/>
          <w:spacing w:val="-13"/>
        </w:rPr>
        <w:t xml:space="preserve"> 年每年年初流入 </w:t>
      </w:r>
      <w:r>
        <w:rPr>
          <w:color w:val="0D0D0D"/>
        </w:rPr>
        <w:t>1000</w:t>
      </w:r>
      <w:r>
        <w:rPr>
          <w:color w:val="0D0D0D"/>
          <w:spacing w:val="-14"/>
        </w:rPr>
        <w:t xml:space="preserve"> 元，年利率为 </w:t>
      </w:r>
      <w:r>
        <w:rPr>
          <w:color w:val="0D0D0D"/>
        </w:rPr>
        <w:t>10</w:t>
      </w:r>
      <w:r>
        <w:rPr>
          <w:color w:val="0D0D0D"/>
          <w:spacing w:val="-3"/>
        </w:rPr>
        <w:t>％，则其现值</w:t>
      </w:r>
      <w:r>
        <w:rPr>
          <w:color w:val="0D0D0D"/>
        </w:rPr>
        <w:t>为（ ）元。</w:t>
      </w:r>
    </w:p>
    <w:p>
      <w:pPr>
        <w:pStyle w:val="BodyText"/>
        <w:tabs>
          <w:tab w:val="left" w:pos="5696"/>
          <w:tab w:val="left" w:pos="8058"/>
          <w:tab w:val="left" w:pos="10423"/>
        </w:tabs>
        <w:spacing w:line="396" w:lineRule="exact"/>
        <w:ind w:left="3334"/>
      </w:pPr>
      <w:r>
        <w:rPr>
          <w:color w:val="0D0D0D"/>
          <w:spacing w:val="-4"/>
        </w:rPr>
        <w:t>A</w:t>
      </w:r>
      <w:r>
        <w:rPr>
          <w:color w:val="0D0D0D"/>
        </w:rPr>
        <w:t>、2994.59</w:t>
        <w:tab/>
        <w:t>B</w:t>
      </w:r>
      <w:r>
        <w:rPr>
          <w:color w:val="0D0D0D"/>
          <w:spacing w:val="-4"/>
        </w:rPr>
        <w:t>、</w:t>
      </w:r>
      <w:r>
        <w:rPr>
          <w:color w:val="0D0D0D"/>
        </w:rPr>
        <w:t>2589.12</w:t>
        <w:tab/>
        <w:t>C</w:t>
      </w:r>
      <w:r>
        <w:rPr>
          <w:color w:val="0D0D0D"/>
          <w:spacing w:val="-4"/>
        </w:rPr>
        <w:t>、</w:t>
      </w:r>
      <w:r>
        <w:rPr>
          <w:color w:val="0D0D0D"/>
        </w:rPr>
        <w:t>2813.68</w:t>
        <w:tab/>
      </w:r>
      <w:r>
        <w:rPr>
          <w:color w:val="0D0D0D"/>
          <w:spacing w:val="-4"/>
        </w:rPr>
        <w:t>D</w:t>
      </w:r>
      <w:r>
        <w:rPr>
          <w:color w:val="0D0D0D"/>
        </w:rPr>
        <w:t>、2461.53</w:t>
      </w:r>
    </w:p>
    <w:p>
      <w:pPr>
        <w:spacing w:before="14"/>
        <w:ind w:left="3330" w:right="0" w:firstLine="0"/>
        <w:jc w:val="left"/>
        <w:rPr>
          <w:sz w:val="31"/>
        </w:rPr>
      </w:pPr>
      <w:r>
        <w:rPr>
          <w:b/>
          <w:color w:val="0D0D0D"/>
          <w:sz w:val="31"/>
        </w:rPr>
        <w:t>答案:</w:t>
      </w:r>
      <w:r>
        <w:rPr>
          <w:color w:val="0D0D0D"/>
          <w:sz w:val="31"/>
        </w:rPr>
        <w:t>B</w:t>
      </w:r>
    </w:p>
    <w:p>
      <w:pPr>
        <w:pStyle w:val="BodyText"/>
        <w:spacing w:before="9" w:line="247" w:lineRule="auto"/>
        <w:ind w:right="2522" w:firstLine="629"/>
      </w:pPr>
      <w:r>
        <w:rPr>
          <w:b/>
          <w:color w:val="0D0D0D"/>
        </w:rPr>
        <w:t xml:space="preserve">解 析 : </w:t>
      </w:r>
      <w:r>
        <w:rPr>
          <w:color w:val="0D0D0D"/>
        </w:rPr>
        <w:t xml:space="preserve">递 延 年 金 现 值 的 计 算 公 式 主 要 有 ： </w:t>
      </w:r>
      <w:r>
        <w:rPr>
          <w:color w:val="0D0D0D"/>
          <w:w w:val="102"/>
        </w:rPr>
        <w:t>P=</w:t>
      </w:r>
      <w:r>
        <w:rPr>
          <w:color w:val="0D0D0D"/>
          <w:spacing w:val="-1"/>
          <w:w w:val="102"/>
        </w:rPr>
        <w:t>A</w:t>
      </w:r>
      <w:r>
        <w:rPr>
          <w:color w:val="0D0D0D"/>
          <w:spacing w:val="-299"/>
          <w:w w:val="102"/>
        </w:rPr>
        <w:t>·</w:t>
      </w:r>
      <w:r>
        <w:rPr>
          <w:color w:val="0D0D0D"/>
          <w:w w:val="102"/>
        </w:rPr>
        <w:t>（P/A,i,</w:t>
      </w:r>
      <w:r>
        <w:rPr>
          <w:color w:val="0D0D0D"/>
          <w:spacing w:val="-8"/>
          <w:w w:val="102"/>
        </w:rPr>
        <w:t>n</w:t>
      </w:r>
      <w:r>
        <w:rPr>
          <w:color w:val="0D0D0D"/>
          <w:spacing w:val="-162"/>
          <w:w w:val="102"/>
        </w:rPr>
        <w:t>）</w:t>
      </w:r>
      <w:r>
        <w:rPr>
          <w:color w:val="0D0D0D"/>
          <w:spacing w:val="-137"/>
          <w:w w:val="102"/>
        </w:rPr>
        <w:t>·</w:t>
      </w:r>
      <w:r>
        <w:rPr>
          <w:color w:val="0D0D0D"/>
          <w:w w:val="102"/>
        </w:rPr>
        <w:t>(P/F,i,m),P=</w:t>
      </w:r>
      <w:r>
        <w:rPr>
          <w:color w:val="0D0D0D"/>
          <w:spacing w:val="-14"/>
          <w:w w:val="102"/>
        </w:rPr>
        <w:t>A</w:t>
      </w:r>
      <w:r>
        <w:rPr>
          <w:color w:val="0D0D0D"/>
          <w:spacing w:val="-137"/>
          <w:w w:val="102"/>
        </w:rPr>
        <w:t>·</w:t>
      </w:r>
      <w:r>
        <w:rPr>
          <w:color w:val="0D0D0D"/>
          <w:w w:val="102"/>
        </w:rPr>
        <w:t>[(P/A,i,m+n)-(P/A,i,m)</w:t>
      </w:r>
      <w:r>
        <w:rPr>
          <w:color w:val="0D0D0D"/>
          <w:spacing w:val="-11"/>
          <w:w w:val="102"/>
        </w:rPr>
        <w:t>]和</w:t>
      </w:r>
      <w:r>
        <w:rPr>
          <w:color w:val="0D0D0D"/>
          <w:spacing w:val="-76"/>
        </w:rPr>
        <w:t xml:space="preserve"> </w:t>
      </w:r>
      <w:r>
        <w:rPr>
          <w:color w:val="0D0D0D"/>
          <w:spacing w:val="-1"/>
          <w:w w:val="102"/>
        </w:rPr>
        <w:t>P=</w:t>
      </w:r>
      <w:r>
        <w:rPr>
          <w:color w:val="0D0D0D"/>
          <w:spacing w:val="-9"/>
          <w:w w:val="102"/>
        </w:rPr>
        <w:t>A</w:t>
      </w:r>
      <w:r>
        <w:rPr>
          <w:color w:val="0D0D0D"/>
          <w:spacing w:val="-138"/>
          <w:w w:val="102"/>
        </w:rPr>
        <w:t>·</w:t>
      </w:r>
      <w:r>
        <w:rPr>
          <w:color w:val="0D0D0D"/>
          <w:spacing w:val="-1"/>
          <w:w w:val="102"/>
        </w:rPr>
        <w:t>(F/A,i,n</w:t>
      </w:r>
      <w:r>
        <w:rPr>
          <w:color w:val="0D0D0D"/>
          <w:spacing w:val="-11"/>
          <w:w w:val="102"/>
        </w:rPr>
        <w:t>)</w:t>
      </w:r>
      <w:r>
        <w:rPr>
          <w:color w:val="0D0D0D"/>
          <w:spacing w:val="-138"/>
          <w:w w:val="102"/>
        </w:rPr>
        <w:t>·</w:t>
      </w:r>
      <w:r>
        <w:rPr>
          <w:color w:val="0D0D0D"/>
          <w:spacing w:val="-1"/>
          <w:w w:val="102"/>
        </w:rPr>
        <w:t>(P/F,i,n+m),</w:t>
      </w:r>
      <w:r>
        <w:rPr>
          <w:color w:val="0D0D0D"/>
        </w:rPr>
        <w:t>其中,m</w:t>
      </w:r>
      <w:r>
        <w:rPr>
          <w:color w:val="0D0D0D"/>
          <w:spacing w:val="6"/>
        </w:rPr>
        <w:t xml:space="preserve"> 表示的是递延期，而</w:t>
      </w:r>
      <w:r>
        <w:rPr>
          <w:color w:val="0D0D0D"/>
        </w:rPr>
        <w:t>n 表示的是等额收付的次数。计算递延年金现值时一定注意应将</w:t>
      </w:r>
      <w:r>
        <w:rPr>
          <w:color w:val="0D0D0D"/>
          <w:spacing w:val="1"/>
        </w:rPr>
        <w:t>期初问题转化为期末，本题中第一次现金流入发生的第</w:t>
      </w:r>
      <w:r>
        <w:rPr>
          <w:color w:val="0D0D0D"/>
        </w:rPr>
        <w:t>6</w:t>
      </w:r>
      <w:r>
        <w:rPr>
          <w:color w:val="0D0D0D"/>
          <w:spacing w:val="-19"/>
        </w:rPr>
        <w:t xml:space="preserve"> 年初，即第 </w:t>
      </w:r>
      <w:r>
        <w:rPr>
          <w:color w:val="0D0D0D"/>
        </w:rPr>
        <w:t>5</w:t>
      </w:r>
      <w:r>
        <w:rPr>
          <w:color w:val="0D0D0D"/>
          <w:spacing w:val="-9"/>
        </w:rPr>
        <w:t xml:space="preserve"> 年末，递延期</w:t>
      </w:r>
    </w:p>
    <w:p>
      <w:pPr>
        <w:pStyle w:val="BodyText"/>
        <w:spacing w:line="395" w:lineRule="exact"/>
        <w:ind w:left="14"/>
        <w:jc w:val="center"/>
      </w:pPr>
      <w:r>
        <w:rPr>
          <w:color w:val="0D0D0D"/>
        </w:rPr>
        <w:t>m=5-1=4</w:t>
      </w:r>
      <w:r>
        <w:rPr>
          <w:color w:val="0D0D0D"/>
          <w:spacing w:val="7"/>
        </w:rPr>
        <w:t>；由于连续流入</w:t>
      </w:r>
      <w:r>
        <w:rPr>
          <w:color w:val="0D0D0D"/>
        </w:rPr>
        <w:t>5</w:t>
      </w:r>
      <w:r>
        <w:rPr>
          <w:color w:val="0D0D0D"/>
          <w:spacing w:val="20"/>
        </w:rPr>
        <w:t xml:space="preserve">  次，即</w:t>
      </w:r>
      <w:r>
        <w:rPr>
          <w:color w:val="0D0D0D"/>
        </w:rPr>
        <w:t>n=5</w:t>
      </w:r>
      <w:r>
        <w:rPr>
          <w:color w:val="0D0D0D"/>
          <w:spacing w:val="-1"/>
        </w:rPr>
        <w:t>,所以，答案为：</w:t>
      </w:r>
      <w:r>
        <w:rPr>
          <w:color w:val="0D0D0D"/>
          <w:spacing w:val="-3"/>
        </w:rPr>
        <w:t>1000×（P/A,10%,5）×(P/F,10%,4)</w:t>
      </w:r>
    </w:p>
    <w:p>
      <w:pPr>
        <w:pStyle w:val="BodyText"/>
        <w:spacing w:before="10"/>
        <w:ind w:left="3" w:right="9"/>
        <w:jc w:val="center"/>
      </w:pPr>
      <w:r>
        <w:rPr>
          <w:color w:val="0D0D0D"/>
          <w:spacing w:val="15"/>
        </w:rPr>
        <w:t xml:space="preserve">或 </w:t>
      </w:r>
      <w:r>
        <w:rPr>
          <w:color w:val="0D0D0D"/>
        </w:rPr>
        <w:t>1000</w:t>
      </w:r>
      <w:r>
        <w:rPr>
          <w:color w:val="0D0D0D"/>
          <w:spacing w:val="-81"/>
        </w:rPr>
        <w:t>×〔</w:t>
      </w:r>
      <w:r>
        <w:rPr>
          <w:color w:val="0D0D0D"/>
        </w:rPr>
        <w:t>（P/A,10%,9）-(P/A,10%,4</w:t>
      </w:r>
      <w:r>
        <w:rPr>
          <w:color w:val="0D0D0D"/>
          <w:spacing w:val="5"/>
        </w:rPr>
        <w:t xml:space="preserve">)〕或 </w:t>
      </w:r>
      <w:r>
        <w:rPr>
          <w:color w:val="0D0D0D"/>
        </w:rPr>
        <w:t>1000×（F/A,10%,5）×(P/F,10%,9)。注意：</w:t>
      </w:r>
    </w:p>
    <w:p>
      <w:pPr>
        <w:pStyle w:val="BodyText"/>
        <w:spacing w:before="13"/>
        <w:ind w:left="17"/>
        <w:jc w:val="center"/>
      </w:pPr>
      <w:r>
        <w:rPr>
          <w:color w:val="0D0D0D"/>
          <w:spacing w:val="-13"/>
        </w:rPr>
        <w:t>由于现值系数是近似数，所以，不同的方法计算得出的结果会存在微小的差别，考试时选择</w:t>
      </w:r>
    </w:p>
    <w:p>
      <w:pPr>
        <w:spacing w:after="0"/>
        <w:jc w:val="center"/>
        <w:sectPr>
          <w:headerReference w:type="default" r:id="rId16"/>
          <w:footerReference w:type="default" r:id="rId17"/>
          <w:type w:val="continuous"/>
          <w:pgSz w:w="17860" w:h="25260"/>
          <w:pgMar w:top="1720" w:right="0" w:bottom="1940" w:left="0" w:header="708" w:footer="708"/>
          <w:pgNumType w:start="7"/>
          <w:cols w:space="708"/>
        </w:sectPr>
      </w:pPr>
    </w:p>
    <w:p>
      <w:pPr>
        <w:pStyle w:val="BodyText"/>
        <w:spacing w:before="3"/>
        <w:ind w:left="0"/>
        <w:rPr>
          <w:sz w:val="8"/>
        </w:rPr>
      </w:pPr>
    </w:p>
    <w:p>
      <w:pPr>
        <w:pStyle w:val="BodyText"/>
        <w:spacing w:before="63"/>
      </w:pPr>
      <w:r>
        <w:rPr>
          <w:color w:val="0D0D0D"/>
        </w:rPr>
        <w:t>与计算结果最接近的选项。</w:t>
      </w:r>
    </w:p>
    <w:p>
      <w:pPr>
        <w:pStyle w:val="BodyText"/>
        <w:spacing w:before="10" w:line="247" w:lineRule="auto"/>
        <w:ind w:right="2705"/>
      </w:pPr>
      <w:r>
        <w:rPr>
          <w:color w:val="0D0D0D"/>
        </w:rPr>
        <w:t>2、甲方案在五年中每年年初付款1000 元，乙方案在五年中每年年末付款1000 元，若利率相同，则两者在第五年年末时的终值（ ）</w:t>
      </w:r>
    </w:p>
    <w:p>
      <w:pPr>
        <w:pStyle w:val="BodyText"/>
        <w:tabs>
          <w:tab w:val="left" w:pos="5537"/>
          <w:tab w:val="left" w:pos="9159"/>
          <w:tab w:val="left" w:pos="12468"/>
        </w:tabs>
        <w:spacing w:line="247" w:lineRule="auto"/>
        <w:ind w:right="2699" w:firstLine="633"/>
      </w:pPr>
      <w:r>
        <w:rPr>
          <w:color w:val="0D0D0D"/>
          <w:spacing w:val="-4"/>
        </w:rPr>
        <w:t>A</w:t>
      </w:r>
      <w:r>
        <w:rPr>
          <w:color w:val="0D0D0D"/>
        </w:rPr>
        <w:t>、相等</w:t>
        <w:tab/>
        <w:t>B、前者大于后者</w:t>
        <w:tab/>
        <w:t>C、前者小于后者</w:t>
        <w:tab/>
      </w:r>
      <w:r>
        <w:rPr>
          <w:color w:val="0D0D0D"/>
          <w:spacing w:val="-4"/>
        </w:rPr>
        <w:t>D</w:t>
      </w:r>
      <w:r>
        <w:rPr>
          <w:color w:val="0D0D0D"/>
        </w:rPr>
        <w:t>、可能会出现上</w:t>
      </w:r>
      <w:r>
        <w:rPr>
          <w:color w:val="0D0D0D"/>
          <w:spacing w:val="-17"/>
        </w:rPr>
        <w:t>述</w:t>
      </w:r>
      <w:r>
        <w:rPr>
          <w:color w:val="0D0D0D"/>
        </w:rPr>
        <w:t>三种情况中的任何一种</w:t>
      </w:r>
    </w:p>
    <w:p>
      <w:pPr>
        <w:spacing w:before="0" w:line="396" w:lineRule="exact"/>
        <w:ind w:left="3330" w:right="0" w:firstLine="0"/>
        <w:jc w:val="left"/>
        <w:rPr>
          <w:sz w:val="31"/>
        </w:rPr>
      </w:pPr>
      <w:r>
        <w:rPr>
          <w:b/>
          <w:color w:val="0D0D0D"/>
          <w:sz w:val="31"/>
        </w:rPr>
        <w:t>答案:</w:t>
      </w:r>
      <w:r>
        <w:rPr>
          <w:color w:val="0D0D0D"/>
          <w:sz w:val="31"/>
        </w:rPr>
        <w:t>B</w:t>
      </w:r>
    </w:p>
    <w:p>
      <w:pPr>
        <w:pStyle w:val="BodyText"/>
        <w:spacing w:before="12" w:line="244" w:lineRule="auto"/>
        <w:ind w:right="2685" w:firstLine="629"/>
      </w:pPr>
      <w:r>
        <w:rPr>
          <w:b/>
          <w:color w:val="0D0D0D"/>
        </w:rPr>
        <w:t>解析:</w:t>
      </w:r>
      <w:r>
        <w:rPr>
          <w:color w:val="0D0D0D"/>
        </w:rPr>
        <w:t>因为预付年金终值＝普通年金的终值×（1+i）,所以，在年金、期限和利率相同的前提下，预付年金终值大于普通年金的终值。</w:t>
      </w:r>
    </w:p>
    <w:p>
      <w:pPr>
        <w:pStyle w:val="BodyText"/>
        <w:spacing w:before="7"/>
      </w:pPr>
      <w:r>
        <w:rPr>
          <w:color w:val="0D0D0D"/>
          <w:w w:val="102"/>
        </w:rPr>
        <w:t>3</w:t>
      </w:r>
      <w:r>
        <w:rPr>
          <w:color w:val="0D0D0D"/>
          <w:spacing w:val="-20"/>
          <w:w w:val="102"/>
        </w:rPr>
        <w:t>、现有两个投资项目甲和乙，已知收益率的期望值分别为</w:t>
      </w:r>
      <w:r>
        <w:rPr>
          <w:color w:val="0D0D0D"/>
          <w:spacing w:val="-97"/>
        </w:rPr>
        <w:t xml:space="preserve"> </w:t>
      </w:r>
      <w:r>
        <w:rPr>
          <w:color w:val="0D0D0D"/>
          <w:w w:val="102"/>
        </w:rPr>
        <w:t>2</w:t>
      </w:r>
      <w:r>
        <w:rPr>
          <w:color w:val="0D0D0D"/>
          <w:spacing w:val="-4"/>
          <w:w w:val="102"/>
        </w:rPr>
        <w:t>0</w:t>
      </w:r>
      <w:r>
        <w:rPr>
          <w:color w:val="0D0D0D"/>
          <w:spacing w:val="-78"/>
          <w:w w:val="102"/>
        </w:rPr>
        <w:t>％、</w:t>
      </w:r>
      <w:r>
        <w:rPr>
          <w:color w:val="0D0D0D"/>
          <w:w w:val="102"/>
        </w:rPr>
        <w:t>3</w:t>
      </w:r>
      <w:r>
        <w:rPr>
          <w:color w:val="0D0D0D"/>
          <w:spacing w:val="-4"/>
          <w:w w:val="102"/>
        </w:rPr>
        <w:t>0</w:t>
      </w:r>
      <w:r>
        <w:rPr>
          <w:color w:val="0D0D0D"/>
          <w:spacing w:val="-19"/>
          <w:w w:val="102"/>
        </w:rPr>
        <w:t>％，标准离差分别为</w:t>
      </w:r>
      <w:r>
        <w:rPr>
          <w:color w:val="0D0D0D"/>
          <w:spacing w:val="-86"/>
        </w:rPr>
        <w:t xml:space="preserve"> </w:t>
      </w:r>
      <w:r>
        <w:rPr>
          <w:color w:val="0D0D0D"/>
          <w:w w:val="102"/>
        </w:rPr>
        <w:t>4</w:t>
      </w:r>
      <w:r>
        <w:rPr>
          <w:color w:val="0D0D0D"/>
          <w:spacing w:val="-4"/>
          <w:w w:val="102"/>
        </w:rPr>
        <w:t>0</w:t>
      </w:r>
      <w:r>
        <w:rPr>
          <w:color w:val="0D0D0D"/>
          <w:w w:val="102"/>
        </w:rPr>
        <w:t>％、</w:t>
      </w:r>
    </w:p>
    <w:p>
      <w:pPr>
        <w:pStyle w:val="BodyText"/>
        <w:spacing w:before="10"/>
      </w:pPr>
      <w:r>
        <w:rPr>
          <w:color w:val="0D0D0D"/>
        </w:rPr>
        <w:t>54％，那么（ ）</w:t>
      </w:r>
    </w:p>
    <w:p>
      <w:pPr>
        <w:pStyle w:val="BodyText"/>
        <w:tabs>
          <w:tab w:val="left" w:pos="10981"/>
        </w:tabs>
        <w:spacing w:before="13" w:line="244" w:lineRule="auto"/>
        <w:ind w:right="2674" w:firstLine="633"/>
      </w:pPr>
      <w:r>
        <w:rPr>
          <w:color w:val="0D0D0D"/>
        </w:rPr>
        <w:t>A</w:t>
      </w:r>
      <w:r>
        <w:rPr>
          <w:color w:val="0D0D0D"/>
          <w:spacing w:val="-76"/>
        </w:rPr>
        <w:t>、</w:t>
      </w:r>
      <w:r>
        <w:rPr>
          <w:color w:val="0D0D0D"/>
        </w:rPr>
        <w:t>甲项目的风险程度大于乙项目的风险程度</w:t>
        <w:tab/>
        <w:t>B</w:t>
      </w:r>
      <w:r>
        <w:rPr>
          <w:color w:val="0D0D0D"/>
          <w:spacing w:val="-76"/>
        </w:rPr>
        <w:t>、</w:t>
      </w:r>
      <w:r>
        <w:rPr>
          <w:color w:val="0D0D0D"/>
        </w:rPr>
        <w:t>甲项目的风险程度小于乙</w:t>
      </w:r>
      <w:r>
        <w:rPr>
          <w:color w:val="0D0D0D"/>
          <w:spacing w:val="-17"/>
        </w:rPr>
        <w:t>项</w:t>
      </w:r>
      <w:r>
        <w:rPr>
          <w:color w:val="0D0D0D"/>
        </w:rPr>
        <w:t>目的风险程度</w:t>
      </w:r>
    </w:p>
    <w:p>
      <w:pPr>
        <w:pStyle w:val="BodyText"/>
        <w:tabs>
          <w:tab w:val="left" w:pos="11057"/>
        </w:tabs>
        <w:spacing w:before="7" w:line="244" w:lineRule="auto"/>
        <w:ind w:left="3330" w:right="5064" w:firstLine="3"/>
      </w:pPr>
      <w:r>
        <w:rPr>
          <w:color w:val="0D0D0D"/>
          <w:spacing w:val="-4"/>
        </w:rPr>
        <w:t>C</w:t>
      </w:r>
      <w:r>
        <w:rPr>
          <w:color w:val="0D0D0D"/>
        </w:rPr>
        <w:t>、甲项目的风险程度等于乙项目的风险程度</w:t>
        <w:tab/>
      </w:r>
      <w:r>
        <w:rPr>
          <w:color w:val="0D0D0D"/>
          <w:spacing w:val="-8"/>
        </w:rPr>
        <w:t>D</w:t>
      </w:r>
      <w:r>
        <w:rPr>
          <w:color w:val="0D0D0D"/>
        </w:rPr>
        <w:t>、不能确</w:t>
      </w:r>
      <w:r>
        <w:rPr>
          <w:color w:val="0D0D0D"/>
          <w:spacing w:val="-16"/>
        </w:rPr>
        <w:t>定</w:t>
      </w:r>
      <w:r>
        <w:rPr>
          <w:b/>
          <w:color w:val="0D0D0D"/>
        </w:rPr>
        <w:t>答案:</w:t>
      </w:r>
      <w:r>
        <w:rPr>
          <w:color w:val="0D0D0D"/>
        </w:rPr>
        <w:t>A</w:t>
      </w:r>
    </w:p>
    <w:p>
      <w:pPr>
        <w:pStyle w:val="BodyText"/>
        <w:spacing w:before="8" w:line="244" w:lineRule="auto"/>
        <w:ind w:right="2648" w:firstLine="629"/>
      </w:pPr>
      <w:r>
        <w:rPr>
          <w:b/>
          <w:color w:val="0D0D0D"/>
        </w:rPr>
        <w:t>解析:</w:t>
      </w:r>
      <w:r>
        <w:rPr>
          <w:color w:val="0D0D0D"/>
        </w:rPr>
        <w:t>标准离差率＝</w:t>
      </w:r>
      <w:r>
        <w:rPr>
          <w:color w:val="0D0D0D"/>
          <w:spacing w:val="-1"/>
        </w:rPr>
        <w:t>标准离差÷期望值，对于期望值不同的方案，应该通过“标准离差</w:t>
      </w:r>
      <w:r>
        <w:rPr>
          <w:color w:val="0D0D0D"/>
          <w:spacing w:val="-24"/>
        </w:rPr>
        <w:t>率”比较风险的大小，标准离差率越大，风险越大，本题中甲项目的标准离差率</w:t>
      </w:r>
      <w:r>
        <w:rPr>
          <w:color w:val="0D0D0D"/>
          <w:spacing w:val="-4"/>
        </w:rPr>
        <w:t>＝40％÷20％</w:t>
      </w:r>
    </w:p>
    <w:p>
      <w:pPr>
        <w:pStyle w:val="BodyText"/>
        <w:spacing w:before="7" w:line="247" w:lineRule="auto"/>
        <w:ind w:right="2680"/>
      </w:pPr>
      <w:r>
        <w:rPr>
          <w:color w:val="0D0D0D"/>
        </w:rPr>
        <w:t>＝2，乙项目标准离差率＝54％÷30％＝1.8 小于甲项目的标准离差率，所以，A 是答案。4、王某拟存入一笔资金准备3 年后使用，假设该笔存款的年利率为4%，王某在3 年后需使用 39200 元，则在单利计息情况下，现在应存入（ ）元资金。</w:t>
      </w:r>
    </w:p>
    <w:p>
      <w:pPr>
        <w:pStyle w:val="BodyText"/>
        <w:tabs>
          <w:tab w:val="left" w:pos="6647"/>
          <w:tab w:val="left" w:pos="9790"/>
          <w:tab w:val="left" w:pos="12468"/>
        </w:tabs>
        <w:spacing w:line="394" w:lineRule="exact"/>
        <w:ind w:left="3334"/>
      </w:pPr>
      <w:r>
        <w:rPr>
          <w:color w:val="0D0D0D"/>
          <w:spacing w:val="-4"/>
        </w:rPr>
        <w:t>A</w:t>
      </w:r>
      <w:r>
        <w:rPr>
          <w:color w:val="0D0D0D"/>
        </w:rPr>
        <w:t>、34002.15</w:t>
        <w:tab/>
      </w:r>
      <w:r>
        <w:rPr>
          <w:color w:val="0D0D0D"/>
          <w:spacing w:val="-8"/>
        </w:rPr>
        <w:t>B</w:t>
      </w:r>
      <w:r>
        <w:rPr>
          <w:color w:val="0D0D0D"/>
        </w:rPr>
        <w:t>、10801.44</w:t>
        <w:tab/>
      </w:r>
      <w:r>
        <w:rPr>
          <w:color w:val="0D0D0D"/>
          <w:spacing w:val="-4"/>
        </w:rPr>
        <w:t>C</w:t>
      </w:r>
      <w:r>
        <w:rPr>
          <w:color w:val="0D0D0D"/>
        </w:rPr>
        <w:t>、35000</w:t>
        <w:tab/>
      </w:r>
      <w:r>
        <w:rPr>
          <w:color w:val="0D0D0D"/>
          <w:spacing w:val="-4"/>
        </w:rPr>
        <w:t>D</w:t>
      </w:r>
      <w:r>
        <w:rPr>
          <w:color w:val="0D0D0D"/>
        </w:rPr>
        <w:t>、42924.53</w:t>
      </w:r>
    </w:p>
    <w:p>
      <w:pPr>
        <w:spacing w:before="13"/>
        <w:ind w:left="3330" w:right="0" w:firstLine="0"/>
        <w:jc w:val="left"/>
        <w:rPr>
          <w:sz w:val="31"/>
        </w:rPr>
      </w:pPr>
      <w:r>
        <w:rPr>
          <w:b/>
          <w:color w:val="0D0D0D"/>
          <w:sz w:val="31"/>
        </w:rPr>
        <w:t>答案:</w:t>
      </w:r>
      <w:r>
        <w:rPr>
          <w:color w:val="0D0D0D"/>
          <w:sz w:val="31"/>
        </w:rPr>
        <w:t>C</w:t>
      </w:r>
    </w:p>
    <w:p>
      <w:pPr>
        <w:pStyle w:val="BodyText"/>
        <w:spacing w:before="9"/>
        <w:ind w:left="3330"/>
      </w:pPr>
      <w:r>
        <w:rPr>
          <w:b/>
          <w:color w:val="0D0D0D"/>
        </w:rPr>
        <w:t>解析:</w:t>
      </w:r>
      <w:r>
        <w:rPr>
          <w:color w:val="0D0D0D"/>
        </w:rPr>
        <w:t>39200/（1+4％×3）＝35000（元）</w:t>
      </w:r>
    </w:p>
    <w:p>
      <w:pPr>
        <w:pStyle w:val="BodyText"/>
        <w:spacing w:before="10"/>
      </w:pPr>
      <w:r>
        <w:rPr>
          <w:color w:val="0D0D0D"/>
        </w:rPr>
        <w:t>5、在 10％利率下，一至五年期的复利现值系数分别为0.9091、0.8264、0.7513、0.6830、</w:t>
      </w:r>
    </w:p>
    <w:p>
      <w:pPr>
        <w:pStyle w:val="BodyText"/>
        <w:spacing w:before="13"/>
      </w:pPr>
      <w:r>
        <w:rPr>
          <w:color w:val="0D0D0D"/>
        </w:rPr>
        <w:t>0.6209，则五年期的普通年金现值系数为（ ）</w:t>
      </w:r>
    </w:p>
    <w:p>
      <w:pPr>
        <w:pStyle w:val="BodyText"/>
        <w:tabs>
          <w:tab w:val="left" w:pos="6168"/>
          <w:tab w:val="left" w:pos="9159"/>
          <w:tab w:val="left" w:pos="11997"/>
        </w:tabs>
        <w:spacing w:before="10"/>
        <w:ind w:left="3334"/>
      </w:pPr>
      <w:r>
        <w:rPr>
          <w:color w:val="0D0D0D"/>
          <w:spacing w:val="-4"/>
        </w:rPr>
        <w:t>A</w:t>
      </w:r>
      <w:r>
        <w:rPr>
          <w:color w:val="0D0D0D"/>
        </w:rPr>
        <w:t>、2.5998</w:t>
        <w:tab/>
      </w:r>
      <w:r>
        <w:rPr>
          <w:color w:val="0D0D0D"/>
          <w:spacing w:val="-4"/>
        </w:rPr>
        <w:t>B</w:t>
      </w:r>
      <w:r>
        <w:rPr>
          <w:color w:val="0D0D0D"/>
        </w:rPr>
        <w:t>、3.7907</w:t>
        <w:tab/>
        <w:t>C、5.2298</w:t>
        <w:tab/>
      </w:r>
      <w:r>
        <w:rPr>
          <w:color w:val="0D0D0D"/>
          <w:spacing w:val="-4"/>
        </w:rPr>
        <w:t>D</w:t>
      </w:r>
      <w:r>
        <w:rPr>
          <w:color w:val="0D0D0D"/>
        </w:rPr>
        <w:t>、4.1694</w:t>
      </w:r>
    </w:p>
    <w:p>
      <w:pPr>
        <w:spacing w:before="13"/>
        <w:ind w:left="3330" w:right="0" w:firstLine="0"/>
        <w:jc w:val="left"/>
        <w:rPr>
          <w:sz w:val="31"/>
        </w:rPr>
      </w:pPr>
      <w:r>
        <w:rPr>
          <w:b/>
          <w:color w:val="0D0D0D"/>
          <w:sz w:val="31"/>
        </w:rPr>
        <w:t>答案:</w:t>
      </w:r>
      <w:r>
        <w:rPr>
          <w:color w:val="0D0D0D"/>
          <w:sz w:val="31"/>
        </w:rPr>
        <w:t>B</w:t>
      </w:r>
    </w:p>
    <w:p>
      <w:pPr>
        <w:pStyle w:val="BodyText"/>
        <w:spacing w:before="10" w:line="247" w:lineRule="auto"/>
        <w:ind w:right="2648" w:firstLine="629"/>
      </w:pPr>
      <w:r>
        <w:rPr>
          <w:b/>
          <w:color w:val="0D0D0D"/>
        </w:rPr>
        <w:t>解析:</w:t>
      </w:r>
      <w:r>
        <w:rPr>
          <w:color w:val="0D0D0D"/>
        </w:rPr>
        <w:t>普通年金现值＝一定时期内每期期末等额收付款项的复利现值之和，故五年期的普通年金现值系数＝0.9091+0.8264+0.7513+0.6830+0.6209＝3.7907</w:t>
      </w:r>
    </w:p>
    <w:p>
      <w:pPr>
        <w:pStyle w:val="BodyText"/>
        <w:spacing w:line="397" w:lineRule="exact"/>
      </w:pPr>
      <w:r>
        <w:rPr>
          <w:color w:val="0D0D0D"/>
        </w:rPr>
        <w:t>6、下列表述中，不正确的有（ ）</w:t>
      </w:r>
    </w:p>
    <w:p>
      <w:pPr>
        <w:pStyle w:val="BodyText"/>
        <w:tabs>
          <w:tab w:val="left" w:pos="10582"/>
        </w:tabs>
        <w:spacing w:before="13" w:line="244" w:lineRule="auto"/>
        <w:ind w:right="2688" w:firstLine="633"/>
      </w:pPr>
      <w:r>
        <w:rPr>
          <w:color w:val="0D0D0D"/>
          <w:spacing w:val="-4"/>
        </w:rPr>
        <w:t>A</w:t>
      </w:r>
      <w:r>
        <w:rPr>
          <w:color w:val="0D0D0D"/>
        </w:rPr>
        <w:t>、复利终值系数和复利现值系数互为倒数</w:t>
        <w:tab/>
      </w:r>
      <w:r>
        <w:rPr>
          <w:color w:val="0D0D0D"/>
          <w:spacing w:val="-8"/>
        </w:rPr>
        <w:t>B</w:t>
      </w:r>
      <w:r>
        <w:rPr>
          <w:color w:val="0D0D0D"/>
        </w:rPr>
        <w:t>、普通年金终值系数和普通年</w:t>
      </w:r>
      <w:r>
        <w:rPr>
          <w:color w:val="0D0D0D"/>
          <w:spacing w:val="-17"/>
        </w:rPr>
        <w:t>金</w:t>
      </w:r>
      <w:r>
        <w:rPr>
          <w:color w:val="0D0D0D"/>
        </w:rPr>
        <w:t>现值系数互为倒数</w:t>
      </w:r>
    </w:p>
    <w:p>
      <w:pPr>
        <w:pStyle w:val="BodyText"/>
        <w:tabs>
          <w:tab w:val="left" w:pos="10985"/>
        </w:tabs>
        <w:spacing w:before="7" w:line="244" w:lineRule="auto"/>
        <w:ind w:right="2670" w:firstLine="633"/>
      </w:pPr>
      <w:r>
        <w:rPr>
          <w:color w:val="0D0D0D"/>
        </w:rPr>
        <w:t>C</w:t>
      </w:r>
      <w:r>
        <w:rPr>
          <w:color w:val="0D0D0D"/>
          <w:spacing w:val="-76"/>
        </w:rPr>
        <w:t>、</w:t>
      </w:r>
      <w:r>
        <w:rPr>
          <w:color w:val="0D0D0D"/>
        </w:rPr>
        <w:t>普通年金终值系数和偿债基金系数互为倒数</w:t>
        <w:tab/>
        <w:t>D</w:t>
      </w:r>
      <w:r>
        <w:rPr>
          <w:color w:val="0D0D0D"/>
          <w:spacing w:val="-76"/>
        </w:rPr>
        <w:t>、</w:t>
      </w:r>
      <w:r>
        <w:rPr>
          <w:color w:val="0D0D0D"/>
        </w:rPr>
        <w:t>普通年金现值系数和资本</w:t>
      </w:r>
      <w:r>
        <w:rPr>
          <w:color w:val="0D0D0D"/>
          <w:spacing w:val="-17"/>
        </w:rPr>
        <w:t>回</w:t>
      </w:r>
      <w:r>
        <w:rPr>
          <w:color w:val="0D0D0D"/>
        </w:rPr>
        <w:t>收系数互为倒数</w:t>
      </w:r>
    </w:p>
    <w:p>
      <w:pPr>
        <w:spacing w:before="7" w:line="244" w:lineRule="auto"/>
        <w:ind w:left="3013" w:right="13574" w:firstLine="316"/>
        <w:jc w:val="left"/>
        <w:rPr>
          <w:b/>
          <w:sz w:val="31"/>
        </w:rPr>
      </w:pPr>
      <w:r>
        <w:drawing>
          <wp:anchor distT="0" distB="0" distL="0" distR="0" simplePos="0" relativeHeight="251658240" behindDoc="0" locked="0" layoutInCell="1" allowOverlap="1">
            <wp:simplePos x="0" y="0"/>
            <wp:positionH relativeFrom="page">
              <wp:posOffset>2126830</wp:posOffset>
            </wp:positionH>
            <wp:positionV relativeFrom="paragraph">
              <wp:posOffset>537094</wp:posOffset>
            </wp:positionV>
            <wp:extent cx="7655149" cy="16342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8" cstate="print"/>
                    <a:stretch>
                      <a:fillRect/>
                    </a:stretch>
                  </pic:blipFill>
                  <pic:spPr>
                    <a:xfrm>
                      <a:off x="0" y="0"/>
                      <a:ext cx="7655149" cy="1634204"/>
                    </a:xfrm>
                    <a:prstGeom prst="rect">
                      <a:avLst/>
                    </a:prstGeom>
                  </pic:spPr>
                </pic:pic>
              </a:graphicData>
            </a:graphic>
          </wp:anchor>
        </w:drawing>
      </w:r>
      <w:r>
        <w:rPr>
          <w:b/>
          <w:color w:val="0D0D0D"/>
          <w:sz w:val="31"/>
        </w:rPr>
        <w:t>答案:</w:t>
      </w:r>
      <w:r>
        <w:rPr>
          <w:color w:val="0D0D0D"/>
          <w:sz w:val="31"/>
        </w:rPr>
        <w:t xml:space="preserve">B </w:t>
      </w:r>
      <w:r>
        <w:rPr>
          <w:b/>
          <w:color w:val="0D0D0D"/>
          <w:sz w:val="31"/>
        </w:rPr>
        <w:t>解析</w:t>
      </w:r>
    </w:p>
    <w:p>
      <w:pPr>
        <w:pStyle w:val="BodyText"/>
        <w:ind w:left="0"/>
        <w:rPr>
          <w:b/>
          <w:sz w:val="32"/>
        </w:rPr>
      </w:pPr>
    </w:p>
    <w:p>
      <w:pPr>
        <w:pStyle w:val="BodyText"/>
        <w:spacing w:before="5"/>
        <w:ind w:left="0"/>
        <w:rPr>
          <w:b/>
          <w:sz w:val="34"/>
        </w:rPr>
      </w:pPr>
    </w:p>
    <w:p>
      <w:pPr>
        <w:pStyle w:val="BodyText"/>
        <w:spacing w:line="244" w:lineRule="auto"/>
        <w:ind w:left="3334" w:right="8979" w:hanging="634"/>
      </w:pPr>
      <w:r>
        <w:rPr>
          <w:color w:val="0D0D0D"/>
        </w:rPr>
        <w:t>7、关于风险报酬，下列表述不正确的有</w:t>
      </w:r>
      <w:r>
        <w:rPr>
          <w:color w:val="0D0D0D"/>
          <w:spacing w:val="-9"/>
        </w:rPr>
        <w:t xml:space="preserve">（） </w:t>
      </w:r>
      <w:r>
        <w:rPr>
          <w:color w:val="0D0D0D"/>
          <w:spacing w:val="-4"/>
        </w:rPr>
        <w:t>A</w:t>
      </w:r>
      <w:r>
        <w:rPr>
          <w:color w:val="0D0D0D"/>
        </w:rPr>
        <w:t>、高收益往往伴有高风险</w:t>
      </w:r>
    </w:p>
    <w:p>
      <w:pPr>
        <w:pStyle w:val="BodyText"/>
        <w:spacing w:before="7"/>
        <w:ind w:left="3334"/>
      </w:pPr>
      <w:r>
        <w:rPr>
          <w:color w:val="0D0D0D"/>
        </w:rPr>
        <w:t>B、风险越小，获得的风险报酬越大</w:t>
      </w:r>
    </w:p>
    <w:p>
      <w:pPr>
        <w:pStyle w:val="BodyText"/>
        <w:spacing w:before="9"/>
        <w:ind w:left="3334"/>
      </w:pPr>
      <w:r>
        <w:rPr>
          <w:color w:val="0D0D0D"/>
        </w:rPr>
        <w:t>C、在不考虑通货膨胀的情况下，资金时间价值＝无风险收益率</w:t>
      </w:r>
    </w:p>
    <w:p>
      <w:pPr>
        <w:pStyle w:val="BodyText"/>
        <w:spacing w:before="10" w:line="247" w:lineRule="auto"/>
        <w:ind w:right="2648" w:firstLine="633"/>
      </w:pPr>
      <w:r>
        <w:rPr>
          <w:color w:val="0D0D0D"/>
          <w:spacing w:val="-4"/>
        </w:rPr>
        <w:t>D</w:t>
      </w:r>
      <w:r>
        <w:rPr>
          <w:color w:val="0D0D0D"/>
          <w:spacing w:val="-1"/>
        </w:rPr>
        <w:t>、风险收益率是指投资者因冒风险进行投资而要求的，超过资金时间价值的那部分额</w:t>
      </w:r>
      <w:r>
        <w:rPr>
          <w:color w:val="0D0D0D"/>
        </w:rPr>
        <w:t>外收益率。</w:t>
      </w:r>
    </w:p>
    <w:p>
      <w:pPr>
        <w:spacing w:before="0" w:line="396" w:lineRule="exact"/>
        <w:ind w:left="3330" w:right="0" w:firstLine="0"/>
        <w:jc w:val="left"/>
        <w:rPr>
          <w:sz w:val="31"/>
        </w:rPr>
      </w:pPr>
      <w:r>
        <w:rPr>
          <w:b/>
          <w:color w:val="0D0D0D"/>
          <w:sz w:val="31"/>
        </w:rPr>
        <w:t>答案:</w:t>
      </w:r>
      <w:r>
        <w:rPr>
          <w:color w:val="0D0D0D"/>
          <w:sz w:val="31"/>
        </w:rPr>
        <w:t>B</w:t>
      </w:r>
    </w:p>
    <w:p>
      <w:pPr>
        <w:spacing w:after="0" w:line="396" w:lineRule="exact"/>
        <w:jc w:val="left"/>
        <w:rPr>
          <w:sz w:val="31"/>
        </w:rPr>
        <w:sectPr>
          <w:headerReference w:type="default" r:id="rId19"/>
          <w:footerReference w:type="default" r:id="rId20"/>
          <w:pgSz w:w="17860" w:h="25260"/>
          <w:pgMar w:top="1720" w:right="0" w:bottom="1940" w:left="0" w:header="1129" w:footer="1752"/>
          <w:pgNumType w:start="8"/>
          <w:cols w:space="708"/>
        </w:sectPr>
      </w:pPr>
    </w:p>
    <w:p>
      <w:pPr>
        <w:pStyle w:val="BodyText"/>
        <w:spacing w:before="3"/>
        <w:ind w:left="0"/>
        <w:rPr>
          <w:sz w:val="8"/>
        </w:rPr>
      </w:pPr>
    </w:p>
    <w:p>
      <w:pPr>
        <w:pStyle w:val="BodyText"/>
        <w:spacing w:before="63" w:line="247" w:lineRule="auto"/>
        <w:ind w:right="2648" w:firstLine="629"/>
        <w:jc w:val="both"/>
      </w:pPr>
      <w:r>
        <w:rPr>
          <w:b/>
          <w:color w:val="0D0D0D"/>
        </w:rPr>
        <w:t>解析:</w:t>
      </w:r>
      <w:r>
        <w:rPr>
          <w:color w:val="0D0D0D"/>
          <w:spacing w:val="-1"/>
        </w:rPr>
        <w:t>本题的考点是风险报酬的含义及风险与报酬的关系，高收益往往伴有高风险。风</w:t>
      </w:r>
      <w:r>
        <w:rPr>
          <w:color w:val="0D0D0D"/>
          <w:spacing w:val="-8"/>
        </w:rPr>
        <w:t>险收益率是指投资因冒风险进行投资而要求的，超过资金时间价值的那部分额外收益率，其 数值是风险报酬与原投资额的比率。</w:t>
      </w:r>
    </w:p>
    <w:p>
      <w:pPr>
        <w:pStyle w:val="BodyText"/>
        <w:spacing w:line="394" w:lineRule="exact"/>
        <w:jc w:val="both"/>
      </w:pPr>
      <w:r>
        <w:rPr>
          <w:color w:val="0D0D0D"/>
        </w:rPr>
        <w:t>8、下列各项中不属于经营风险的有（ ）</w:t>
      </w:r>
    </w:p>
    <w:p>
      <w:pPr>
        <w:pStyle w:val="BodyText"/>
        <w:tabs>
          <w:tab w:val="left" w:pos="6801"/>
          <w:tab w:val="left" w:pos="10269"/>
          <w:tab w:val="left" w:pos="14050"/>
        </w:tabs>
        <w:spacing w:before="13" w:line="244" w:lineRule="auto"/>
        <w:ind w:right="2702" w:firstLine="633"/>
      </w:pPr>
      <w:r>
        <w:rPr>
          <w:color w:val="0D0D0D"/>
          <w:spacing w:val="-4"/>
        </w:rPr>
        <w:t>A</w:t>
      </w:r>
      <w:r>
        <w:rPr>
          <w:color w:val="0D0D0D"/>
        </w:rPr>
        <w:t>、原料价格变动</w:t>
        <w:tab/>
      </w:r>
      <w:r>
        <w:rPr>
          <w:color w:val="0D0D0D"/>
          <w:spacing w:val="-4"/>
        </w:rPr>
        <w:t>B</w:t>
      </w:r>
      <w:r>
        <w:rPr>
          <w:color w:val="0D0D0D"/>
        </w:rPr>
        <w:t>、销售决策失误</w:t>
        <w:tab/>
      </w:r>
      <w:r>
        <w:rPr>
          <w:color w:val="0D0D0D"/>
          <w:spacing w:val="-4"/>
        </w:rPr>
        <w:t>C</w:t>
      </w:r>
      <w:r>
        <w:rPr>
          <w:color w:val="0D0D0D"/>
        </w:rPr>
        <w:t>、生产质量不合格</w:t>
        <w:tab/>
      </w:r>
      <w:r>
        <w:rPr>
          <w:color w:val="0D0D0D"/>
          <w:spacing w:val="-4"/>
        </w:rPr>
        <w:t>D</w:t>
      </w:r>
      <w:r>
        <w:rPr>
          <w:color w:val="0D0D0D"/>
        </w:rPr>
        <w:t>、发</w:t>
      </w:r>
      <w:r>
        <w:rPr>
          <w:color w:val="0D0D0D"/>
          <w:spacing w:val="-18"/>
        </w:rPr>
        <w:t>生</w:t>
      </w:r>
      <w:r>
        <w:rPr>
          <w:color w:val="0D0D0D"/>
        </w:rPr>
        <w:t>通货膨胀</w:t>
      </w:r>
    </w:p>
    <w:p>
      <w:pPr>
        <w:spacing w:before="7"/>
        <w:ind w:left="3330" w:right="0" w:firstLine="0"/>
        <w:jc w:val="left"/>
        <w:rPr>
          <w:sz w:val="31"/>
        </w:rPr>
      </w:pPr>
      <w:r>
        <w:rPr>
          <w:b/>
          <w:color w:val="0D0D0D"/>
          <w:sz w:val="31"/>
        </w:rPr>
        <w:t>答案:</w:t>
      </w:r>
      <w:r>
        <w:rPr>
          <w:color w:val="0D0D0D"/>
          <w:sz w:val="31"/>
        </w:rPr>
        <w:t>D</w:t>
      </w:r>
    </w:p>
    <w:p>
      <w:pPr>
        <w:pStyle w:val="BodyText"/>
        <w:spacing w:before="9" w:line="247" w:lineRule="auto"/>
        <w:ind w:right="2593" w:firstLine="629"/>
        <w:jc w:val="both"/>
      </w:pPr>
      <w:r>
        <w:rPr>
          <w:b/>
          <w:color w:val="0D0D0D"/>
        </w:rPr>
        <w:t>解析:</w:t>
      </w:r>
      <w:r>
        <w:rPr>
          <w:color w:val="0D0D0D"/>
        </w:rPr>
        <w:t>经营风险是指因生产经营方面的原因给企业盈利带来的不确定性。比如：由于原</w:t>
      </w:r>
      <w:r>
        <w:rPr>
          <w:color w:val="0D0D0D"/>
          <w:spacing w:val="-6"/>
        </w:rPr>
        <w:t>材料供应地的政治经济情况变动，运输路线改变，原材料价格变动，新材料、新设备的出现</w:t>
      </w:r>
      <w:r>
        <w:rPr>
          <w:color w:val="0D0D0D"/>
          <w:spacing w:val="-10"/>
        </w:rPr>
        <w:t xml:space="preserve">等因素带来的供应方面的风险；由于产品生产方向不对头，产品更新时期掌握不好，生产组 </w:t>
      </w:r>
      <w:r>
        <w:rPr>
          <w:color w:val="0D0D0D"/>
          <w:spacing w:val="-18"/>
        </w:rPr>
        <w:t>织不合理等因素带来的生产方面的风险；由于出现新的竞争对手，消费者爱好发生变化，销 售决策失误，产品广告推销不力以及货款回收不及时等因素带来的销售方面的风险。</w:t>
      </w:r>
    </w:p>
    <w:p>
      <w:pPr>
        <w:pStyle w:val="BodyText"/>
        <w:spacing w:line="244" w:lineRule="auto"/>
        <w:ind w:right="2777"/>
        <w:jc w:val="both"/>
      </w:pPr>
      <w:r>
        <w:rPr>
          <w:color w:val="0D0D0D"/>
        </w:rPr>
        <w:t>9、A</w:t>
      </w:r>
      <w:r>
        <w:rPr>
          <w:color w:val="0D0D0D"/>
          <w:spacing w:val="-12"/>
        </w:rPr>
        <w:t xml:space="preserve"> 公司于第一年初借款 </w:t>
      </w:r>
      <w:r>
        <w:rPr>
          <w:color w:val="0D0D0D"/>
        </w:rPr>
        <w:t>40000</w:t>
      </w:r>
      <w:r>
        <w:rPr>
          <w:color w:val="0D0D0D"/>
          <w:spacing w:val="-12"/>
        </w:rPr>
        <w:t xml:space="preserve"> 元，每年年末还本付息额均为 </w:t>
      </w:r>
      <w:r>
        <w:rPr>
          <w:color w:val="0D0D0D"/>
        </w:rPr>
        <w:t>10000</w:t>
      </w:r>
      <w:r>
        <w:rPr>
          <w:color w:val="0D0D0D"/>
          <w:spacing w:val="-16"/>
        </w:rPr>
        <w:t xml:space="preserve"> 元，连续 </w:t>
      </w:r>
      <w:r>
        <w:rPr>
          <w:color w:val="0D0D0D"/>
        </w:rPr>
        <w:t>5</w:t>
      </w:r>
      <w:r>
        <w:rPr>
          <w:color w:val="0D0D0D"/>
          <w:spacing w:val="-11"/>
        </w:rPr>
        <w:t xml:space="preserve"> 年还清， </w:t>
      </w:r>
      <w:r>
        <w:rPr>
          <w:color w:val="0D0D0D"/>
        </w:rPr>
        <w:t>则该项借款利率为（ ）</w:t>
      </w:r>
    </w:p>
    <w:p>
      <w:pPr>
        <w:pStyle w:val="BodyText"/>
        <w:tabs>
          <w:tab w:val="left" w:pos="6639"/>
          <w:tab w:val="left" w:pos="11842"/>
        </w:tabs>
        <w:spacing w:before="8" w:line="244" w:lineRule="auto"/>
        <w:ind w:left="3330" w:right="4596" w:firstLine="3"/>
        <w:jc w:val="both"/>
      </w:pPr>
      <w:r>
        <w:rPr>
          <w:color w:val="0D0D0D"/>
          <w:spacing w:val="-4"/>
        </w:rPr>
        <w:t>A</w:t>
      </w:r>
      <w:r>
        <w:rPr>
          <w:color w:val="0D0D0D"/>
        </w:rPr>
        <w:t>、7.93％</w:t>
        <w:tab/>
        <w:t xml:space="preserve">B 、 7％      </w:t>
      </w:r>
      <w:r>
        <w:rPr>
          <w:color w:val="0D0D0D"/>
          <w:spacing w:val="52"/>
        </w:rPr>
        <w:t xml:space="preserve"> </w:t>
      </w:r>
      <w:r>
        <w:rPr>
          <w:color w:val="0D0D0D"/>
        </w:rPr>
        <w:t>C 、8％</w:t>
        <w:tab/>
      </w:r>
      <w:r>
        <w:rPr>
          <w:color w:val="0D0D0D"/>
          <w:spacing w:val="-4"/>
        </w:rPr>
        <w:t>D</w:t>
      </w:r>
      <w:r>
        <w:rPr>
          <w:color w:val="0D0D0D"/>
        </w:rPr>
        <w:t>、</w:t>
      </w:r>
      <w:r>
        <w:rPr>
          <w:color w:val="0D0D0D"/>
          <w:spacing w:val="-5"/>
        </w:rPr>
        <w:t xml:space="preserve">8.05％ </w:t>
      </w:r>
      <w:r>
        <w:rPr>
          <w:b/>
          <w:color w:val="0D0D0D"/>
        </w:rPr>
        <w:t>答案:</w:t>
      </w:r>
      <w:r>
        <w:rPr>
          <w:color w:val="0D0D0D"/>
        </w:rPr>
        <w:t>A</w:t>
      </w:r>
    </w:p>
    <w:p>
      <w:pPr>
        <w:pStyle w:val="BodyText"/>
        <w:spacing w:before="7" w:line="247" w:lineRule="auto"/>
        <w:ind w:right="2684" w:firstLine="629"/>
      </w:pPr>
      <w:r>
        <w:drawing>
          <wp:anchor distT="0" distB="0" distL="0" distR="0" simplePos="0" relativeHeight="251659264" behindDoc="0" locked="0" layoutInCell="1" allowOverlap="1">
            <wp:simplePos x="0" y="0"/>
            <wp:positionH relativeFrom="page">
              <wp:posOffset>1800062</wp:posOffset>
            </wp:positionH>
            <wp:positionV relativeFrom="paragraph">
              <wp:posOffset>1076339</wp:posOffset>
            </wp:positionV>
            <wp:extent cx="7887220" cy="5286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1" cstate="print"/>
                    <a:stretch>
                      <a:fillRect/>
                    </a:stretch>
                  </pic:blipFill>
                  <pic:spPr>
                    <a:xfrm>
                      <a:off x="0" y="0"/>
                      <a:ext cx="7887220" cy="528637"/>
                    </a:xfrm>
                    <a:prstGeom prst="rect">
                      <a:avLst/>
                    </a:prstGeom>
                  </pic:spPr>
                </pic:pic>
              </a:graphicData>
            </a:graphic>
          </wp:anchor>
        </w:drawing>
      </w:r>
      <w:r>
        <w:rPr>
          <w:b/>
          <w:color w:val="0D0D0D"/>
        </w:rPr>
        <w:t>解析:</w:t>
      </w:r>
      <w:r>
        <w:rPr>
          <w:color w:val="0D0D0D"/>
        </w:rPr>
        <w:t>据题意，已知P=40000，A＝10000，n=5,则（P/A,i,5）=P/A=40000/10000=4。查n=5 的普通年金现值系数表，在n=5 一行上无法找到“4”这个数据，只能找到大于 4 和小于 4 的临界系数值，分别为β1＝4.1002&gt;4,β2=3.9927&lt;4,同时找出临界利率为i1=7%,i2=8%；所以有：</w:t>
      </w:r>
    </w:p>
    <w:p>
      <w:pPr>
        <w:pStyle w:val="BodyText"/>
        <w:spacing w:before="8"/>
        <w:ind w:left="0"/>
        <w:rPr>
          <w:sz w:val="35"/>
        </w:rPr>
      </w:pPr>
    </w:p>
    <w:p>
      <w:pPr>
        <w:pStyle w:val="BodyText"/>
      </w:pPr>
      <w:r>
        <w:rPr>
          <w:color w:val="0D0D0D"/>
        </w:rPr>
        <w:t>10、已知(P/F,8%,5)=0.6806 (F/P,8%,5)=1.4693 (P/A,8%,5)=3.9927 (F/A,8%,5)=5.8666</w:t>
      </w:r>
    </w:p>
    <w:p>
      <w:pPr>
        <w:pStyle w:val="BodyText"/>
        <w:spacing w:before="13"/>
      </w:pPr>
      <w:r>
        <w:rPr>
          <w:color w:val="0D0D0D"/>
        </w:rPr>
        <w:t>则 I=8%,n=5 时的资本回收系数为( )。</w:t>
      </w:r>
    </w:p>
    <w:p>
      <w:pPr>
        <w:pStyle w:val="BodyText"/>
        <w:tabs>
          <w:tab w:val="left" w:pos="6013"/>
          <w:tab w:val="left" w:pos="8695"/>
          <w:tab w:val="left" w:pos="11997"/>
        </w:tabs>
        <w:spacing w:before="10"/>
        <w:ind w:left="3334"/>
      </w:pPr>
      <w:r>
        <w:rPr>
          <w:color w:val="0D0D0D"/>
          <w:spacing w:val="-4"/>
        </w:rPr>
        <w:t>A</w:t>
      </w:r>
      <w:r>
        <w:rPr>
          <w:color w:val="0D0D0D"/>
        </w:rPr>
        <w:t>、1.4693</w:t>
        <w:tab/>
      </w:r>
      <w:r>
        <w:rPr>
          <w:color w:val="0D0D0D"/>
          <w:spacing w:val="-4"/>
        </w:rPr>
        <w:t>B</w:t>
      </w:r>
      <w:r>
        <w:rPr>
          <w:color w:val="0D0D0D"/>
        </w:rPr>
        <w:t>、0.6806</w:t>
        <w:tab/>
      </w:r>
      <w:r>
        <w:rPr>
          <w:color w:val="0D0D0D"/>
          <w:spacing w:val="-8"/>
        </w:rPr>
        <w:t>C</w:t>
      </w:r>
      <w:r>
        <w:rPr>
          <w:color w:val="0D0D0D"/>
        </w:rPr>
        <w:t>、0.2505</w:t>
        <w:tab/>
        <w:t>D、0.1705</w:t>
      </w:r>
    </w:p>
    <w:p>
      <w:pPr>
        <w:spacing w:before="13"/>
        <w:ind w:left="3330" w:right="0" w:firstLine="0"/>
        <w:jc w:val="left"/>
        <w:rPr>
          <w:sz w:val="31"/>
        </w:rPr>
      </w:pPr>
      <w:r>
        <w:rPr>
          <w:b/>
          <w:color w:val="0D0D0D"/>
          <w:sz w:val="31"/>
        </w:rPr>
        <w:t>答案:</w:t>
      </w:r>
      <w:r>
        <w:rPr>
          <w:color w:val="0D0D0D"/>
          <w:sz w:val="31"/>
        </w:rPr>
        <w:t>C</w:t>
      </w:r>
    </w:p>
    <w:p>
      <w:pPr>
        <w:pStyle w:val="BodyText"/>
        <w:spacing w:before="10"/>
        <w:ind w:left="3330"/>
      </w:pPr>
      <w:r>
        <w:rPr>
          <w:b/>
          <w:color w:val="0D0D0D"/>
        </w:rPr>
        <w:t>解析:</w:t>
      </w:r>
      <w:r>
        <w:rPr>
          <w:color w:val="0D0D0D"/>
        </w:rPr>
        <w:t>资本回收系数与年金现值系数互为倒数，所以资本回收系数＝（1/3.992）＝</w:t>
      </w:r>
    </w:p>
    <w:p>
      <w:pPr>
        <w:pStyle w:val="BodyText"/>
        <w:spacing w:before="13"/>
      </w:pPr>
      <w:r>
        <w:rPr>
          <w:color w:val="0D0D0D"/>
        </w:rPr>
        <w:t>0.2505。</w:t>
      </w:r>
    </w:p>
    <w:p>
      <w:pPr>
        <w:pStyle w:val="BodyText"/>
        <w:spacing w:before="10" w:line="247" w:lineRule="auto"/>
        <w:ind w:right="2688"/>
      </w:pPr>
      <w:r>
        <w:rPr>
          <w:color w:val="0D0D0D"/>
        </w:rPr>
        <w:t>11、6</w:t>
      </w:r>
      <w:r>
        <w:rPr>
          <w:color w:val="0D0D0D"/>
          <w:spacing w:val="-7"/>
        </w:rPr>
        <w:t xml:space="preserve"> 年分期付款购物，每年年初付款 </w:t>
      </w:r>
      <w:r>
        <w:rPr>
          <w:color w:val="0D0D0D"/>
        </w:rPr>
        <w:t>500</w:t>
      </w:r>
      <w:r>
        <w:rPr>
          <w:color w:val="0D0D0D"/>
          <w:spacing w:val="-7"/>
        </w:rPr>
        <w:t xml:space="preserve"> 元，设银行利率为 </w:t>
      </w:r>
      <w:r>
        <w:rPr>
          <w:color w:val="0D0D0D"/>
        </w:rPr>
        <w:t>10</w:t>
      </w:r>
      <w:r>
        <w:rPr>
          <w:color w:val="0D0D0D"/>
          <w:spacing w:val="-2"/>
        </w:rPr>
        <w:t>%，该项分期付款相当于现</w:t>
      </w:r>
      <w:r>
        <w:rPr>
          <w:color w:val="0D0D0D"/>
        </w:rPr>
        <w:t>在一次现金支付的购价是（ ）元。</w:t>
      </w:r>
    </w:p>
    <w:p>
      <w:pPr>
        <w:pStyle w:val="BodyText"/>
        <w:tabs>
          <w:tab w:val="left" w:pos="6013"/>
          <w:tab w:val="left" w:pos="8850"/>
          <w:tab w:val="left" w:pos="11997"/>
        </w:tabs>
        <w:spacing w:line="396" w:lineRule="exact"/>
        <w:ind w:left="3334"/>
      </w:pPr>
      <w:r>
        <w:rPr>
          <w:color w:val="0D0D0D"/>
          <w:spacing w:val="-4"/>
        </w:rPr>
        <w:t>A</w:t>
      </w:r>
      <w:r>
        <w:rPr>
          <w:color w:val="0D0D0D"/>
        </w:rPr>
        <w:t>、2395.40</w:t>
        <w:tab/>
      </w:r>
      <w:r>
        <w:rPr>
          <w:color w:val="0D0D0D"/>
          <w:spacing w:val="-4"/>
        </w:rPr>
        <w:t>B</w:t>
      </w:r>
      <w:r>
        <w:rPr>
          <w:color w:val="0D0D0D"/>
        </w:rPr>
        <w:t>、1895.50</w:t>
        <w:tab/>
      </w:r>
      <w:r>
        <w:rPr>
          <w:color w:val="0D0D0D"/>
          <w:spacing w:val="-4"/>
        </w:rPr>
        <w:t>C</w:t>
      </w:r>
      <w:r>
        <w:rPr>
          <w:color w:val="0D0D0D"/>
        </w:rPr>
        <w:t>、1934.50</w:t>
        <w:tab/>
        <w:t>D、2177.50</w:t>
      </w:r>
    </w:p>
    <w:p>
      <w:pPr>
        <w:spacing w:before="13"/>
        <w:ind w:left="3330" w:right="0" w:firstLine="0"/>
        <w:jc w:val="left"/>
        <w:rPr>
          <w:sz w:val="31"/>
        </w:rPr>
      </w:pPr>
      <w:r>
        <w:rPr>
          <w:b/>
          <w:color w:val="0D0D0D"/>
          <w:sz w:val="31"/>
        </w:rPr>
        <w:t>答案:</w:t>
      </w:r>
      <w:r>
        <w:rPr>
          <w:color w:val="0D0D0D"/>
          <w:sz w:val="31"/>
        </w:rPr>
        <w:t>A</w:t>
      </w:r>
    </w:p>
    <w:p>
      <w:pPr>
        <w:pStyle w:val="BodyText"/>
        <w:spacing w:before="10" w:line="247" w:lineRule="auto"/>
        <w:ind w:right="2687" w:firstLine="629"/>
      </w:pPr>
      <w:r>
        <w:rPr>
          <w:b/>
          <w:color w:val="0D0D0D"/>
        </w:rPr>
        <w:t>解析:</w:t>
      </w:r>
      <w:r>
        <w:rPr>
          <w:color w:val="0D0D0D"/>
          <w:spacing w:val="-2"/>
        </w:rPr>
        <w:t>根据预付年金现值=年金额×预付年金现值系数</w:t>
      </w:r>
      <w:r>
        <w:rPr>
          <w:color w:val="0D0D0D"/>
        </w:rPr>
        <w:t>（</w:t>
      </w:r>
      <w:r>
        <w:rPr>
          <w:color w:val="0D0D0D"/>
          <w:spacing w:val="3"/>
        </w:rPr>
        <w:t>普通年金现值系数表期数减</w:t>
      </w:r>
      <w:r>
        <w:rPr>
          <w:color w:val="0D0D0D"/>
        </w:rPr>
        <w:t xml:space="preserve">1  </w:t>
      </w:r>
      <w:r>
        <w:rPr>
          <w:color w:val="0D0D0D"/>
          <w:spacing w:val="4"/>
        </w:rPr>
        <w:t xml:space="preserve">系数加 </w:t>
      </w:r>
      <w:r>
        <w:rPr>
          <w:color w:val="0D0D0D"/>
          <w:spacing w:val="-7"/>
        </w:rPr>
        <w:t>1）=（1+i）×</w:t>
      </w:r>
      <w:r>
        <w:rPr>
          <w:color w:val="0D0D0D"/>
          <w:spacing w:val="-2"/>
        </w:rPr>
        <w:t>普通年金的现值求得，</w:t>
      </w:r>
      <w:r>
        <w:rPr>
          <w:color w:val="0D0D0D"/>
          <w:spacing w:val="-13"/>
        </w:rPr>
        <w:t>500</w:t>
      </w:r>
      <w:r>
        <w:rPr>
          <w:color w:val="0D0D0D"/>
          <w:spacing w:val="-101"/>
        </w:rPr>
        <w:t>×〔</w:t>
      </w:r>
      <w:r>
        <w:rPr>
          <w:color w:val="0D0D0D"/>
          <w:spacing w:val="-7"/>
        </w:rPr>
        <w:t>（P/A，10%，5）＋1</w:t>
      </w:r>
      <w:r>
        <w:rPr>
          <w:color w:val="0D0D0D"/>
        </w:rPr>
        <w:t>〕</w:t>
      </w:r>
      <w:r>
        <w:rPr>
          <w:color w:val="0D0D0D"/>
          <w:spacing w:val="-5"/>
        </w:rPr>
        <w:t>＝500×（3.7908</w:t>
      </w:r>
    </w:p>
    <w:p>
      <w:pPr>
        <w:pStyle w:val="BodyText"/>
        <w:spacing w:line="396" w:lineRule="exact"/>
      </w:pPr>
      <w:r>
        <w:rPr>
          <w:color w:val="0D0D0D"/>
        </w:rPr>
        <w:t>＋1）＝500×4.7908＝2395.4。</w:t>
      </w:r>
    </w:p>
    <w:p>
      <w:pPr>
        <w:pStyle w:val="BodyText"/>
        <w:spacing w:before="13"/>
      </w:pPr>
      <w:r>
        <w:rPr>
          <w:color w:val="0D0D0D"/>
        </w:rPr>
        <w:t xml:space="preserve">12、下列各项年金中，只有现值没有终值的年金是（ </w:t>
      </w:r>
      <w:r>
        <w:rPr>
          <w:color w:val="0D0D0D"/>
          <w:spacing w:val="-159"/>
        </w:rPr>
        <w:t>）</w:t>
      </w:r>
      <w:r>
        <w:rPr>
          <w:color w:val="0D0D0D"/>
        </w:rPr>
        <w:t>。</w:t>
      </w:r>
    </w:p>
    <w:p>
      <w:pPr>
        <w:pStyle w:val="BodyText"/>
        <w:tabs>
          <w:tab w:val="left" w:pos="6322"/>
          <w:tab w:val="left" w:pos="9318"/>
          <w:tab w:val="left" w:pos="12155"/>
        </w:tabs>
        <w:spacing w:before="9" w:line="244" w:lineRule="auto"/>
        <w:ind w:left="3330" w:right="3959" w:firstLine="3"/>
      </w:pPr>
      <w:r>
        <w:rPr>
          <w:color w:val="0D0D0D"/>
          <w:spacing w:val="-4"/>
        </w:rPr>
        <w:t>A</w:t>
      </w:r>
      <w:r>
        <w:rPr>
          <w:color w:val="0D0D0D"/>
        </w:rPr>
        <w:t>、普通年金</w:t>
        <w:tab/>
        <w:t>B、即付年金</w:t>
        <w:tab/>
        <w:t>C、永续年金</w:t>
        <w:tab/>
        <w:t>D、先付年</w:t>
      </w:r>
      <w:r>
        <w:rPr>
          <w:color w:val="0D0D0D"/>
          <w:spacing w:val="-17"/>
        </w:rPr>
        <w:t>金</w:t>
      </w:r>
      <w:r>
        <w:rPr>
          <w:b/>
          <w:color w:val="0D0D0D"/>
        </w:rPr>
        <w:t>答案:</w:t>
      </w:r>
      <w:r>
        <w:rPr>
          <w:color w:val="0D0D0D"/>
        </w:rPr>
        <w:t>C</w:t>
      </w:r>
    </w:p>
    <w:p>
      <w:pPr>
        <w:pStyle w:val="BodyText"/>
        <w:spacing w:before="7"/>
        <w:ind w:left="3330"/>
      </w:pPr>
      <w:r>
        <w:rPr>
          <w:b/>
          <w:color w:val="0D0D0D"/>
        </w:rPr>
        <w:t>解析:</w:t>
      </w:r>
      <w:r>
        <w:rPr>
          <w:color w:val="0D0D0D"/>
        </w:rPr>
        <w:t>永续年金的终值为无穷大，即没有终值。</w:t>
      </w:r>
    </w:p>
    <w:p>
      <w:pPr>
        <w:pStyle w:val="BodyText"/>
        <w:spacing w:before="11" w:line="247" w:lineRule="auto"/>
        <w:ind w:right="2760"/>
      </w:pPr>
      <w:r>
        <w:rPr>
          <w:color w:val="0D0D0D"/>
        </w:rPr>
        <w:t>13</w:t>
      </w:r>
      <w:r>
        <w:rPr>
          <w:color w:val="0D0D0D"/>
          <w:spacing w:val="-8"/>
        </w:rPr>
        <w:t xml:space="preserve">、一项 </w:t>
      </w:r>
      <w:r>
        <w:rPr>
          <w:color w:val="0D0D0D"/>
        </w:rPr>
        <w:t>500</w:t>
      </w:r>
      <w:r>
        <w:rPr>
          <w:color w:val="0D0D0D"/>
          <w:spacing w:val="-10"/>
        </w:rPr>
        <w:t xml:space="preserve"> 万元的借款，借款期 </w:t>
      </w:r>
      <w:r>
        <w:rPr>
          <w:color w:val="0D0D0D"/>
        </w:rPr>
        <w:t>5</w:t>
      </w:r>
      <w:r>
        <w:rPr>
          <w:color w:val="0D0D0D"/>
          <w:spacing w:val="-11"/>
        </w:rPr>
        <w:t xml:space="preserve"> 年，年利率为 </w:t>
      </w:r>
      <w:r>
        <w:rPr>
          <w:color w:val="0D0D0D"/>
        </w:rPr>
        <w:t>8%，</w:t>
      </w:r>
      <w:r>
        <w:rPr>
          <w:color w:val="0D0D0D"/>
          <w:spacing w:val="-1"/>
        </w:rPr>
        <w:t>若每半年复利一次，则年实际利率</w:t>
      </w:r>
      <w:r>
        <w:rPr>
          <w:color w:val="0D0D0D"/>
        </w:rPr>
        <w:t xml:space="preserve">会高出年名义利率（ </w:t>
      </w:r>
      <w:r>
        <w:rPr>
          <w:color w:val="0D0D0D"/>
          <w:spacing w:val="-159"/>
        </w:rPr>
        <w:t>）</w:t>
      </w:r>
      <w:r>
        <w:rPr>
          <w:color w:val="0D0D0D"/>
        </w:rPr>
        <w:t>。</w:t>
      </w:r>
    </w:p>
    <w:p>
      <w:pPr>
        <w:pStyle w:val="BodyText"/>
        <w:tabs>
          <w:tab w:val="left" w:pos="5855"/>
          <w:tab w:val="left" w:pos="9005"/>
          <w:tab w:val="left" w:pos="11997"/>
        </w:tabs>
        <w:spacing w:line="396" w:lineRule="exact"/>
        <w:ind w:left="3334"/>
      </w:pPr>
      <w:r>
        <w:rPr>
          <w:color w:val="0D0D0D"/>
          <w:spacing w:val="-4"/>
        </w:rPr>
        <w:t>A</w:t>
      </w:r>
      <w:r>
        <w:rPr>
          <w:color w:val="0D0D0D"/>
        </w:rPr>
        <w:t>、4%</w:t>
        <w:tab/>
      </w:r>
      <w:r>
        <w:rPr>
          <w:color w:val="0D0D0D"/>
          <w:spacing w:val="-4"/>
        </w:rPr>
        <w:t>B、</w:t>
      </w:r>
      <w:r>
        <w:rPr>
          <w:color w:val="0D0D0D"/>
        </w:rPr>
        <w:t>0.24%</w:t>
        <w:tab/>
      </w:r>
      <w:r>
        <w:rPr>
          <w:color w:val="0D0D0D"/>
          <w:spacing w:val="-4"/>
        </w:rPr>
        <w:t>C</w:t>
      </w:r>
      <w:r>
        <w:rPr>
          <w:color w:val="0D0D0D"/>
        </w:rPr>
        <w:t>、0.16%</w:t>
        <w:tab/>
      </w:r>
      <w:r>
        <w:rPr>
          <w:color w:val="0D0D0D"/>
          <w:spacing w:val="-4"/>
        </w:rPr>
        <w:t>D</w:t>
      </w:r>
      <w:r>
        <w:rPr>
          <w:color w:val="0D0D0D"/>
        </w:rPr>
        <w:t>、0.8%</w:t>
      </w:r>
    </w:p>
    <w:p>
      <w:pPr>
        <w:spacing w:before="13"/>
        <w:ind w:left="3330" w:right="0" w:firstLine="0"/>
        <w:jc w:val="left"/>
        <w:rPr>
          <w:sz w:val="31"/>
        </w:rPr>
      </w:pPr>
      <w:r>
        <w:rPr>
          <w:b/>
          <w:color w:val="0D0D0D"/>
          <w:sz w:val="31"/>
        </w:rPr>
        <w:t>答案:</w:t>
      </w:r>
      <w:r>
        <w:rPr>
          <w:color w:val="0D0D0D"/>
          <w:sz w:val="31"/>
        </w:rPr>
        <w:t>C</w:t>
      </w:r>
    </w:p>
    <w:p>
      <w:pPr>
        <w:pStyle w:val="BodyText"/>
        <w:spacing w:before="10"/>
        <w:ind w:left="3330"/>
      </w:pPr>
      <w:r>
        <w:rPr>
          <w:b/>
          <w:color w:val="0D0D0D"/>
        </w:rPr>
        <w:t>解析:</w:t>
      </w:r>
      <w:r>
        <w:rPr>
          <w:color w:val="0D0D0D"/>
        </w:rPr>
        <w:t>本题是一个已知名义利率，求实际利率的问题。实际利率高出名义利率的差额＝</w:t>
      </w:r>
    </w:p>
    <w:p>
      <w:pPr>
        <w:pStyle w:val="BodyText"/>
        <w:spacing w:before="13"/>
      </w:pPr>
      <w:r>
        <w:rPr>
          <w:color w:val="0D0D0D"/>
          <w:spacing w:val="-159"/>
        </w:rPr>
        <w:t>〔</w:t>
      </w:r>
      <w:r>
        <w:rPr>
          <w:color w:val="0D0D0D"/>
        </w:rPr>
        <w:t>（1+4％）2-1〕-8%＝0.16%。</w:t>
      </w:r>
    </w:p>
    <w:p>
      <w:pPr>
        <w:pStyle w:val="BodyText"/>
        <w:spacing w:before="9"/>
      </w:pPr>
      <w:r>
        <w:rPr>
          <w:color w:val="0D0D0D"/>
        </w:rPr>
        <w:t xml:space="preserve">14、关于标准离差与标准离差率，下列表述正确的是（ </w:t>
      </w:r>
      <w:r>
        <w:rPr>
          <w:color w:val="0D0D0D"/>
          <w:spacing w:val="-162"/>
        </w:rPr>
        <w:t>）</w:t>
      </w:r>
      <w:r>
        <w:rPr>
          <w:color w:val="0D0D0D"/>
        </w:rPr>
        <w:t>。</w:t>
      </w:r>
    </w:p>
    <w:p>
      <w:pPr>
        <w:pStyle w:val="BodyText"/>
        <w:spacing w:before="14" w:line="244" w:lineRule="auto"/>
        <w:ind w:left="3334" w:right="4864"/>
      </w:pPr>
      <w:r>
        <w:rPr>
          <w:color w:val="0D0D0D"/>
          <w:spacing w:val="-4"/>
        </w:rPr>
        <w:t>A</w:t>
      </w:r>
      <w:r>
        <w:rPr>
          <w:color w:val="0D0D0D"/>
          <w:spacing w:val="-1"/>
        </w:rPr>
        <w:t xml:space="preserve">、标准离差以绝对数衡量决策方案是风险，标准离差越大，风险越大 </w:t>
      </w:r>
      <w:r>
        <w:rPr>
          <w:color w:val="0D0D0D"/>
          <w:spacing w:val="-4"/>
        </w:rPr>
        <w:t>B</w:t>
      </w:r>
      <w:r>
        <w:rPr>
          <w:color w:val="0D0D0D"/>
        </w:rPr>
        <w:t>、标准离差率只适用于期望值相同的决策方案风险程度的比较</w:t>
      </w:r>
    </w:p>
    <w:p>
      <w:pPr>
        <w:pStyle w:val="BodyText"/>
        <w:spacing w:before="7"/>
        <w:ind w:left="3334"/>
      </w:pPr>
      <w:r>
        <w:rPr>
          <w:color w:val="0D0D0D"/>
        </w:rPr>
        <w:t>C、标准离差率是一个绝对数指标，它以绝对数反映决策方案的风险程度</w:t>
      </w:r>
    </w:p>
    <w:p>
      <w:pPr>
        <w:spacing w:after="0"/>
        <w:sectPr>
          <w:headerReference w:type="default" r:id="rId22"/>
          <w:footerReference w:type="default" r:id="rId23"/>
          <w:pgSz w:w="17860" w:h="25260"/>
          <w:pgMar w:top="1720" w:right="0" w:bottom="1940" w:left="0" w:header="1129" w:footer="1752"/>
          <w:pgNumType w:start="9"/>
          <w:cols w:space="708"/>
        </w:sectPr>
      </w:pPr>
    </w:p>
    <w:p>
      <w:pPr>
        <w:pStyle w:val="BodyText"/>
        <w:spacing w:before="3"/>
        <w:ind w:left="0"/>
        <w:rPr>
          <w:sz w:val="8"/>
        </w:rPr>
      </w:pPr>
    </w:p>
    <w:p>
      <w:pPr>
        <w:pStyle w:val="BodyText"/>
        <w:spacing w:before="63" w:line="247" w:lineRule="auto"/>
        <w:ind w:left="3330" w:right="4547" w:firstLine="3"/>
      </w:pPr>
      <w:r>
        <w:rPr>
          <w:color w:val="0D0D0D"/>
        </w:rPr>
        <w:t>D、对于期望值不同的决策方案，可以采用标准离差率来进行比较和评价</w:t>
      </w:r>
      <w:r>
        <w:rPr>
          <w:b/>
          <w:color w:val="0D0D0D"/>
        </w:rPr>
        <w:t>答案:</w:t>
      </w:r>
      <w:r>
        <w:rPr>
          <w:color w:val="0D0D0D"/>
        </w:rPr>
        <w:t>D</w:t>
      </w:r>
    </w:p>
    <w:p>
      <w:pPr>
        <w:pStyle w:val="BodyText"/>
        <w:spacing w:line="247" w:lineRule="auto"/>
        <w:ind w:right="2519" w:firstLine="629"/>
      </w:pPr>
      <w:r>
        <w:rPr>
          <w:b/>
          <w:color w:val="0D0D0D"/>
        </w:rPr>
        <w:t>解析:</w:t>
      </w:r>
      <w:r>
        <w:rPr>
          <w:color w:val="0D0D0D"/>
        </w:rPr>
        <w:t>只有当期望值相同时，才有标准离差越大，风险越大，所以A 不正确；标准离差率可以用于期望值不同的决策方案的比较，所以B 不正确；标准离差率是一个相对数指标， 所以 C 不正确。</w:t>
      </w:r>
    </w:p>
    <w:p>
      <w:pPr>
        <w:pStyle w:val="BodyText"/>
        <w:spacing w:line="394" w:lineRule="exact"/>
      </w:pPr>
      <w:r>
        <w:rPr>
          <w:color w:val="0D0D0D"/>
        </w:rPr>
        <w:t xml:space="preserve">15、如果两个投资项目预期收益的标准离差相同，而期望值不同，则这两个项目（ </w:t>
      </w:r>
      <w:r>
        <w:rPr>
          <w:color w:val="0D0D0D"/>
          <w:spacing w:val="-159"/>
        </w:rPr>
        <w:t>）</w:t>
      </w:r>
      <w:r>
        <w:rPr>
          <w:color w:val="0D0D0D"/>
        </w:rPr>
        <w:t>。</w:t>
      </w:r>
    </w:p>
    <w:p>
      <w:pPr>
        <w:pStyle w:val="BodyText"/>
        <w:tabs>
          <w:tab w:val="left" w:pos="6801"/>
          <w:tab w:val="left" w:pos="10582"/>
          <w:tab w:val="left" w:pos="14050"/>
        </w:tabs>
        <w:spacing w:before="12" w:line="244" w:lineRule="auto"/>
        <w:ind w:right="2698" w:firstLine="633"/>
      </w:pPr>
      <w:r>
        <w:rPr>
          <w:color w:val="0D0D0D"/>
          <w:spacing w:val="-4"/>
        </w:rPr>
        <w:t>A</w:t>
      </w:r>
      <w:r>
        <w:rPr>
          <w:color w:val="0D0D0D"/>
        </w:rPr>
        <w:t>、预期收益相同</w:t>
        <w:tab/>
      </w:r>
      <w:r>
        <w:rPr>
          <w:color w:val="0D0D0D"/>
          <w:spacing w:val="-4"/>
        </w:rPr>
        <w:t>B</w:t>
      </w:r>
      <w:r>
        <w:rPr>
          <w:color w:val="0D0D0D"/>
        </w:rPr>
        <w:t>、标准离差率相同</w:t>
        <w:tab/>
        <w:t>C、预期收益不同</w:t>
        <w:tab/>
        <w:t>D、未</w:t>
      </w:r>
      <w:r>
        <w:rPr>
          <w:color w:val="0D0D0D"/>
          <w:spacing w:val="-18"/>
        </w:rPr>
        <w:t>来</w:t>
      </w:r>
      <w:r>
        <w:rPr>
          <w:color w:val="0D0D0D"/>
        </w:rPr>
        <w:t>风险报酬相同</w:t>
      </w:r>
    </w:p>
    <w:p>
      <w:pPr>
        <w:spacing w:before="7"/>
        <w:ind w:left="3330" w:right="0" w:firstLine="0"/>
        <w:jc w:val="left"/>
        <w:rPr>
          <w:sz w:val="31"/>
        </w:rPr>
      </w:pPr>
      <w:r>
        <w:rPr>
          <w:b/>
          <w:color w:val="0D0D0D"/>
          <w:sz w:val="31"/>
        </w:rPr>
        <w:t>答案:</w:t>
      </w:r>
      <w:r>
        <w:rPr>
          <w:color w:val="0D0D0D"/>
          <w:sz w:val="31"/>
        </w:rPr>
        <w:t>C</w:t>
      </w:r>
    </w:p>
    <w:p>
      <w:pPr>
        <w:pStyle w:val="BodyText"/>
        <w:spacing w:before="10"/>
        <w:ind w:left="3330"/>
      </w:pPr>
      <w:r>
        <w:rPr>
          <w:b/>
          <w:color w:val="0D0D0D"/>
        </w:rPr>
        <w:t>解析:</w:t>
      </w:r>
      <w:r>
        <w:rPr>
          <w:color w:val="0D0D0D"/>
        </w:rPr>
        <w:t>期望值反映预计收益的平均化，所以，期望值不同，反映预期收益不同，因此选</w:t>
      </w:r>
    </w:p>
    <w:p>
      <w:pPr>
        <w:pStyle w:val="BodyText"/>
        <w:spacing w:before="13"/>
      </w:pPr>
      <w:r>
        <w:rPr>
          <w:color w:val="0D0D0D"/>
        </w:rPr>
        <w:t>C。</w:t>
      </w:r>
    </w:p>
    <w:p>
      <w:pPr>
        <w:pStyle w:val="Heading2"/>
        <w:spacing w:before="10"/>
      </w:pPr>
      <w:r>
        <w:rPr>
          <w:color w:val="0D0D0D"/>
        </w:rPr>
        <w:t>二、多项选择题</w:t>
      </w:r>
    </w:p>
    <w:p>
      <w:pPr>
        <w:pStyle w:val="BodyText"/>
        <w:spacing w:before="13" w:line="244" w:lineRule="auto"/>
        <w:ind w:left="3334" w:right="6486" w:hanging="634"/>
      </w:pPr>
      <w:r>
        <w:rPr>
          <w:color w:val="0D0D0D"/>
        </w:rPr>
        <w:t>1、对于资金时间价值的概念和理解，下列表述正确的有（</w:t>
      </w:r>
      <w:r>
        <w:rPr>
          <w:color w:val="0D0D0D"/>
          <w:spacing w:val="120"/>
        </w:rPr>
        <w:t xml:space="preserve"> </w:t>
      </w:r>
      <w:r>
        <w:rPr>
          <w:color w:val="0D0D0D"/>
          <w:spacing w:val="-159"/>
        </w:rPr>
        <w:t>）</w:t>
      </w:r>
      <w:r>
        <w:rPr>
          <w:color w:val="0D0D0D"/>
          <w:spacing w:val="-16"/>
        </w:rPr>
        <w:t>。</w:t>
      </w:r>
      <w:r>
        <w:rPr>
          <w:color w:val="0D0D0D"/>
          <w:spacing w:val="-4"/>
        </w:rPr>
        <w:t>A</w:t>
      </w:r>
      <w:r>
        <w:rPr>
          <w:color w:val="0D0D0D"/>
        </w:rPr>
        <w:t>、一般情况下，资金的时间价值应按复利方式来计算</w:t>
      </w:r>
    </w:p>
    <w:p>
      <w:pPr>
        <w:pStyle w:val="BodyText"/>
        <w:spacing w:before="8"/>
        <w:ind w:left="3334"/>
      </w:pPr>
      <w:r>
        <w:rPr>
          <w:color w:val="0D0D0D"/>
        </w:rPr>
        <w:t>B、可以直接用政府债券利率来表现时间价值</w:t>
      </w:r>
    </w:p>
    <w:p>
      <w:pPr>
        <w:pStyle w:val="BodyText"/>
        <w:spacing w:before="10"/>
        <w:ind w:left="3334"/>
      </w:pPr>
      <w:r>
        <w:rPr>
          <w:color w:val="0D0D0D"/>
        </w:rPr>
        <w:t>C、商品经济的高度发展是时间价值的存在基础</w:t>
      </w:r>
    </w:p>
    <w:p>
      <w:pPr>
        <w:pStyle w:val="BodyText"/>
        <w:spacing w:before="13" w:line="244" w:lineRule="auto"/>
        <w:ind w:left="3330" w:right="3280" w:firstLine="3"/>
      </w:pPr>
      <w:r>
        <w:rPr>
          <w:color w:val="0D0D0D"/>
        </w:rPr>
        <w:t>D、资金的时间价值相当于没有风险和没有通货膨胀条件下的社会平均资金利润率</w:t>
      </w:r>
      <w:r>
        <w:rPr>
          <w:b/>
          <w:color w:val="0D0D0D"/>
        </w:rPr>
        <w:t>答案:</w:t>
      </w:r>
      <w:r>
        <w:rPr>
          <w:color w:val="0D0D0D"/>
        </w:rPr>
        <w:t>ACD</w:t>
      </w:r>
    </w:p>
    <w:p>
      <w:pPr>
        <w:pStyle w:val="BodyText"/>
        <w:spacing w:before="7" w:line="244" w:lineRule="auto"/>
        <w:ind w:right="2648" w:firstLine="629"/>
      </w:pPr>
      <w:r>
        <w:rPr>
          <w:b/>
          <w:color w:val="0D0D0D"/>
        </w:rPr>
        <w:t>解析:</w:t>
      </w:r>
      <w:r>
        <w:rPr>
          <w:color w:val="0D0D0D"/>
        </w:rPr>
        <w:t>只有在购买国库券等政府债券时几乎没有风险。如果通货膨胀率很低的话，可以用政府债券利率来表现时间价值。</w:t>
      </w:r>
    </w:p>
    <w:p>
      <w:pPr>
        <w:pStyle w:val="BodyText"/>
        <w:spacing w:before="7"/>
      </w:pPr>
      <w:r>
        <w:rPr>
          <w:color w:val="0D0D0D"/>
        </w:rPr>
        <w:t xml:space="preserve">2、下列各项中属于年金形式的有（ </w:t>
      </w:r>
      <w:r>
        <w:rPr>
          <w:color w:val="0D0D0D"/>
          <w:spacing w:val="-163"/>
        </w:rPr>
        <w:t>）</w:t>
      </w:r>
      <w:r>
        <w:rPr>
          <w:color w:val="0D0D0D"/>
        </w:rPr>
        <w:t>。</w:t>
      </w:r>
    </w:p>
    <w:p>
      <w:pPr>
        <w:pStyle w:val="BodyText"/>
        <w:tabs>
          <w:tab w:val="left" w:pos="7745"/>
          <w:tab w:val="left" w:pos="11212"/>
          <w:tab w:val="left" w:pos="13729"/>
        </w:tabs>
        <w:spacing w:before="9" w:line="244" w:lineRule="auto"/>
        <w:ind w:right="2702" w:firstLine="633"/>
      </w:pPr>
      <w:r>
        <w:rPr>
          <w:color w:val="0D0D0D"/>
          <w:spacing w:val="-4"/>
        </w:rPr>
        <w:t>A</w:t>
      </w:r>
      <w:r>
        <w:rPr>
          <w:color w:val="0D0D0D"/>
        </w:rPr>
        <w:t>、直线法计提的折旧额</w:t>
        <w:tab/>
      </w:r>
      <w:r>
        <w:rPr>
          <w:color w:val="0D0D0D"/>
          <w:spacing w:val="-4"/>
        </w:rPr>
        <w:t>B</w:t>
      </w:r>
      <w:r>
        <w:rPr>
          <w:color w:val="0D0D0D"/>
        </w:rPr>
        <w:t>、等额分期付款</w:t>
        <w:tab/>
      </w:r>
      <w:r>
        <w:rPr>
          <w:color w:val="0D0D0D"/>
          <w:spacing w:val="-4"/>
        </w:rPr>
        <w:t>C</w:t>
      </w:r>
      <w:r>
        <w:rPr>
          <w:color w:val="0D0D0D"/>
        </w:rPr>
        <w:t>、养老金</w:t>
        <w:tab/>
        <w:t>D、零存</w:t>
      </w:r>
      <w:r>
        <w:rPr>
          <w:color w:val="0D0D0D"/>
          <w:spacing w:val="-17"/>
        </w:rPr>
        <w:t>整</w:t>
      </w:r>
      <w:r>
        <w:rPr>
          <w:color w:val="0D0D0D"/>
        </w:rPr>
        <w:t>取的整取额</w:t>
      </w:r>
    </w:p>
    <w:p>
      <w:pPr>
        <w:spacing w:before="7"/>
        <w:ind w:left="3330" w:right="0" w:firstLine="0"/>
        <w:jc w:val="left"/>
        <w:rPr>
          <w:sz w:val="31"/>
        </w:rPr>
      </w:pPr>
      <w:r>
        <w:rPr>
          <w:b/>
          <w:color w:val="0D0D0D"/>
          <w:sz w:val="31"/>
        </w:rPr>
        <w:t>答案:</w:t>
      </w:r>
      <w:r>
        <w:rPr>
          <w:color w:val="0D0D0D"/>
          <w:sz w:val="31"/>
        </w:rPr>
        <w:t>ABC</w:t>
      </w:r>
    </w:p>
    <w:p>
      <w:pPr>
        <w:pStyle w:val="BodyText"/>
        <w:spacing w:before="10" w:line="247" w:lineRule="auto"/>
        <w:ind w:right="2781" w:firstLine="629"/>
      </w:pPr>
      <w:r>
        <w:rPr>
          <w:b/>
          <w:color w:val="0D0D0D"/>
        </w:rPr>
        <w:t>解析:</w:t>
      </w:r>
      <w:r>
        <w:rPr>
          <w:color w:val="0D0D0D"/>
          <w:spacing w:val="-1"/>
        </w:rPr>
        <w:t>年金是指一定时期内每次等额收付的系列款项，</w:t>
      </w:r>
      <w:r>
        <w:rPr>
          <w:color w:val="0D0D0D"/>
          <w:spacing w:val="-9"/>
        </w:rPr>
        <w:t>ABC</w:t>
      </w:r>
      <w:r>
        <w:rPr>
          <w:color w:val="0D0D0D"/>
          <w:spacing w:val="5"/>
        </w:rPr>
        <w:t xml:space="preserve"> 都符合年金的定义，但</w:t>
      </w:r>
      <w:r>
        <w:rPr>
          <w:color w:val="0D0D0D"/>
        </w:rPr>
        <w:t>D</w:t>
      </w:r>
      <w:r>
        <w:rPr>
          <w:color w:val="0D0D0D"/>
          <w:spacing w:val="7"/>
        </w:rPr>
        <w:t xml:space="preserve"> 不</w:t>
      </w:r>
      <w:r>
        <w:rPr>
          <w:color w:val="0D0D0D"/>
          <w:spacing w:val="6"/>
          <w:w w:val="102"/>
        </w:rPr>
        <w:t>符合年金的定义，因为</w:t>
      </w:r>
      <w:r>
        <w:rPr>
          <w:color w:val="0D0D0D"/>
          <w:w w:val="102"/>
        </w:rPr>
        <w:t>D</w:t>
      </w:r>
      <w:r>
        <w:rPr>
          <w:color w:val="0D0D0D"/>
          <w:spacing w:val="-80"/>
        </w:rPr>
        <w:t xml:space="preserve"> </w:t>
      </w:r>
      <w:r>
        <w:rPr>
          <w:color w:val="0D0D0D"/>
          <w:w w:val="102"/>
        </w:rPr>
        <w:t>指的是零存整取的“整取额</w:t>
      </w:r>
      <w:r>
        <w:rPr>
          <w:color w:val="0D0D0D"/>
          <w:spacing w:val="-19"/>
          <w:w w:val="102"/>
        </w:rPr>
        <w:t>”，属于一次性收款。</w:t>
      </w:r>
    </w:p>
    <w:p>
      <w:pPr>
        <w:pStyle w:val="BodyText"/>
        <w:spacing w:line="247" w:lineRule="auto"/>
        <w:ind w:left="3334" w:right="8518" w:hanging="634"/>
      </w:pPr>
      <w:r>
        <w:rPr>
          <w:color w:val="0D0D0D"/>
        </w:rPr>
        <w:t>3、下列关于风险收益率的说法正确的是（</w:t>
      </w:r>
      <w:r>
        <w:rPr>
          <w:color w:val="0D0D0D"/>
          <w:spacing w:val="140"/>
        </w:rPr>
        <w:t xml:space="preserve"> </w:t>
      </w:r>
      <w:r>
        <w:rPr>
          <w:color w:val="0D0D0D"/>
          <w:spacing w:val="-159"/>
        </w:rPr>
        <w:t>）</w:t>
      </w:r>
      <w:r>
        <w:rPr>
          <w:color w:val="0D0D0D"/>
        </w:rPr>
        <w:t>。</w:t>
      </w:r>
      <w:r>
        <w:rPr>
          <w:color w:val="0D0D0D"/>
          <w:spacing w:val="-4"/>
        </w:rPr>
        <w:t>A、风险收益率=风险价值系数×标准离差率B、投资收益率=无风险收益率+风险收益率</w:t>
      </w:r>
    </w:p>
    <w:p>
      <w:pPr>
        <w:pStyle w:val="BodyText"/>
        <w:ind w:left="3334"/>
      </w:pPr>
      <w:r>
        <w:rPr>
          <w:color w:val="0D0D0D"/>
        </w:rPr>
        <w:t>C、无风险收益率=资金时间价值+通货膨胀补偿率</w:t>
      </w:r>
    </w:p>
    <w:p>
      <w:pPr>
        <w:pStyle w:val="BodyText"/>
        <w:spacing w:before="9" w:line="247" w:lineRule="auto"/>
        <w:ind w:left="3330" w:right="7400" w:firstLine="3"/>
      </w:pPr>
      <w:r>
        <w:rPr>
          <w:color w:val="0D0D0D"/>
        </w:rPr>
        <w:t>D、一般把短期政府债券的收益率作为无风险收益率</w:t>
      </w:r>
      <w:r>
        <w:rPr>
          <w:b/>
          <w:color w:val="0D0D0D"/>
        </w:rPr>
        <w:t>答案:</w:t>
      </w:r>
      <w:r>
        <w:rPr>
          <w:color w:val="0D0D0D"/>
        </w:rPr>
        <w:t>ABCD</w:t>
      </w:r>
    </w:p>
    <w:p>
      <w:pPr>
        <w:pStyle w:val="BodyText"/>
        <w:spacing w:line="247" w:lineRule="auto"/>
        <w:ind w:right="2648" w:firstLine="629"/>
        <w:jc w:val="both"/>
      </w:pPr>
      <w:r>
        <w:rPr>
          <w:b/>
          <w:color w:val="0D0D0D"/>
        </w:rPr>
        <w:t>解析:</w:t>
      </w:r>
      <w:r>
        <w:rPr>
          <w:color w:val="0D0D0D"/>
          <w:spacing w:val="-1"/>
        </w:rPr>
        <w:t>风险收益率是指投资者因冒风险进行投资而要求的、超过资金时间价值的那部分</w:t>
      </w:r>
      <w:r>
        <w:rPr>
          <w:color w:val="0D0D0D"/>
          <w:spacing w:val="-14"/>
        </w:rPr>
        <w:t xml:space="preserve">额外的收益率。风险收益率、风险价值系数和标准离差率之间的关系可用公式表示为：风险 </w:t>
      </w:r>
      <w:r>
        <w:rPr>
          <w:color w:val="0D0D0D"/>
          <w:spacing w:val="-9"/>
        </w:rPr>
        <w:t xml:space="preserve">收益率=风险价值系数×标准离差率；投资收益率=无风险收益率+风险收益率，其中的无风 </w:t>
      </w:r>
      <w:r>
        <w:rPr>
          <w:color w:val="0D0D0D"/>
          <w:spacing w:val="-17"/>
        </w:rPr>
        <w:t>险收益率可用加上通货膨胀溢价的时间价值来确定，在财务管理实务中，一般把短期政府债券（如短期国库券）的收益率作为无风险收益率。</w:t>
      </w:r>
    </w:p>
    <w:p>
      <w:pPr>
        <w:pStyle w:val="BodyText"/>
        <w:spacing w:line="244" w:lineRule="auto"/>
        <w:ind w:right="2643"/>
      </w:pPr>
      <w:r>
        <w:rPr>
          <w:color w:val="0D0D0D"/>
        </w:rPr>
        <w:t>4</w:t>
      </w:r>
      <w:r>
        <w:rPr>
          <w:color w:val="0D0D0D"/>
          <w:spacing w:val="-1"/>
        </w:rPr>
        <w:t>、减少风险主要有两方面意思：一是控制风险因素，减少风险的发生；二是控制风险发生</w:t>
      </w:r>
      <w:r>
        <w:rPr>
          <w:color w:val="0D0D0D"/>
        </w:rPr>
        <w:t xml:space="preserve">的频率和降低风险损害程度。下列属于减少风险的常用方法的是（ </w:t>
      </w:r>
      <w:r>
        <w:rPr>
          <w:color w:val="0D0D0D"/>
          <w:spacing w:val="-159"/>
        </w:rPr>
        <w:t>）</w:t>
      </w:r>
      <w:r>
        <w:rPr>
          <w:color w:val="0D0D0D"/>
        </w:rPr>
        <w:t>。</w:t>
      </w:r>
    </w:p>
    <w:p>
      <w:pPr>
        <w:pStyle w:val="BodyText"/>
        <w:spacing w:before="6"/>
        <w:ind w:left="3334"/>
      </w:pPr>
      <w:r>
        <w:rPr>
          <w:color w:val="0D0D0D"/>
        </w:rPr>
        <w:t>A、进行准确的预测</w:t>
      </w:r>
    </w:p>
    <w:p>
      <w:pPr>
        <w:pStyle w:val="BodyText"/>
        <w:spacing w:before="10" w:line="247" w:lineRule="auto"/>
        <w:ind w:left="3334" w:right="9299"/>
      </w:pPr>
      <w:r>
        <w:rPr>
          <w:color w:val="0D0D0D"/>
        </w:rPr>
        <w:t>B、对决策进行多方案优选和相机替代C、及时与政府部门沟通获取政策信息</w:t>
      </w:r>
    </w:p>
    <w:p>
      <w:pPr>
        <w:pStyle w:val="BodyText"/>
        <w:spacing w:line="244" w:lineRule="auto"/>
        <w:ind w:left="3330" w:right="6131" w:firstLine="3"/>
      </w:pPr>
      <w:r>
        <w:rPr>
          <w:color w:val="0D0D0D"/>
        </w:rPr>
        <w:t>D、采用多领域、多地域，多项目、多品种的投资以分散风险</w:t>
      </w:r>
      <w:r>
        <w:rPr>
          <w:b/>
          <w:color w:val="0D0D0D"/>
        </w:rPr>
        <w:t>答案:</w:t>
      </w:r>
      <w:r>
        <w:rPr>
          <w:color w:val="0D0D0D"/>
        </w:rPr>
        <w:t>ABCD</w:t>
      </w:r>
    </w:p>
    <w:p>
      <w:pPr>
        <w:pStyle w:val="BodyText"/>
        <w:spacing w:before="6" w:line="247" w:lineRule="auto"/>
        <w:ind w:right="2648" w:firstLine="629"/>
        <w:jc w:val="both"/>
      </w:pPr>
      <w:r>
        <w:rPr>
          <w:b/>
          <w:color w:val="0D0D0D"/>
        </w:rPr>
        <w:t>解析:</w:t>
      </w:r>
      <w:r>
        <w:rPr>
          <w:color w:val="0D0D0D"/>
          <w:spacing w:val="-1"/>
        </w:rPr>
        <w:t>减少风险主要有两方面意思：一是控制风险因素，减少风险的发生；二是控制风</w:t>
      </w:r>
      <w:r>
        <w:rPr>
          <w:color w:val="0D0D0D"/>
          <w:spacing w:val="-10"/>
        </w:rPr>
        <w:t>险发生的频率和降低风险损害程度。减少风险的常用方法有：进行准确的预测；对决策进行多</w:t>
      </w:r>
      <w:r>
        <w:rPr>
          <w:color w:val="0D0D0D"/>
          <w:spacing w:val="-18"/>
        </w:rPr>
        <w:t>方案优选和相机替代；及时与政府部门沟通获取政策信息；在发展新产品前，充分进行市场调研；采用多领域、多地域、多项目、多品种的投资以分散风险。</w:t>
      </w:r>
    </w:p>
    <w:p>
      <w:pPr>
        <w:pStyle w:val="BodyText"/>
        <w:spacing w:line="395" w:lineRule="exact"/>
      </w:pPr>
      <w:r>
        <w:rPr>
          <w:color w:val="0D0D0D"/>
        </w:rPr>
        <w:t xml:space="preserve">5、下列有关风险的说法，正确的有（ </w:t>
      </w:r>
      <w:r>
        <w:rPr>
          <w:color w:val="0D0D0D"/>
          <w:spacing w:val="-159"/>
        </w:rPr>
        <w:t>）</w:t>
      </w:r>
      <w:r>
        <w:rPr>
          <w:color w:val="0D0D0D"/>
        </w:rPr>
        <w:t>。</w:t>
      </w:r>
    </w:p>
    <w:p>
      <w:pPr>
        <w:pStyle w:val="BodyText"/>
        <w:spacing w:before="10" w:line="247" w:lineRule="auto"/>
        <w:ind w:right="2648" w:firstLine="633"/>
      </w:pPr>
      <w:r>
        <w:rPr>
          <w:color w:val="0D0D0D"/>
        </w:rPr>
        <w:t>A、从财务管理角度看，风险是使企业的实际收益与预计收益发生背离，从而蒙受损失的可能性</w:t>
      </w:r>
    </w:p>
    <w:p>
      <w:pPr>
        <w:spacing w:after="0" w:line="247" w:lineRule="auto"/>
        <w:sectPr>
          <w:headerReference w:type="default" r:id="rId24"/>
          <w:footerReference w:type="default" r:id="rId25"/>
          <w:pgSz w:w="17860" w:h="25260"/>
          <w:pgMar w:top="1720" w:right="0" w:bottom="1940" w:left="0" w:header="1129" w:footer="1752"/>
          <w:pgNumType w:start="10"/>
          <w:cols w:space="708"/>
        </w:sectPr>
      </w:pPr>
    </w:p>
    <w:p>
      <w:pPr>
        <w:pStyle w:val="BodyText"/>
        <w:spacing w:before="3"/>
        <w:ind w:left="0"/>
        <w:rPr>
          <w:sz w:val="8"/>
        </w:rPr>
      </w:pPr>
    </w:p>
    <w:p>
      <w:pPr>
        <w:pStyle w:val="BodyText"/>
        <w:spacing w:before="63"/>
        <w:ind w:left="3334"/>
      </w:pPr>
      <w:r>
        <w:rPr>
          <w:color w:val="0D0D0D"/>
        </w:rPr>
        <w:t>B、投机风险是只会造成损失而无获利可能性的风险</w:t>
      </w:r>
    </w:p>
    <w:p>
      <w:pPr>
        <w:pStyle w:val="BodyText"/>
        <w:spacing w:before="10" w:line="247" w:lineRule="auto"/>
        <w:ind w:left="3334" w:right="4547"/>
      </w:pPr>
      <w:r>
        <w:rPr>
          <w:color w:val="0D0D0D"/>
          <w:spacing w:val="-4"/>
        </w:rPr>
        <w:t>C</w:t>
      </w:r>
      <w:r>
        <w:rPr>
          <w:color w:val="0D0D0D"/>
          <w:spacing w:val="-1"/>
        </w:rPr>
        <w:t xml:space="preserve">、按照风险的性质或发生原因可以分为自然风险、经济风险和社会风险 </w:t>
      </w:r>
      <w:r>
        <w:rPr>
          <w:color w:val="0D0D0D"/>
          <w:spacing w:val="-4"/>
        </w:rPr>
        <w:t>D</w:t>
      </w:r>
      <w:r>
        <w:rPr>
          <w:color w:val="0D0D0D"/>
        </w:rPr>
        <w:t>、财务风险是由于举债而给企业目标带来不利影响的可能性</w:t>
      </w:r>
    </w:p>
    <w:p>
      <w:pPr>
        <w:spacing w:before="0" w:line="396" w:lineRule="exact"/>
        <w:ind w:left="3330" w:right="0" w:firstLine="0"/>
        <w:jc w:val="left"/>
        <w:rPr>
          <w:sz w:val="31"/>
        </w:rPr>
      </w:pPr>
      <w:r>
        <w:rPr>
          <w:b/>
          <w:color w:val="0D0D0D"/>
          <w:sz w:val="31"/>
        </w:rPr>
        <w:t>答案:</w:t>
      </w:r>
      <w:r>
        <w:rPr>
          <w:color w:val="0D0D0D"/>
          <w:sz w:val="31"/>
        </w:rPr>
        <w:t>ACD</w:t>
      </w:r>
    </w:p>
    <w:p>
      <w:pPr>
        <w:pStyle w:val="BodyText"/>
        <w:spacing w:before="13" w:line="244" w:lineRule="auto"/>
        <w:ind w:right="2648" w:firstLine="629"/>
      </w:pPr>
      <w:r>
        <w:rPr>
          <w:b/>
          <w:color w:val="0D0D0D"/>
        </w:rPr>
        <w:t>解析:</w:t>
      </w:r>
      <w:r>
        <w:rPr>
          <w:color w:val="0D0D0D"/>
        </w:rPr>
        <w:t>纯粹风险是指只会造成损失而无获利可能性的风险；投机风险是指既可能造成损失也可能产生收益的风险，所以B 不正确。</w:t>
      </w:r>
    </w:p>
    <w:p>
      <w:pPr>
        <w:pStyle w:val="BodyText"/>
        <w:spacing w:before="7"/>
      </w:pPr>
      <w:r>
        <w:rPr>
          <w:color w:val="0D0D0D"/>
        </w:rPr>
        <w:t xml:space="preserve">6、下列表述正确的是（ </w:t>
      </w:r>
      <w:r>
        <w:rPr>
          <w:color w:val="0D0D0D"/>
          <w:spacing w:val="-162"/>
        </w:rPr>
        <w:t>）</w:t>
      </w:r>
      <w:r>
        <w:rPr>
          <w:color w:val="0D0D0D"/>
        </w:rPr>
        <w:t>。</w:t>
      </w:r>
    </w:p>
    <w:p>
      <w:pPr>
        <w:pStyle w:val="BodyText"/>
        <w:spacing w:before="10" w:line="247" w:lineRule="auto"/>
        <w:ind w:left="3334" w:right="8349"/>
        <w:jc w:val="both"/>
      </w:pPr>
      <w:r>
        <w:rPr>
          <w:color w:val="0D0D0D"/>
          <w:spacing w:val="-4"/>
        </w:rPr>
        <w:t>A</w:t>
      </w:r>
      <w:r>
        <w:rPr>
          <w:color w:val="0D0D0D"/>
          <w:spacing w:val="-1"/>
        </w:rPr>
        <w:t xml:space="preserve">、偿债基金系数是普通年金终值系数的倒数 </w:t>
      </w:r>
      <w:r>
        <w:rPr>
          <w:color w:val="0D0D0D"/>
          <w:spacing w:val="-4"/>
        </w:rPr>
        <w:t>B</w:t>
      </w:r>
      <w:r>
        <w:rPr>
          <w:color w:val="0D0D0D"/>
          <w:spacing w:val="-1"/>
        </w:rPr>
        <w:t xml:space="preserve">、资本回收系数是普通年金现值系数的倒数 </w:t>
      </w:r>
      <w:r>
        <w:rPr>
          <w:color w:val="0D0D0D"/>
          <w:spacing w:val="-4"/>
        </w:rPr>
        <w:t>C</w:t>
      </w:r>
      <w:r>
        <w:rPr>
          <w:color w:val="0D0D0D"/>
        </w:rPr>
        <w:t>、递延年金的终值与递延期无关</w:t>
      </w:r>
    </w:p>
    <w:p>
      <w:pPr>
        <w:pStyle w:val="BodyText"/>
        <w:spacing w:line="244" w:lineRule="auto"/>
        <w:ind w:left="3330" w:right="11834" w:firstLine="3"/>
      </w:pPr>
      <w:r>
        <w:rPr>
          <w:color w:val="0D0D0D"/>
        </w:rPr>
        <w:t>D、永续年金无终值</w:t>
      </w:r>
      <w:r>
        <w:rPr>
          <w:b/>
          <w:color w:val="0D0D0D"/>
        </w:rPr>
        <w:t>答案:</w:t>
      </w:r>
      <w:r>
        <w:rPr>
          <w:color w:val="0D0D0D"/>
        </w:rPr>
        <w:t>ABCD</w:t>
      </w:r>
    </w:p>
    <w:p>
      <w:pPr>
        <w:pStyle w:val="BodyText"/>
        <w:spacing w:before="7" w:line="247" w:lineRule="auto"/>
        <w:ind w:right="2648" w:firstLine="629"/>
        <w:jc w:val="both"/>
      </w:pPr>
      <w:r>
        <w:rPr>
          <w:b/>
          <w:color w:val="0D0D0D"/>
        </w:rPr>
        <w:t>解析:</w:t>
      </w:r>
      <w:r>
        <w:rPr>
          <w:color w:val="0D0D0D"/>
          <w:spacing w:val="-1"/>
        </w:rPr>
        <w:t>互为倒数关系的三组系数：复利终值系数与复利现值系数，偿债基金系数与年金</w:t>
      </w:r>
      <w:r>
        <w:rPr>
          <w:color w:val="0D0D0D"/>
          <w:spacing w:val="-14"/>
        </w:rPr>
        <w:t>终值系数，资本回收系数与年金现值系数。递延年金的终值不受递延期的影响，而递延年金的现值受递延期的影响。永续年金有现值而无终值。</w:t>
      </w:r>
    </w:p>
    <w:p>
      <w:pPr>
        <w:pStyle w:val="BodyText"/>
        <w:spacing w:line="395" w:lineRule="exact"/>
        <w:jc w:val="both"/>
      </w:pPr>
      <w:r>
        <w:rPr>
          <w:color w:val="0D0D0D"/>
        </w:rPr>
        <w:t>7、某公司拟购置一处房产，付款条件是；从第7 年开始，每年年初支付10 万元，连续支付</w:t>
      </w:r>
    </w:p>
    <w:p>
      <w:pPr>
        <w:pStyle w:val="BodyText"/>
        <w:spacing w:before="13" w:line="244" w:lineRule="auto"/>
        <w:ind w:right="2685"/>
        <w:jc w:val="both"/>
      </w:pPr>
      <w:r>
        <w:rPr>
          <w:color w:val="0D0D0D"/>
        </w:rPr>
        <w:t>10 次，共 100 万元，假设该公司的资金成本率为10%,则相当于该公司现在一次付款的金额为（ ）万元。</w:t>
      </w:r>
    </w:p>
    <w:p>
      <w:pPr>
        <w:pStyle w:val="BodyText"/>
        <w:spacing w:before="7" w:line="247" w:lineRule="auto"/>
        <w:ind w:left="3334" w:right="8222"/>
      </w:pPr>
      <w:r>
        <w:rPr>
          <w:color w:val="0D0D0D"/>
          <w:spacing w:val="-4"/>
        </w:rPr>
        <w:t>A</w:t>
      </w:r>
      <w:r>
        <w:rPr>
          <w:color w:val="0D0D0D"/>
        </w:rPr>
        <w:t>、</w:t>
      </w:r>
      <w:r>
        <w:rPr>
          <w:color w:val="0D0D0D"/>
          <w:spacing w:val="-3"/>
        </w:rPr>
        <w:t xml:space="preserve">10×[（P/A，10%，15）-（P/A，10%，5）] </w:t>
      </w:r>
      <w:r>
        <w:rPr>
          <w:color w:val="0D0D0D"/>
          <w:spacing w:val="-4"/>
          <w:w w:val="102"/>
        </w:rPr>
        <w:t>B</w:t>
      </w:r>
      <w:r>
        <w:rPr>
          <w:color w:val="0D0D0D"/>
          <w:w w:val="102"/>
        </w:rPr>
        <w:t>、1</w:t>
      </w:r>
      <w:r>
        <w:rPr>
          <w:color w:val="0D0D0D"/>
          <w:spacing w:val="-4"/>
          <w:w w:val="102"/>
        </w:rPr>
        <w:t>0</w:t>
      </w:r>
      <w:r>
        <w:rPr>
          <w:color w:val="0D0D0D"/>
          <w:w w:val="102"/>
        </w:rPr>
        <w:t>×[</w:t>
      </w:r>
      <w:r>
        <w:rPr>
          <w:color w:val="0D0D0D"/>
          <w:spacing w:val="-4"/>
          <w:w w:val="102"/>
        </w:rPr>
        <w:t>（</w:t>
      </w:r>
      <w:r>
        <w:rPr>
          <w:color w:val="0D0D0D"/>
          <w:w w:val="102"/>
        </w:rPr>
        <w:t>P/</w:t>
      </w:r>
      <w:r>
        <w:rPr>
          <w:color w:val="0D0D0D"/>
          <w:spacing w:val="-4"/>
          <w:w w:val="102"/>
        </w:rPr>
        <w:t>A</w:t>
      </w:r>
      <w:r>
        <w:rPr>
          <w:color w:val="0D0D0D"/>
          <w:w w:val="102"/>
        </w:rPr>
        <w:t>，10</w:t>
      </w:r>
      <w:r>
        <w:rPr>
          <w:color w:val="0D0D0D"/>
          <w:spacing w:val="-4"/>
          <w:w w:val="102"/>
        </w:rPr>
        <w:t>%</w:t>
      </w:r>
      <w:r>
        <w:rPr>
          <w:color w:val="0D0D0D"/>
          <w:w w:val="102"/>
        </w:rPr>
        <w:t>，1</w:t>
      </w:r>
      <w:r>
        <w:rPr>
          <w:color w:val="0D0D0D"/>
          <w:spacing w:val="-1"/>
          <w:w w:val="102"/>
        </w:rPr>
        <w:t>0</w:t>
      </w:r>
      <w:r>
        <w:rPr>
          <w:color w:val="0D0D0D"/>
          <w:spacing w:val="-162"/>
          <w:w w:val="102"/>
        </w:rPr>
        <w:t>）</w:t>
      </w:r>
      <w:r>
        <w:rPr>
          <w:color w:val="0D0D0D"/>
          <w:w w:val="102"/>
        </w:rPr>
        <w:t>（P/</w:t>
      </w:r>
      <w:r>
        <w:rPr>
          <w:color w:val="0D0D0D"/>
          <w:spacing w:val="-4"/>
          <w:w w:val="102"/>
        </w:rPr>
        <w:t>F</w:t>
      </w:r>
      <w:r>
        <w:rPr>
          <w:color w:val="0D0D0D"/>
          <w:spacing w:val="-1"/>
          <w:w w:val="102"/>
        </w:rPr>
        <w:t>，</w:t>
      </w:r>
      <w:r>
        <w:rPr>
          <w:color w:val="0D0D0D"/>
          <w:w w:val="102"/>
        </w:rPr>
        <w:t>10</w:t>
      </w:r>
      <w:r>
        <w:rPr>
          <w:color w:val="0D0D0D"/>
          <w:spacing w:val="-2"/>
          <w:w w:val="102"/>
        </w:rPr>
        <w:t>%，</w:t>
      </w:r>
      <w:r>
        <w:rPr>
          <w:color w:val="0D0D0D"/>
          <w:spacing w:val="-4"/>
          <w:w w:val="102"/>
        </w:rPr>
        <w:t>5</w:t>
      </w:r>
      <w:r>
        <w:rPr>
          <w:color w:val="0D0D0D"/>
          <w:spacing w:val="-1"/>
          <w:w w:val="102"/>
        </w:rPr>
        <w:t>）</w:t>
      </w:r>
      <w:r>
        <w:rPr>
          <w:color w:val="0D0D0D"/>
          <w:w w:val="102"/>
        </w:rPr>
        <w:t xml:space="preserve">]  </w:t>
      </w:r>
      <w:r>
        <w:rPr>
          <w:color w:val="0D0D0D"/>
          <w:spacing w:val="-4"/>
        </w:rPr>
        <w:t>C</w:t>
      </w:r>
      <w:r>
        <w:rPr>
          <w:color w:val="0D0D0D"/>
        </w:rPr>
        <w:t>、</w:t>
      </w:r>
      <w:r>
        <w:rPr>
          <w:color w:val="0D0D0D"/>
          <w:spacing w:val="-3"/>
        </w:rPr>
        <w:t xml:space="preserve">10×[（P/A，10%，16）-（P/A，10%，6）] </w:t>
      </w:r>
      <w:r>
        <w:rPr>
          <w:color w:val="0D0D0D"/>
          <w:spacing w:val="-4"/>
        </w:rPr>
        <w:t>D</w:t>
      </w:r>
      <w:r>
        <w:rPr>
          <w:color w:val="0D0D0D"/>
        </w:rPr>
        <w:t>、</w:t>
      </w:r>
      <w:r>
        <w:rPr>
          <w:color w:val="0D0D0D"/>
          <w:spacing w:val="-3"/>
        </w:rPr>
        <w:t>10×[（P/A，10%，15）-（P/A，10%，6）]</w:t>
      </w:r>
    </w:p>
    <w:p>
      <w:pPr>
        <w:spacing w:before="0" w:line="392" w:lineRule="exact"/>
        <w:ind w:left="3330" w:right="0" w:firstLine="0"/>
        <w:jc w:val="left"/>
        <w:rPr>
          <w:sz w:val="31"/>
        </w:rPr>
      </w:pPr>
      <w:r>
        <w:rPr>
          <w:b/>
          <w:color w:val="0D0D0D"/>
          <w:sz w:val="31"/>
        </w:rPr>
        <w:t>答案:</w:t>
      </w:r>
      <w:r>
        <w:rPr>
          <w:color w:val="0D0D0D"/>
          <w:sz w:val="31"/>
        </w:rPr>
        <w:t>AB</w:t>
      </w:r>
    </w:p>
    <w:p>
      <w:pPr>
        <w:pStyle w:val="BodyText"/>
        <w:spacing w:before="13" w:line="247" w:lineRule="auto"/>
        <w:ind w:right="2534" w:firstLine="629"/>
      </w:pPr>
      <w:r>
        <w:rPr>
          <w:b/>
          <w:color w:val="0D0D0D"/>
          <w:w w:val="101"/>
        </w:rPr>
        <w:t>解析</w:t>
      </w:r>
      <w:r>
        <w:rPr>
          <w:b/>
          <w:color w:val="0D0D0D"/>
          <w:w w:val="101"/>
        </w:rPr>
        <w:t>:</w:t>
      </w:r>
      <w:r>
        <w:rPr>
          <w:color w:val="0D0D0D"/>
          <w:spacing w:val="-1"/>
          <w:w w:val="102"/>
        </w:rPr>
        <w:t>递延年金现值的计算：①递延年金现值=</w:t>
      </w:r>
      <w:r>
        <w:rPr>
          <w:color w:val="0D0D0D"/>
          <w:spacing w:val="-4"/>
          <w:w w:val="102"/>
        </w:rPr>
        <w:t>A</w:t>
      </w:r>
      <w:r>
        <w:rPr>
          <w:color w:val="0D0D0D"/>
          <w:spacing w:val="-62"/>
          <w:w w:val="102"/>
        </w:rPr>
        <w:t>×[</w:t>
      </w:r>
      <w:r>
        <w:rPr>
          <w:color w:val="0D0D0D"/>
          <w:w w:val="102"/>
        </w:rPr>
        <w:t>（P/</w:t>
      </w:r>
      <w:r>
        <w:rPr>
          <w:color w:val="0D0D0D"/>
          <w:spacing w:val="-4"/>
          <w:w w:val="102"/>
        </w:rPr>
        <w:t>A</w:t>
      </w:r>
      <w:r>
        <w:rPr>
          <w:color w:val="0D0D0D"/>
          <w:spacing w:val="-123"/>
          <w:w w:val="102"/>
        </w:rPr>
        <w:t>，</w:t>
      </w:r>
      <w:r>
        <w:rPr>
          <w:color w:val="0D0D0D"/>
          <w:w w:val="102"/>
        </w:rPr>
        <w:t>i</w:t>
      </w:r>
      <w:r>
        <w:rPr>
          <w:color w:val="0D0D0D"/>
          <w:spacing w:val="-123"/>
          <w:w w:val="102"/>
        </w:rPr>
        <w:t>，</w:t>
      </w:r>
      <w:r>
        <w:rPr>
          <w:color w:val="0D0D0D"/>
          <w:w w:val="102"/>
        </w:rPr>
        <w:t>n-</w:t>
      </w:r>
      <w:r>
        <w:rPr>
          <w:color w:val="0D0D0D"/>
          <w:spacing w:val="-4"/>
          <w:w w:val="102"/>
        </w:rPr>
        <w:t>s</w:t>
      </w:r>
      <w:r>
        <w:rPr>
          <w:color w:val="0D0D0D"/>
          <w:spacing w:val="-281"/>
          <w:w w:val="102"/>
        </w:rPr>
        <w:t>）</w:t>
      </w:r>
      <w:r>
        <w:rPr>
          <w:color w:val="0D0D0D"/>
          <w:w w:val="102"/>
        </w:rPr>
        <w:t>（P/</w:t>
      </w:r>
      <w:r>
        <w:rPr>
          <w:color w:val="0D0D0D"/>
          <w:spacing w:val="-4"/>
          <w:w w:val="102"/>
        </w:rPr>
        <w:t>F</w:t>
      </w:r>
      <w:r>
        <w:rPr>
          <w:color w:val="0D0D0D"/>
          <w:spacing w:val="-123"/>
          <w:w w:val="102"/>
        </w:rPr>
        <w:t>，</w:t>
      </w:r>
      <w:r>
        <w:rPr>
          <w:color w:val="0D0D0D"/>
          <w:w w:val="102"/>
        </w:rPr>
        <w:t>i</w:t>
      </w:r>
      <w:r>
        <w:rPr>
          <w:color w:val="0D0D0D"/>
          <w:spacing w:val="-125"/>
          <w:w w:val="102"/>
        </w:rPr>
        <w:t>，</w:t>
      </w:r>
      <w:r>
        <w:rPr>
          <w:color w:val="0D0D0D"/>
          <w:spacing w:val="-4"/>
          <w:w w:val="102"/>
        </w:rPr>
        <w:t>s</w:t>
      </w:r>
      <w:r>
        <w:rPr>
          <w:color w:val="0D0D0D"/>
          <w:spacing w:val="-123"/>
          <w:w w:val="102"/>
        </w:rPr>
        <w:t>）</w:t>
      </w:r>
      <w:r>
        <w:rPr>
          <w:color w:val="0D0D0D"/>
          <w:w w:val="102"/>
        </w:rPr>
        <w:t>]=A</w:t>
      </w:r>
      <w:r>
        <w:rPr>
          <w:color w:val="0D0D0D"/>
          <w:spacing w:val="-123"/>
          <w:w w:val="102"/>
        </w:rPr>
        <w:t>[</w:t>
      </w:r>
      <w:r>
        <w:rPr>
          <w:color w:val="0D0D0D"/>
          <w:w w:val="102"/>
        </w:rPr>
        <w:t>（P/</w:t>
      </w:r>
      <w:r>
        <w:rPr>
          <w:color w:val="0D0D0D"/>
          <w:spacing w:val="-4"/>
          <w:w w:val="102"/>
        </w:rPr>
        <w:t>A</w:t>
      </w:r>
      <w:r>
        <w:rPr>
          <w:color w:val="0D0D0D"/>
          <w:w w:val="102"/>
        </w:rPr>
        <w:t xml:space="preserve">， </w:t>
      </w:r>
      <w:r>
        <w:rPr>
          <w:color w:val="0D0D0D"/>
          <w:spacing w:val="-5"/>
        </w:rPr>
        <w:t>i，n）-（P/A，i，s）</w:t>
      </w:r>
      <w:r>
        <w:rPr>
          <w:color w:val="0D0D0D"/>
          <w:spacing w:val="-20"/>
        </w:rPr>
        <w:t xml:space="preserve">] </w:t>
      </w:r>
      <w:r>
        <w:rPr>
          <w:color w:val="0D0D0D"/>
        </w:rPr>
        <w:t>s</w:t>
      </w:r>
      <w:r>
        <w:rPr>
          <w:color w:val="0D0D0D"/>
          <w:spacing w:val="14"/>
        </w:rPr>
        <w:t xml:space="preserve">：递延期 </w:t>
      </w:r>
      <w:r>
        <w:rPr>
          <w:color w:val="0D0D0D"/>
        </w:rPr>
        <w:t>n</w:t>
      </w:r>
      <w:r>
        <w:rPr>
          <w:color w:val="0D0D0D"/>
          <w:spacing w:val="4"/>
        </w:rPr>
        <w:t>：总期数 ②现值的计算</w:t>
      </w:r>
      <w:r>
        <w:rPr>
          <w:color w:val="0D0D0D"/>
        </w:rPr>
        <w:t>（如遇到期初问题一定转化为期末）</w:t>
      </w:r>
      <w:r>
        <w:rPr>
          <w:color w:val="0D0D0D"/>
          <w:spacing w:val="5"/>
        </w:rPr>
        <w:t>该题的年金从第</w:t>
      </w:r>
      <w:r>
        <w:rPr>
          <w:color w:val="0D0D0D"/>
        </w:rPr>
        <w:t>7</w:t>
      </w:r>
      <w:r>
        <w:rPr>
          <w:color w:val="0D0D0D"/>
          <w:spacing w:val="-1"/>
        </w:rPr>
        <w:t xml:space="preserve"> 年年初开始，即第</w:t>
      </w:r>
      <w:r>
        <w:rPr>
          <w:color w:val="0D0D0D"/>
        </w:rPr>
        <w:t>6</w:t>
      </w:r>
      <w:r>
        <w:rPr>
          <w:color w:val="0D0D0D"/>
          <w:spacing w:val="-5"/>
        </w:rPr>
        <w:t xml:space="preserve"> 年年末开始，所以，递延期为</w:t>
      </w:r>
      <w:r>
        <w:rPr>
          <w:color w:val="0D0D0D"/>
        </w:rPr>
        <w:t>5</w:t>
      </w:r>
      <w:r>
        <w:rPr>
          <w:color w:val="0D0D0D"/>
          <w:spacing w:val="-4"/>
        </w:rPr>
        <w:t xml:space="preserve"> 期；另截至第16</w:t>
      </w:r>
      <w:r>
        <w:rPr>
          <w:color w:val="0D0D0D"/>
          <w:spacing w:val="-22"/>
        </w:rPr>
        <w:t xml:space="preserve"> 年年初，即第 </w:t>
      </w:r>
      <w:r>
        <w:rPr>
          <w:color w:val="0D0D0D"/>
        </w:rPr>
        <w:t>15</w:t>
      </w:r>
      <w:r>
        <w:rPr>
          <w:color w:val="0D0D0D"/>
          <w:spacing w:val="-16"/>
        </w:rPr>
        <w:t xml:space="preserve"> 年年末，所以，总期数为 </w:t>
      </w:r>
      <w:r>
        <w:rPr>
          <w:color w:val="0D0D0D"/>
        </w:rPr>
        <w:t>15</w:t>
      </w:r>
      <w:r>
        <w:rPr>
          <w:color w:val="0D0D0D"/>
          <w:spacing w:val="-26"/>
        </w:rPr>
        <w:t xml:space="preserve"> 期。</w:t>
      </w:r>
    </w:p>
    <w:p>
      <w:pPr>
        <w:pStyle w:val="BodyText"/>
        <w:spacing w:line="396" w:lineRule="exact"/>
      </w:pPr>
      <w:r>
        <w:rPr>
          <w:color w:val="0D0D0D"/>
        </w:rPr>
        <w:t xml:space="preserve">8、下列说法不正确的是（ </w:t>
      </w:r>
      <w:r>
        <w:rPr>
          <w:color w:val="0D0D0D"/>
          <w:spacing w:val="-159"/>
        </w:rPr>
        <w:t>）</w:t>
      </w:r>
      <w:r>
        <w:rPr>
          <w:color w:val="0D0D0D"/>
        </w:rPr>
        <w:t>。</w:t>
      </w:r>
    </w:p>
    <w:p>
      <w:pPr>
        <w:pStyle w:val="BodyText"/>
        <w:spacing w:before="10" w:line="247" w:lineRule="auto"/>
        <w:ind w:left="3334" w:right="8349"/>
      </w:pPr>
      <w:r>
        <w:rPr>
          <w:color w:val="0D0D0D"/>
          <w:spacing w:val="-4"/>
        </w:rPr>
        <w:t>A</w:t>
      </w:r>
      <w:r>
        <w:rPr>
          <w:color w:val="0D0D0D"/>
          <w:spacing w:val="-1"/>
        </w:rPr>
        <w:t xml:space="preserve">、风险越大，投资人获得的投资收益就越高 </w:t>
      </w:r>
      <w:r>
        <w:rPr>
          <w:color w:val="0D0D0D"/>
          <w:spacing w:val="-4"/>
        </w:rPr>
        <w:t>B</w:t>
      </w:r>
      <w:r>
        <w:rPr>
          <w:color w:val="0D0D0D"/>
        </w:rPr>
        <w:t>、风险越大，意味着损失越大</w:t>
      </w:r>
    </w:p>
    <w:p>
      <w:pPr>
        <w:pStyle w:val="BodyText"/>
        <w:spacing w:line="396" w:lineRule="exact"/>
        <w:ind w:left="3334"/>
      </w:pPr>
      <w:r>
        <w:rPr>
          <w:color w:val="0D0D0D"/>
        </w:rPr>
        <w:t>C、风险是客观存在的，投资人无法选择是否承受风险</w:t>
      </w:r>
    </w:p>
    <w:p>
      <w:pPr>
        <w:pStyle w:val="BodyText"/>
        <w:spacing w:before="13" w:line="244" w:lineRule="auto"/>
        <w:ind w:right="2648" w:firstLine="633"/>
      </w:pPr>
      <w:r>
        <w:rPr>
          <w:color w:val="0D0D0D"/>
        </w:rPr>
        <w:t>D、由于通货膨胀会导致市场利息率变动，企业筹资成本就会加大，所以由于通货膨胀而给企业带来的风险是财务风险即筹资风险</w:t>
      </w:r>
    </w:p>
    <w:p>
      <w:pPr>
        <w:spacing w:before="7"/>
        <w:ind w:left="3330" w:right="0" w:firstLine="0"/>
        <w:jc w:val="left"/>
        <w:rPr>
          <w:sz w:val="31"/>
        </w:rPr>
      </w:pPr>
      <w:r>
        <w:rPr>
          <w:b/>
          <w:color w:val="0D0D0D"/>
          <w:sz w:val="31"/>
        </w:rPr>
        <w:t>答案:</w:t>
      </w:r>
      <w:r>
        <w:rPr>
          <w:color w:val="0D0D0D"/>
          <w:sz w:val="31"/>
        </w:rPr>
        <w:t>ABCD</w:t>
      </w:r>
    </w:p>
    <w:p>
      <w:pPr>
        <w:pStyle w:val="BodyText"/>
        <w:spacing w:before="10" w:line="247" w:lineRule="auto"/>
        <w:ind w:right="2502" w:firstLine="629"/>
      </w:pPr>
      <w:r>
        <w:rPr>
          <w:b/>
          <w:color w:val="0D0D0D"/>
        </w:rPr>
        <w:t>解析:</w:t>
      </w:r>
      <w:r>
        <w:rPr>
          <w:color w:val="0D0D0D"/>
        </w:rPr>
        <w:t xml:space="preserve">风险越大投资人期望的投资收益越高，但期望并不一定都能实现，所以实际获得 </w:t>
      </w:r>
      <w:r>
        <w:rPr>
          <w:color w:val="0D0D0D"/>
          <w:spacing w:val="5"/>
        </w:rPr>
        <w:t>的收益不一定就越高，所以</w:t>
      </w:r>
      <w:r>
        <w:rPr>
          <w:color w:val="0D0D0D"/>
        </w:rPr>
        <w:t>A</w:t>
      </w:r>
      <w:r>
        <w:rPr>
          <w:color w:val="0D0D0D"/>
          <w:spacing w:val="-1"/>
        </w:rPr>
        <w:t xml:space="preserve"> 不对；风险的不确定性，可能给投资人带来超出预期的损失， </w:t>
      </w:r>
      <w:r>
        <w:rPr>
          <w:color w:val="0D0D0D"/>
          <w:spacing w:val="-5"/>
        </w:rPr>
        <w:t xml:space="preserve">也可能给投资人带来超出预期的收益，所以 </w:t>
      </w:r>
      <w:r>
        <w:rPr>
          <w:color w:val="0D0D0D"/>
        </w:rPr>
        <w:t>B</w:t>
      </w:r>
      <w:r>
        <w:rPr>
          <w:color w:val="0D0D0D"/>
          <w:spacing w:val="-13"/>
        </w:rPr>
        <w:t xml:space="preserve"> 也不对；风险是客观存在的，但投资人是否冒</w:t>
      </w:r>
      <w:r>
        <w:rPr>
          <w:color w:val="0D0D0D"/>
          <w:spacing w:val="-19"/>
        </w:rPr>
        <w:t xml:space="preserve">风险是可以选择的，比如股票投资有风险，我们可以选择投资国债来回避风险，所以 </w:t>
      </w:r>
      <w:r>
        <w:rPr>
          <w:color w:val="0D0D0D"/>
        </w:rPr>
        <w:t>C</w:t>
      </w:r>
      <w:r>
        <w:rPr>
          <w:color w:val="0D0D0D"/>
          <w:spacing w:val="-1"/>
        </w:rPr>
        <w:t xml:space="preserve"> 也不对</w:t>
      </w:r>
      <w:r>
        <w:rPr>
          <w:color w:val="0D0D0D"/>
        </w:rPr>
        <w:t>；由于通货膨胀而给企业带来的风险属于市场风险，所以D</w:t>
      </w:r>
      <w:r>
        <w:rPr>
          <w:color w:val="0D0D0D"/>
          <w:spacing w:val="-16"/>
        </w:rPr>
        <w:t xml:space="preserve"> 也不对。</w:t>
      </w:r>
    </w:p>
    <w:p>
      <w:pPr>
        <w:pStyle w:val="BodyText"/>
        <w:spacing w:line="396" w:lineRule="exact"/>
      </w:pPr>
      <w:r>
        <w:rPr>
          <w:color w:val="0D0D0D"/>
        </w:rPr>
        <w:t xml:space="preserve">9、按照风险导致的后果，风险可分为（ </w:t>
      </w:r>
      <w:r>
        <w:rPr>
          <w:color w:val="0D0D0D"/>
          <w:spacing w:val="-163"/>
        </w:rPr>
        <w:t>）</w:t>
      </w:r>
      <w:r>
        <w:rPr>
          <w:color w:val="0D0D0D"/>
        </w:rPr>
        <w:t>。</w:t>
      </w:r>
    </w:p>
    <w:p>
      <w:pPr>
        <w:pStyle w:val="BodyText"/>
        <w:tabs>
          <w:tab w:val="left" w:pos="5855"/>
          <w:tab w:val="left" w:pos="8375"/>
          <w:tab w:val="left" w:pos="10895"/>
        </w:tabs>
        <w:spacing w:before="10" w:line="247" w:lineRule="auto"/>
        <w:ind w:left="3330" w:right="4902" w:firstLine="3"/>
      </w:pPr>
      <w:r>
        <w:rPr>
          <w:color w:val="0D0D0D"/>
          <w:spacing w:val="-4"/>
        </w:rPr>
        <w:t>A</w:t>
      </w:r>
      <w:r>
        <w:rPr>
          <w:color w:val="0D0D0D"/>
        </w:rPr>
        <w:t>、纯粹风险</w:t>
        <w:tab/>
      </w:r>
      <w:r>
        <w:rPr>
          <w:color w:val="0D0D0D"/>
          <w:spacing w:val="-4"/>
        </w:rPr>
        <w:t>B</w:t>
      </w:r>
      <w:r>
        <w:rPr>
          <w:color w:val="0D0D0D"/>
        </w:rPr>
        <w:t>、投机风险</w:t>
        <w:tab/>
      </w:r>
      <w:r>
        <w:rPr>
          <w:color w:val="0D0D0D"/>
          <w:spacing w:val="-4"/>
        </w:rPr>
        <w:t>C</w:t>
      </w:r>
      <w:r>
        <w:rPr>
          <w:color w:val="0D0D0D"/>
        </w:rPr>
        <w:t>、系统风险</w:t>
        <w:tab/>
        <w:t>D、非系统风</w:t>
      </w:r>
      <w:r>
        <w:rPr>
          <w:color w:val="0D0D0D"/>
          <w:spacing w:val="-17"/>
        </w:rPr>
        <w:t>险</w:t>
      </w:r>
      <w:r>
        <w:rPr>
          <w:b/>
          <w:color w:val="0D0D0D"/>
        </w:rPr>
        <w:t>答案:</w:t>
      </w:r>
      <w:r>
        <w:rPr>
          <w:color w:val="0D0D0D"/>
        </w:rPr>
        <w:t>AB</w:t>
      </w:r>
    </w:p>
    <w:p>
      <w:pPr>
        <w:pStyle w:val="BodyText"/>
        <w:spacing w:line="244" w:lineRule="auto"/>
        <w:ind w:right="2648" w:firstLine="629"/>
      </w:pPr>
      <w:r>
        <w:rPr>
          <w:b/>
          <w:color w:val="0D0D0D"/>
        </w:rPr>
        <w:t>解析:</w:t>
      </w:r>
      <w:r>
        <w:rPr>
          <w:color w:val="0D0D0D"/>
          <w:spacing w:val="-1"/>
        </w:rPr>
        <w:t>按照风险导致的后果，可分为纯粹风险和投机风险；按照风险的起源与影响，可</w:t>
      </w:r>
      <w:r>
        <w:rPr>
          <w:color w:val="0D0D0D"/>
        </w:rPr>
        <w:t>分为基本风险与特定风险（或系统风险与非系统风险</w:t>
      </w:r>
      <w:r>
        <w:rPr>
          <w:color w:val="0D0D0D"/>
          <w:spacing w:val="-194"/>
        </w:rPr>
        <w:t>）</w:t>
      </w:r>
      <w:r>
        <w:rPr>
          <w:color w:val="0D0D0D"/>
        </w:rPr>
        <w:t>。</w:t>
      </w:r>
    </w:p>
    <w:p>
      <w:pPr>
        <w:pStyle w:val="BodyText"/>
        <w:spacing w:before="6"/>
      </w:pPr>
      <w:r>
        <w:rPr>
          <w:color w:val="0D0D0D"/>
        </w:rPr>
        <w:t xml:space="preserve">10、风险对策有（ </w:t>
      </w:r>
      <w:r>
        <w:rPr>
          <w:color w:val="0D0D0D"/>
          <w:spacing w:val="-162"/>
        </w:rPr>
        <w:t>）</w:t>
      </w:r>
      <w:r>
        <w:rPr>
          <w:color w:val="0D0D0D"/>
        </w:rPr>
        <w:t>。</w:t>
      </w:r>
    </w:p>
    <w:p>
      <w:pPr>
        <w:pStyle w:val="BodyText"/>
        <w:tabs>
          <w:tab w:val="left" w:pos="6168"/>
          <w:tab w:val="left" w:pos="9005"/>
          <w:tab w:val="left" w:pos="11842"/>
        </w:tabs>
        <w:spacing w:before="10" w:line="247" w:lineRule="auto"/>
        <w:ind w:left="3330" w:right="4276" w:firstLine="3"/>
      </w:pPr>
      <w:r>
        <w:rPr>
          <w:color w:val="0D0D0D"/>
          <w:spacing w:val="-4"/>
        </w:rPr>
        <w:t>A</w:t>
      </w:r>
      <w:r>
        <w:rPr>
          <w:color w:val="0D0D0D"/>
        </w:rPr>
        <w:t>、规避风险</w:t>
        <w:tab/>
      </w:r>
      <w:r>
        <w:rPr>
          <w:color w:val="0D0D0D"/>
          <w:spacing w:val="-4"/>
        </w:rPr>
        <w:t>B</w:t>
      </w:r>
      <w:r>
        <w:rPr>
          <w:color w:val="0D0D0D"/>
        </w:rPr>
        <w:t>、减少风险</w:t>
        <w:tab/>
      </w:r>
      <w:r>
        <w:rPr>
          <w:color w:val="0D0D0D"/>
          <w:spacing w:val="-4"/>
        </w:rPr>
        <w:t>C</w:t>
      </w:r>
      <w:r>
        <w:rPr>
          <w:color w:val="0D0D0D"/>
        </w:rPr>
        <w:t>、转移风险</w:t>
        <w:tab/>
      </w:r>
      <w:r>
        <w:rPr>
          <w:color w:val="0D0D0D"/>
          <w:spacing w:val="-4"/>
        </w:rPr>
        <w:t>D</w:t>
      </w:r>
      <w:r>
        <w:rPr>
          <w:color w:val="0D0D0D"/>
        </w:rPr>
        <w:t>、接受风</w:t>
      </w:r>
      <w:r>
        <w:rPr>
          <w:color w:val="0D0D0D"/>
          <w:spacing w:val="-17"/>
        </w:rPr>
        <w:t>险</w:t>
      </w:r>
      <w:r>
        <w:rPr>
          <w:b/>
          <w:color w:val="0D0D0D"/>
        </w:rPr>
        <w:t>答案:</w:t>
      </w:r>
      <w:r>
        <w:rPr>
          <w:color w:val="0D0D0D"/>
        </w:rPr>
        <w:t>ABCD</w:t>
      </w:r>
    </w:p>
    <w:p>
      <w:pPr>
        <w:spacing w:before="0" w:line="247" w:lineRule="auto"/>
        <w:ind w:left="2700" w:right="11527" w:firstLine="629"/>
        <w:jc w:val="left"/>
        <w:rPr>
          <w:b/>
          <w:sz w:val="31"/>
        </w:rPr>
      </w:pPr>
      <w:r>
        <w:rPr>
          <w:b/>
          <w:color w:val="0D0D0D"/>
          <w:sz w:val="31"/>
        </w:rPr>
        <w:t>解析:</w:t>
      </w:r>
      <w:r>
        <w:rPr>
          <w:color w:val="0D0D0D"/>
          <w:spacing w:val="-14"/>
          <w:sz w:val="31"/>
        </w:rPr>
        <w:t xml:space="preserve">见教材 </w:t>
      </w:r>
      <w:r>
        <w:rPr>
          <w:color w:val="0D0D0D"/>
          <w:sz w:val="31"/>
        </w:rPr>
        <w:t>54-55</w:t>
      </w:r>
      <w:r>
        <w:rPr>
          <w:color w:val="0D0D0D"/>
          <w:spacing w:val="-37"/>
          <w:sz w:val="31"/>
        </w:rPr>
        <w:t xml:space="preserve"> 页</w:t>
      </w:r>
      <w:r>
        <w:rPr>
          <w:b/>
          <w:color w:val="0D0D0D"/>
          <w:sz w:val="31"/>
        </w:rPr>
        <w:t>三、判断题</w:t>
      </w:r>
    </w:p>
    <w:p>
      <w:pPr>
        <w:pStyle w:val="BodyText"/>
        <w:spacing w:line="247" w:lineRule="auto"/>
        <w:ind w:left="3330" w:right="2709" w:hanging="630"/>
      </w:pPr>
      <w:r>
        <w:rPr>
          <w:color w:val="0D0D0D"/>
        </w:rPr>
        <w:t>1、根据（F/P，5%，5）=1.2763，可知（P/A，5%，5）=（1-1/1.2763）/5%=4.3297</w:t>
      </w:r>
      <w:r>
        <w:rPr>
          <w:color w:val="0D0D0D"/>
          <w:spacing w:val="-162"/>
        </w:rPr>
        <w:t>。</w:t>
      </w:r>
      <w:r>
        <w:rPr>
          <w:color w:val="0D0D0D"/>
        </w:rPr>
        <w:t>（</w:t>
      </w:r>
      <w:r>
        <w:rPr>
          <w:color w:val="0D0D0D"/>
          <w:spacing w:val="31"/>
        </w:rPr>
        <w:t xml:space="preserve"> </w:t>
      </w:r>
      <w:r>
        <w:rPr>
          <w:color w:val="0D0D0D"/>
        </w:rPr>
        <w:t xml:space="preserve">） </w:t>
      </w:r>
      <w:r>
        <w:rPr>
          <w:b/>
          <w:color w:val="0D0D0D"/>
        </w:rPr>
        <w:t>答案:</w:t>
      </w:r>
      <w:r>
        <w:rPr>
          <w:color w:val="0D0D0D"/>
        </w:rPr>
        <w:t>√</w:t>
      </w:r>
    </w:p>
    <w:p>
      <w:pPr>
        <w:spacing w:after="0" w:line="247" w:lineRule="auto"/>
        <w:sectPr>
          <w:headerReference w:type="default" r:id="rId26"/>
          <w:footerReference w:type="default" r:id="rId27"/>
          <w:pgSz w:w="17860" w:h="25260"/>
          <w:pgMar w:top="1720" w:right="0" w:bottom="1940" w:left="0" w:header="1129" w:footer="1752"/>
          <w:pgNumType w:start="11"/>
          <w:cols w:space="708"/>
        </w:sectPr>
      </w:pPr>
    </w:p>
    <w:p>
      <w:pPr>
        <w:pStyle w:val="BodyText"/>
        <w:spacing w:before="3"/>
        <w:ind w:left="0"/>
        <w:rPr>
          <w:sz w:val="8"/>
        </w:rPr>
      </w:pPr>
    </w:p>
    <w:p>
      <w:pPr>
        <w:pStyle w:val="BodyText"/>
        <w:spacing w:before="63" w:line="247" w:lineRule="auto"/>
        <w:ind w:right="2534" w:firstLine="629"/>
      </w:pPr>
      <w:r>
        <w:drawing>
          <wp:anchor distT="0" distB="0" distL="0" distR="0" simplePos="0" relativeHeight="251660288" behindDoc="0" locked="0" layoutInCell="1" allowOverlap="1">
            <wp:simplePos x="0" y="0"/>
            <wp:positionH relativeFrom="page">
              <wp:posOffset>1771660</wp:posOffset>
            </wp:positionH>
            <wp:positionV relativeFrom="paragraph">
              <wp:posOffset>580078</wp:posOffset>
            </wp:positionV>
            <wp:extent cx="5257980" cy="81438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28" cstate="print"/>
                    <a:stretch>
                      <a:fillRect/>
                    </a:stretch>
                  </pic:blipFill>
                  <pic:spPr>
                    <a:xfrm>
                      <a:off x="0" y="0"/>
                      <a:ext cx="5257980" cy="814387"/>
                    </a:xfrm>
                    <a:prstGeom prst="rect">
                      <a:avLst/>
                    </a:prstGeom>
                  </pic:spPr>
                </pic:pic>
              </a:graphicData>
            </a:graphic>
          </wp:anchor>
        </w:drawing>
      </w:r>
      <w:r>
        <w:rPr>
          <w:b/>
          <w:color w:val="0D0D0D"/>
        </w:rPr>
        <w:t>解析:</w:t>
      </w:r>
      <w:r>
        <w:rPr>
          <w:color w:val="0D0D0D"/>
          <w:spacing w:val="-7"/>
        </w:rPr>
        <w:t>根据普通年金现值系数</w:t>
      </w:r>
      <w:r>
        <w:rPr>
          <w:color w:val="0D0D0D"/>
          <w:spacing w:val="-16"/>
        </w:rPr>
        <w:t>（P/A，i，n）</w:t>
      </w:r>
      <w:r>
        <w:rPr>
          <w:color w:val="0D0D0D"/>
          <w:spacing w:val="-12"/>
        </w:rPr>
        <w:t>的数学表达方式、复利终值系数</w:t>
      </w:r>
      <w:r>
        <w:rPr>
          <w:color w:val="0D0D0D"/>
          <w:spacing w:val="-8"/>
        </w:rPr>
        <w:t xml:space="preserve">（F/P,i，n） </w:t>
      </w:r>
      <w:r>
        <w:rPr>
          <w:color w:val="0D0D0D"/>
          <w:w w:val="102"/>
        </w:rPr>
        <w:t>的数学表达式以及复利现值系数</w:t>
      </w:r>
      <w:r>
        <w:rPr>
          <w:color w:val="0D0D0D"/>
          <w:spacing w:val="-21"/>
          <w:w w:val="102"/>
        </w:rPr>
        <w:t>（</w:t>
      </w:r>
      <w:r>
        <w:rPr>
          <w:color w:val="0D0D0D"/>
          <w:w w:val="102"/>
        </w:rPr>
        <w:t>P/</w:t>
      </w:r>
      <w:r>
        <w:rPr>
          <w:color w:val="0D0D0D"/>
          <w:spacing w:val="-4"/>
          <w:w w:val="102"/>
        </w:rPr>
        <w:t>F</w:t>
      </w:r>
      <w:r>
        <w:rPr>
          <w:color w:val="0D0D0D"/>
          <w:w w:val="102"/>
        </w:rPr>
        <w:t>，</w:t>
      </w:r>
      <w:r>
        <w:rPr>
          <w:color w:val="0D0D0D"/>
          <w:spacing w:val="-4"/>
          <w:w w:val="102"/>
        </w:rPr>
        <w:t>i</w:t>
      </w:r>
      <w:r>
        <w:rPr>
          <w:color w:val="0D0D0D"/>
          <w:spacing w:val="-1"/>
          <w:w w:val="102"/>
        </w:rPr>
        <w:t>，</w:t>
      </w:r>
      <w:r>
        <w:rPr>
          <w:color w:val="0D0D0D"/>
          <w:spacing w:val="-4"/>
          <w:w w:val="102"/>
        </w:rPr>
        <w:t>n</w:t>
      </w:r>
      <w:r>
        <w:rPr>
          <w:color w:val="0D0D0D"/>
          <w:w w:val="102"/>
        </w:rPr>
        <w:t>）的数学表达式，可知</w:t>
      </w:r>
      <w:r>
        <w:rPr>
          <w:color w:val="0D0D0D"/>
          <w:spacing w:val="-176"/>
          <w:w w:val="102"/>
        </w:rPr>
        <w:t>，</w:t>
      </w:r>
      <w:r>
        <w:rPr>
          <w:color w:val="0D0D0D"/>
          <w:w w:val="102"/>
        </w:rPr>
        <w:t>（P/</w:t>
      </w:r>
      <w:r>
        <w:rPr>
          <w:color w:val="0D0D0D"/>
          <w:spacing w:val="-4"/>
          <w:w w:val="102"/>
        </w:rPr>
        <w:t>A</w:t>
      </w:r>
      <w:r>
        <w:rPr>
          <w:color w:val="0D0D0D"/>
          <w:spacing w:val="-3"/>
          <w:w w:val="102"/>
        </w:rPr>
        <w:t>，</w:t>
      </w:r>
      <w:r>
        <w:rPr>
          <w:color w:val="0D0D0D"/>
          <w:spacing w:val="-4"/>
          <w:w w:val="102"/>
        </w:rPr>
        <w:t>i</w:t>
      </w:r>
      <w:r>
        <w:rPr>
          <w:color w:val="0D0D0D"/>
          <w:w w:val="102"/>
        </w:rPr>
        <w:t>，n）＝</w:t>
      </w:r>
    </w:p>
    <w:p>
      <w:pPr>
        <w:pStyle w:val="BodyText"/>
        <w:spacing w:before="2"/>
        <w:ind w:left="0"/>
        <w:rPr>
          <w:sz w:val="34"/>
        </w:rPr>
      </w:pPr>
    </w:p>
    <w:p>
      <w:pPr>
        <w:pStyle w:val="BodyText"/>
      </w:pPr>
      <w:r>
        <w:rPr>
          <w:color w:val="0D0D0D"/>
        </w:rPr>
        <w:t>2</w:t>
      </w:r>
      <w:r>
        <w:rPr>
          <w:color w:val="0D0D0D"/>
          <w:spacing w:val="-61"/>
        </w:rPr>
        <w:t xml:space="preserve">、若使 </w:t>
      </w:r>
      <w:r>
        <w:rPr>
          <w:color w:val="0D0D0D"/>
        </w:rPr>
        <w:t>1000</w:t>
      </w:r>
      <w:r>
        <w:rPr>
          <w:color w:val="0D0D0D"/>
          <w:spacing w:val="-35"/>
        </w:rPr>
        <w:t xml:space="preserve"> 元经过 </w:t>
      </w:r>
      <w:r>
        <w:rPr>
          <w:color w:val="0D0D0D"/>
        </w:rPr>
        <w:t>4</w:t>
      </w:r>
      <w:r>
        <w:rPr>
          <w:color w:val="0D0D0D"/>
          <w:spacing w:val="-5"/>
        </w:rPr>
        <w:t xml:space="preserve"> 年后的复利终值变为</w:t>
      </w:r>
      <w:r>
        <w:rPr>
          <w:color w:val="0D0D0D"/>
        </w:rPr>
        <w:t>2000</w:t>
      </w:r>
      <w:r>
        <w:rPr>
          <w:color w:val="0D0D0D"/>
          <w:spacing w:val="-33"/>
        </w:rPr>
        <w:t xml:space="preserve"> 元，每半年计息一次，则年利率应为 </w:t>
      </w:r>
      <w:r>
        <w:rPr>
          <w:color w:val="0D0D0D"/>
        </w:rPr>
        <w:t>18.10%。</w:t>
      </w:r>
    </w:p>
    <w:p>
      <w:pPr>
        <w:pStyle w:val="BodyText"/>
        <w:spacing w:before="13"/>
      </w:pPr>
      <w:r>
        <w:rPr>
          <w:color w:val="0D0D0D"/>
        </w:rPr>
        <w:t>（ ）</w:t>
      </w:r>
    </w:p>
    <w:p>
      <w:pPr>
        <w:spacing w:before="10"/>
        <w:ind w:left="3330" w:right="0" w:firstLine="0"/>
        <w:jc w:val="left"/>
        <w:rPr>
          <w:sz w:val="31"/>
        </w:rPr>
      </w:pPr>
      <w:r>
        <w:rPr>
          <w:b/>
          <w:color w:val="0D0D0D"/>
          <w:sz w:val="31"/>
        </w:rPr>
        <w:t>答案:</w:t>
      </w:r>
      <w:r>
        <w:rPr>
          <w:color w:val="0D0D0D"/>
          <w:sz w:val="31"/>
        </w:rPr>
        <w:t>√</w:t>
      </w:r>
    </w:p>
    <w:p>
      <w:pPr>
        <w:pStyle w:val="BodyText"/>
        <w:spacing w:before="13" w:line="244" w:lineRule="auto"/>
        <w:ind w:right="2536" w:firstLine="629"/>
      </w:pPr>
      <w:r>
        <w:rPr>
          <w:b/>
          <w:color w:val="0D0D0D"/>
        </w:rPr>
        <w:t>解析:</w:t>
      </w:r>
      <w:r>
        <w:rPr>
          <w:color w:val="0D0D0D"/>
          <w:spacing w:val="-28"/>
        </w:rPr>
        <w:t>首先应该注意“年利率”指的是“名义利率”不是“实际利率”，即：</w:t>
      </w:r>
      <w:r>
        <w:rPr>
          <w:color w:val="0D0D0D"/>
          <w:spacing w:val="-14"/>
        </w:rPr>
        <w:t xml:space="preserve">1000×（F/P， </w:t>
      </w:r>
      <w:r>
        <w:rPr>
          <w:color w:val="0D0D0D"/>
          <w:w w:val="102"/>
        </w:rPr>
        <w:t>i/</w:t>
      </w:r>
      <w:r>
        <w:rPr>
          <w:color w:val="0D0D0D"/>
          <w:spacing w:val="-4"/>
          <w:w w:val="102"/>
        </w:rPr>
        <w:t>2</w:t>
      </w:r>
      <w:r>
        <w:rPr>
          <w:color w:val="0D0D0D"/>
          <w:spacing w:val="-54"/>
          <w:w w:val="102"/>
        </w:rPr>
        <w:t>，</w:t>
      </w:r>
      <w:r>
        <w:rPr>
          <w:color w:val="0D0D0D"/>
          <w:spacing w:val="-4"/>
          <w:w w:val="102"/>
        </w:rPr>
        <w:t>8</w:t>
      </w:r>
      <w:r>
        <w:rPr>
          <w:color w:val="0D0D0D"/>
          <w:spacing w:val="-54"/>
          <w:w w:val="102"/>
        </w:rPr>
        <w:t>）</w:t>
      </w:r>
      <w:r>
        <w:rPr>
          <w:color w:val="0D0D0D"/>
          <w:w w:val="102"/>
        </w:rPr>
        <w:t>=200</w:t>
      </w:r>
      <w:r>
        <w:rPr>
          <w:color w:val="0D0D0D"/>
          <w:spacing w:val="-4"/>
          <w:w w:val="102"/>
        </w:rPr>
        <w:t>0</w:t>
      </w:r>
      <w:r>
        <w:rPr>
          <w:color w:val="0D0D0D"/>
          <w:spacing w:val="-216"/>
          <w:w w:val="102"/>
        </w:rPr>
        <w:t>，</w:t>
      </w:r>
      <w:r>
        <w:rPr>
          <w:color w:val="0D0D0D"/>
          <w:spacing w:val="-4"/>
          <w:w w:val="102"/>
        </w:rPr>
        <w:t>（</w:t>
      </w:r>
      <w:r>
        <w:rPr>
          <w:color w:val="0D0D0D"/>
          <w:w w:val="102"/>
        </w:rPr>
        <w:t>F/</w:t>
      </w:r>
      <w:r>
        <w:rPr>
          <w:color w:val="0D0D0D"/>
          <w:spacing w:val="-4"/>
          <w:w w:val="102"/>
        </w:rPr>
        <w:t>P</w:t>
      </w:r>
      <w:r>
        <w:rPr>
          <w:color w:val="0D0D0D"/>
          <w:spacing w:val="-53"/>
          <w:w w:val="102"/>
        </w:rPr>
        <w:t>，</w:t>
      </w:r>
      <w:r>
        <w:rPr>
          <w:color w:val="0D0D0D"/>
          <w:w w:val="102"/>
        </w:rPr>
        <w:t>i/</w:t>
      </w:r>
      <w:r>
        <w:rPr>
          <w:color w:val="0D0D0D"/>
          <w:spacing w:val="-8"/>
          <w:w w:val="102"/>
        </w:rPr>
        <w:t>2</w:t>
      </w:r>
      <w:r>
        <w:rPr>
          <w:color w:val="0D0D0D"/>
          <w:spacing w:val="-54"/>
          <w:w w:val="102"/>
        </w:rPr>
        <w:t>，</w:t>
      </w:r>
      <w:r>
        <w:rPr>
          <w:color w:val="0D0D0D"/>
          <w:spacing w:val="-4"/>
          <w:w w:val="102"/>
        </w:rPr>
        <w:t>8</w:t>
      </w:r>
      <w:r>
        <w:rPr>
          <w:color w:val="0D0D0D"/>
          <w:spacing w:val="-55"/>
          <w:w w:val="102"/>
        </w:rPr>
        <w:t>）</w:t>
      </w:r>
      <w:r>
        <w:rPr>
          <w:color w:val="0D0D0D"/>
          <w:w w:val="102"/>
        </w:rPr>
        <w:t>=</w:t>
      </w:r>
      <w:r>
        <w:rPr>
          <w:color w:val="0D0D0D"/>
          <w:spacing w:val="-8"/>
          <w:w w:val="102"/>
        </w:rPr>
        <w:t>2</w:t>
      </w:r>
      <w:r>
        <w:rPr>
          <w:color w:val="0D0D0D"/>
          <w:spacing w:val="-12"/>
          <w:w w:val="102"/>
        </w:rPr>
        <w:t>，查表可知</w:t>
      </w:r>
      <w:r>
        <w:rPr>
          <w:color w:val="0D0D0D"/>
          <w:spacing w:val="-223"/>
          <w:w w:val="102"/>
        </w:rPr>
        <w:t>：</w:t>
      </w:r>
      <w:r>
        <w:rPr>
          <w:color w:val="0D0D0D"/>
          <w:spacing w:val="-1"/>
          <w:w w:val="102"/>
        </w:rPr>
        <w:t>（</w:t>
      </w:r>
      <w:r>
        <w:rPr>
          <w:color w:val="0D0D0D"/>
          <w:w w:val="102"/>
        </w:rPr>
        <w:t>F/</w:t>
      </w:r>
      <w:r>
        <w:rPr>
          <w:color w:val="0D0D0D"/>
          <w:spacing w:val="-7"/>
          <w:w w:val="102"/>
        </w:rPr>
        <w:t>P</w:t>
      </w:r>
      <w:r>
        <w:rPr>
          <w:color w:val="0D0D0D"/>
          <w:spacing w:val="-58"/>
          <w:w w:val="102"/>
        </w:rPr>
        <w:t>，</w:t>
      </w:r>
      <w:r>
        <w:rPr>
          <w:color w:val="0D0D0D"/>
          <w:w w:val="102"/>
        </w:rPr>
        <w:t>10</w:t>
      </w:r>
      <w:r>
        <w:rPr>
          <w:color w:val="0D0D0D"/>
          <w:spacing w:val="-30"/>
          <w:w w:val="102"/>
        </w:rPr>
        <w:t>%，</w:t>
      </w:r>
      <w:r>
        <w:rPr>
          <w:color w:val="0D0D0D"/>
          <w:spacing w:val="-4"/>
          <w:w w:val="102"/>
        </w:rPr>
        <w:t>8</w:t>
      </w:r>
      <w:r>
        <w:rPr>
          <w:color w:val="0D0D0D"/>
          <w:spacing w:val="-54"/>
          <w:w w:val="102"/>
        </w:rPr>
        <w:t>）</w:t>
      </w:r>
      <w:r>
        <w:rPr>
          <w:color w:val="0D0D0D"/>
          <w:w w:val="102"/>
        </w:rPr>
        <w:t>=2.1436,(F/P,9%,8)=1.9926,</w:t>
      </w:r>
      <w:r>
        <w:rPr>
          <w:color w:val="0D0D0D"/>
          <w:spacing w:val="-2"/>
        </w:rPr>
        <w:t>利用内插法可知:</w:t>
      </w:r>
    </w:p>
    <w:p>
      <w:pPr>
        <w:pStyle w:val="BodyText"/>
        <w:spacing w:before="3"/>
        <w:ind w:left="0"/>
        <w:rPr>
          <w:sz w:val="28"/>
        </w:rPr>
      </w:pPr>
      <w:r>
        <w:drawing>
          <wp:anchor distT="0" distB="0" distL="0" distR="0" simplePos="0" relativeHeight="251661312" behindDoc="0" locked="0" layoutInCell="1" allowOverlap="1">
            <wp:simplePos x="0" y="0"/>
            <wp:positionH relativeFrom="page">
              <wp:posOffset>1742122</wp:posOffset>
            </wp:positionH>
            <wp:positionV relativeFrom="paragraph">
              <wp:posOffset>254990</wp:posOffset>
            </wp:positionV>
            <wp:extent cx="7858601" cy="1795462"/>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29" cstate="print"/>
                    <a:stretch>
                      <a:fillRect/>
                    </a:stretch>
                  </pic:blipFill>
                  <pic:spPr>
                    <a:xfrm>
                      <a:off x="0" y="0"/>
                      <a:ext cx="7858601" cy="1795462"/>
                    </a:xfrm>
                    <a:prstGeom prst="rect">
                      <a:avLst/>
                    </a:prstGeom>
                  </pic:spPr>
                </pic:pic>
              </a:graphicData>
            </a:graphic>
          </wp:anchor>
        </w:drawing>
      </w:r>
    </w:p>
    <w:p>
      <w:pPr>
        <w:pStyle w:val="BodyText"/>
        <w:spacing w:before="35"/>
      </w:pPr>
      <w:r>
        <w:rPr>
          <w:color w:val="0D0D0D"/>
        </w:rPr>
        <w:t>解得:i/2=9.05%,i=18.10%</w:t>
      </w:r>
    </w:p>
    <w:p>
      <w:pPr>
        <w:pStyle w:val="BodyText"/>
        <w:spacing w:before="13"/>
      </w:pPr>
      <w:r>
        <w:rPr>
          <w:color w:val="0D0D0D"/>
        </w:rPr>
        <w:t>3、已知（F/A，5%，4）=4.3101,(F/P,5%,4)=1.2155,(F/P,5%,5)=1.2763,则(F/A,5%,5)为</w:t>
      </w:r>
    </w:p>
    <w:p>
      <w:pPr>
        <w:pStyle w:val="BodyText"/>
        <w:spacing w:before="9"/>
      </w:pPr>
      <w:r>
        <w:rPr>
          <w:color w:val="0D0D0D"/>
        </w:rPr>
        <w:t>5.5256</w:t>
      </w:r>
      <w:r>
        <w:rPr>
          <w:color w:val="0D0D0D"/>
          <w:spacing w:val="-159"/>
        </w:rPr>
        <w:t>。</w:t>
      </w:r>
      <w:r>
        <w:rPr>
          <w:color w:val="0D0D0D"/>
        </w:rPr>
        <w:t>（ ）</w:t>
      </w:r>
    </w:p>
    <w:p>
      <w:pPr>
        <w:spacing w:before="14"/>
        <w:ind w:left="3330" w:right="0" w:firstLine="0"/>
        <w:jc w:val="left"/>
        <w:rPr>
          <w:sz w:val="31"/>
        </w:rPr>
      </w:pPr>
      <w:r>
        <w:rPr>
          <w:b/>
          <w:color w:val="0D0D0D"/>
          <w:sz w:val="31"/>
        </w:rPr>
        <w:t>答案:</w:t>
      </w:r>
      <w:r>
        <w:rPr>
          <w:color w:val="0D0D0D"/>
          <w:sz w:val="31"/>
        </w:rPr>
        <w:t>√</w:t>
      </w:r>
    </w:p>
    <w:p>
      <w:pPr>
        <w:pStyle w:val="BodyText"/>
        <w:spacing w:before="9" w:line="247" w:lineRule="auto"/>
        <w:ind w:right="2684" w:firstLine="629"/>
        <w:jc w:val="both"/>
      </w:pPr>
      <w:r>
        <w:rPr>
          <w:b/>
          <w:color w:val="0D0D0D"/>
          <w:w w:val="101"/>
        </w:rPr>
        <w:t>解析</w:t>
      </w:r>
      <w:r>
        <w:rPr>
          <w:b/>
          <w:color w:val="0D0D0D"/>
          <w:w w:val="101"/>
        </w:rPr>
        <w:t>:</w:t>
      </w:r>
      <w:r>
        <w:rPr>
          <w:color w:val="0D0D0D"/>
          <w:w w:val="102"/>
        </w:rPr>
        <w:t>根据教材的内容很容易知道</w:t>
      </w:r>
      <w:r>
        <w:rPr>
          <w:color w:val="0D0D0D"/>
          <w:spacing w:val="-180"/>
          <w:w w:val="102"/>
        </w:rPr>
        <w:t>：</w:t>
      </w:r>
      <w:r>
        <w:rPr>
          <w:color w:val="0D0D0D"/>
          <w:w w:val="102"/>
        </w:rPr>
        <w:t>（F/</w:t>
      </w:r>
      <w:r>
        <w:rPr>
          <w:color w:val="0D0D0D"/>
          <w:spacing w:val="-4"/>
          <w:w w:val="102"/>
        </w:rPr>
        <w:t>A，</w:t>
      </w:r>
      <w:r>
        <w:rPr>
          <w:color w:val="0D0D0D"/>
          <w:w w:val="102"/>
        </w:rPr>
        <w:t>i，</w:t>
      </w:r>
      <w:r>
        <w:rPr>
          <w:color w:val="0D0D0D"/>
          <w:spacing w:val="-4"/>
          <w:w w:val="102"/>
        </w:rPr>
        <w:t>n</w:t>
      </w:r>
      <w:r>
        <w:rPr>
          <w:color w:val="0D0D0D"/>
          <w:w w:val="102"/>
        </w:rPr>
        <w:t>）</w:t>
      </w:r>
      <w:r>
        <w:rPr>
          <w:color w:val="0D0D0D"/>
          <w:spacing w:val="3"/>
        </w:rPr>
        <w:t xml:space="preserve"> </w:t>
      </w:r>
      <w:r>
        <w:rPr>
          <w:color w:val="0D0D0D"/>
          <w:w w:val="102"/>
        </w:rPr>
        <w:t>=</w:t>
      </w:r>
      <w:r>
        <w:rPr>
          <w:color w:val="0D0D0D"/>
          <w:spacing w:val="-4"/>
          <w:w w:val="102"/>
        </w:rPr>
        <w:t>（</w:t>
      </w:r>
      <w:r>
        <w:rPr>
          <w:color w:val="0D0D0D"/>
          <w:w w:val="102"/>
        </w:rPr>
        <w:t>1+</w:t>
      </w:r>
      <w:r>
        <w:rPr>
          <w:color w:val="0D0D0D"/>
          <w:spacing w:val="-4"/>
          <w:w w:val="102"/>
        </w:rPr>
        <w:t>i</w:t>
      </w:r>
      <w:r>
        <w:rPr>
          <w:color w:val="0D0D0D"/>
          <w:w w:val="102"/>
        </w:rPr>
        <w:t>）0</w:t>
      </w:r>
      <w:r>
        <w:rPr>
          <w:color w:val="0D0D0D"/>
          <w:spacing w:val="-4"/>
          <w:w w:val="102"/>
        </w:rPr>
        <w:t>+</w:t>
      </w:r>
      <w:r>
        <w:rPr>
          <w:color w:val="0D0D0D"/>
          <w:w w:val="102"/>
        </w:rPr>
        <w:t>（1+</w:t>
      </w:r>
      <w:r>
        <w:rPr>
          <w:color w:val="0D0D0D"/>
          <w:spacing w:val="-4"/>
          <w:w w:val="102"/>
        </w:rPr>
        <w:t>i</w:t>
      </w:r>
      <w:r>
        <w:rPr>
          <w:color w:val="0D0D0D"/>
          <w:w w:val="102"/>
        </w:rPr>
        <w:t>）1</w:t>
      </w:r>
      <w:r>
        <w:rPr>
          <w:color w:val="0D0D0D"/>
          <w:spacing w:val="-2"/>
          <w:w w:val="102"/>
        </w:rPr>
        <w:t>+……+</w:t>
      </w:r>
      <w:r>
        <w:rPr>
          <w:color w:val="0D0D0D"/>
          <w:w w:val="102"/>
        </w:rPr>
        <w:t>（1+</w:t>
      </w:r>
      <w:r>
        <w:rPr>
          <w:color w:val="0D0D0D"/>
          <w:spacing w:val="-4"/>
          <w:w w:val="102"/>
        </w:rPr>
        <w:t>i</w:t>
      </w:r>
      <w:r>
        <w:rPr>
          <w:color w:val="0D0D0D"/>
          <w:w w:val="102"/>
        </w:rPr>
        <w:t>） (n-2)</w:t>
      </w:r>
      <w:r>
        <w:rPr>
          <w:color w:val="0D0D0D"/>
          <w:spacing w:val="-80"/>
        </w:rPr>
        <w:t xml:space="preserve"> </w:t>
      </w:r>
      <w:r>
        <w:rPr>
          <w:color w:val="0D0D0D"/>
          <w:spacing w:val="-8"/>
          <w:w w:val="102"/>
        </w:rPr>
        <w:t>+</w:t>
      </w:r>
      <w:r>
        <w:rPr>
          <w:color w:val="0D0D0D"/>
          <w:w w:val="102"/>
        </w:rPr>
        <w:t>（1+</w:t>
      </w:r>
      <w:r>
        <w:rPr>
          <w:color w:val="0D0D0D"/>
          <w:spacing w:val="-4"/>
          <w:w w:val="102"/>
        </w:rPr>
        <w:t>i）</w:t>
      </w:r>
      <w:r>
        <w:rPr>
          <w:color w:val="0D0D0D"/>
          <w:w w:val="102"/>
        </w:rPr>
        <w:t>(n-1)</w:t>
      </w:r>
      <w:r>
        <w:rPr>
          <w:color w:val="0D0D0D"/>
          <w:spacing w:val="-3"/>
        </w:rPr>
        <w:t xml:space="preserve"> </w:t>
      </w:r>
      <w:r>
        <w:rPr>
          <w:color w:val="0D0D0D"/>
          <w:spacing w:val="-35"/>
          <w:w w:val="102"/>
        </w:rPr>
        <w:t>由此可知：</w:t>
      </w:r>
      <w:r>
        <w:rPr>
          <w:color w:val="0D0D0D"/>
          <w:spacing w:val="-1"/>
          <w:w w:val="102"/>
        </w:rPr>
        <w:t>（</w:t>
      </w:r>
      <w:r>
        <w:rPr>
          <w:color w:val="0D0D0D"/>
          <w:w w:val="102"/>
        </w:rPr>
        <w:t>F/</w:t>
      </w:r>
      <w:r>
        <w:rPr>
          <w:color w:val="0D0D0D"/>
          <w:spacing w:val="-4"/>
          <w:w w:val="102"/>
        </w:rPr>
        <w:t>A</w:t>
      </w:r>
      <w:r>
        <w:rPr>
          <w:color w:val="0D0D0D"/>
          <w:spacing w:val="-8"/>
          <w:w w:val="102"/>
        </w:rPr>
        <w:t>，</w:t>
      </w:r>
      <w:r>
        <w:rPr>
          <w:color w:val="0D0D0D"/>
          <w:spacing w:val="-4"/>
          <w:w w:val="102"/>
        </w:rPr>
        <w:t>i，</w:t>
      </w:r>
      <w:r>
        <w:rPr>
          <w:color w:val="0D0D0D"/>
          <w:w w:val="102"/>
        </w:rPr>
        <w:t>n-</w:t>
      </w:r>
      <w:r>
        <w:rPr>
          <w:color w:val="0D0D0D"/>
          <w:spacing w:val="-4"/>
          <w:w w:val="102"/>
        </w:rPr>
        <w:t>1</w:t>
      </w:r>
      <w:r>
        <w:rPr>
          <w:color w:val="0D0D0D"/>
          <w:w w:val="102"/>
        </w:rPr>
        <w:t>）</w:t>
      </w:r>
      <w:r>
        <w:rPr>
          <w:color w:val="0D0D0D"/>
        </w:rPr>
        <w:t xml:space="preserve"> </w:t>
      </w:r>
      <w:r>
        <w:rPr>
          <w:color w:val="0D0D0D"/>
          <w:spacing w:val="-8"/>
          <w:w w:val="102"/>
        </w:rPr>
        <w:t>=</w:t>
      </w:r>
      <w:r>
        <w:rPr>
          <w:color w:val="0D0D0D"/>
          <w:w w:val="102"/>
        </w:rPr>
        <w:t>（1+</w:t>
      </w:r>
      <w:r>
        <w:rPr>
          <w:color w:val="0D0D0D"/>
          <w:spacing w:val="-8"/>
          <w:w w:val="102"/>
        </w:rPr>
        <w:t>i</w:t>
      </w:r>
      <w:r>
        <w:rPr>
          <w:color w:val="0D0D0D"/>
          <w:spacing w:val="-4"/>
          <w:w w:val="102"/>
        </w:rPr>
        <w:t>）</w:t>
      </w:r>
      <w:r>
        <w:rPr>
          <w:color w:val="0D0D0D"/>
          <w:w w:val="102"/>
        </w:rPr>
        <w:t>0</w:t>
      </w:r>
      <w:r>
        <w:rPr>
          <w:color w:val="0D0D0D"/>
          <w:spacing w:val="-8"/>
          <w:w w:val="102"/>
        </w:rPr>
        <w:t>+</w:t>
      </w:r>
      <w:r>
        <w:rPr>
          <w:color w:val="0D0D0D"/>
          <w:spacing w:val="-4"/>
          <w:w w:val="102"/>
        </w:rPr>
        <w:t>（</w:t>
      </w:r>
      <w:r>
        <w:rPr>
          <w:color w:val="0D0D0D"/>
          <w:w w:val="102"/>
        </w:rPr>
        <w:t>1+</w:t>
      </w:r>
      <w:r>
        <w:rPr>
          <w:color w:val="0D0D0D"/>
          <w:spacing w:val="-4"/>
          <w:w w:val="102"/>
        </w:rPr>
        <w:t>i）</w:t>
      </w:r>
      <w:r>
        <w:rPr>
          <w:color w:val="0D0D0D"/>
          <w:w w:val="102"/>
        </w:rPr>
        <w:t>1</w:t>
      </w:r>
      <w:r>
        <w:rPr>
          <w:color w:val="0D0D0D"/>
          <w:spacing w:val="-2"/>
          <w:w w:val="102"/>
        </w:rPr>
        <w:t>+……</w:t>
      </w:r>
      <w:r>
        <w:rPr>
          <w:color w:val="0D0D0D"/>
          <w:spacing w:val="-7"/>
          <w:w w:val="102"/>
        </w:rPr>
        <w:t>（</w:t>
      </w:r>
      <w:r>
        <w:rPr>
          <w:color w:val="0D0D0D"/>
          <w:w w:val="102"/>
        </w:rPr>
        <w:t>1+</w:t>
      </w:r>
      <w:r>
        <w:rPr>
          <w:color w:val="0D0D0D"/>
          <w:spacing w:val="-8"/>
          <w:w w:val="102"/>
        </w:rPr>
        <w:t>i</w:t>
      </w:r>
      <w:r>
        <w:rPr>
          <w:color w:val="0D0D0D"/>
          <w:spacing w:val="-4"/>
          <w:w w:val="102"/>
        </w:rPr>
        <w:t>）</w:t>
      </w:r>
      <w:r>
        <w:rPr>
          <w:color w:val="0D0D0D"/>
          <w:w w:val="102"/>
        </w:rPr>
        <w:t>(n-2)</w:t>
      </w:r>
      <w:r>
        <w:rPr>
          <w:color w:val="0D0D0D"/>
          <w:spacing w:val="-80"/>
          <w:w w:val="102"/>
        </w:rPr>
        <w:t>即：</w:t>
      </w:r>
      <w:r>
        <w:rPr>
          <w:color w:val="0D0D0D"/>
          <w:spacing w:val="-1"/>
          <w:w w:val="102"/>
        </w:rPr>
        <w:t>（</w:t>
      </w:r>
      <w:r>
        <w:rPr>
          <w:color w:val="0D0D0D"/>
          <w:w w:val="102"/>
        </w:rPr>
        <w:t>F/</w:t>
      </w:r>
      <w:r>
        <w:rPr>
          <w:color w:val="0D0D0D"/>
          <w:spacing w:val="-4"/>
          <w:w w:val="102"/>
        </w:rPr>
        <w:t>A，</w:t>
      </w:r>
      <w:r>
        <w:rPr>
          <w:color w:val="0D0D0D"/>
          <w:w w:val="102"/>
        </w:rPr>
        <w:t>i，</w:t>
      </w:r>
      <w:r>
        <w:rPr>
          <w:color w:val="0D0D0D"/>
          <w:spacing w:val="-4"/>
          <w:w w:val="102"/>
        </w:rPr>
        <w:t>n</w:t>
      </w:r>
      <w:r>
        <w:rPr>
          <w:color w:val="0D0D0D"/>
          <w:w w:val="102"/>
        </w:rPr>
        <w:t>）</w:t>
      </w:r>
      <w:r>
        <w:rPr>
          <w:color w:val="0D0D0D"/>
          <w:spacing w:val="3"/>
        </w:rPr>
        <w:t xml:space="preserve"> </w:t>
      </w:r>
      <w:r>
        <w:rPr>
          <w:color w:val="0D0D0D"/>
          <w:spacing w:val="-4"/>
          <w:w w:val="102"/>
        </w:rPr>
        <w:t>=</w:t>
      </w:r>
      <w:r>
        <w:rPr>
          <w:color w:val="0D0D0D"/>
          <w:spacing w:val="1"/>
          <w:w w:val="102"/>
        </w:rPr>
        <w:t>（</w:t>
      </w:r>
      <w:r>
        <w:rPr>
          <w:color w:val="0D0D0D"/>
          <w:w w:val="102"/>
        </w:rPr>
        <w:t>F/</w:t>
      </w:r>
      <w:r>
        <w:rPr>
          <w:color w:val="0D0D0D"/>
          <w:spacing w:val="-8"/>
          <w:w w:val="102"/>
        </w:rPr>
        <w:t>A</w:t>
      </w:r>
      <w:r>
        <w:rPr>
          <w:color w:val="0D0D0D"/>
          <w:w w:val="102"/>
        </w:rPr>
        <w:t>，i，n-</w:t>
      </w:r>
      <w:r>
        <w:rPr>
          <w:color w:val="0D0D0D"/>
          <w:spacing w:val="-4"/>
          <w:w w:val="102"/>
        </w:rPr>
        <w:t>1）</w:t>
      </w:r>
      <w:r>
        <w:rPr>
          <w:color w:val="0D0D0D"/>
          <w:w w:val="102"/>
        </w:rPr>
        <w:t>+（1+</w:t>
      </w:r>
      <w:r>
        <w:rPr>
          <w:color w:val="0D0D0D"/>
          <w:spacing w:val="-4"/>
          <w:w w:val="102"/>
        </w:rPr>
        <w:t>i）</w:t>
      </w:r>
      <w:r>
        <w:rPr>
          <w:color w:val="0D0D0D"/>
          <w:w w:val="102"/>
        </w:rPr>
        <w:t>(n-1)</w:t>
      </w:r>
      <w:r>
        <w:rPr>
          <w:color w:val="0D0D0D"/>
          <w:spacing w:val="3"/>
        </w:rPr>
        <w:t xml:space="preserve"> </w:t>
      </w:r>
      <w:r>
        <w:rPr>
          <w:color w:val="0D0D0D"/>
          <w:spacing w:val="-7"/>
          <w:w w:val="102"/>
        </w:rPr>
        <w:t>=</w:t>
      </w:r>
      <w:r>
        <w:rPr>
          <w:color w:val="0D0D0D"/>
          <w:w w:val="102"/>
        </w:rPr>
        <w:t>（F/</w:t>
      </w:r>
      <w:r>
        <w:rPr>
          <w:color w:val="0D0D0D"/>
          <w:spacing w:val="-4"/>
          <w:w w:val="102"/>
        </w:rPr>
        <w:t>A</w:t>
      </w:r>
      <w:r>
        <w:rPr>
          <w:color w:val="0D0D0D"/>
          <w:spacing w:val="-1"/>
          <w:w w:val="102"/>
        </w:rPr>
        <w:t>，</w:t>
      </w:r>
      <w:r>
        <w:rPr>
          <w:color w:val="0D0D0D"/>
          <w:spacing w:val="-4"/>
          <w:w w:val="102"/>
        </w:rPr>
        <w:t>i</w:t>
      </w:r>
      <w:r>
        <w:rPr>
          <w:color w:val="0D0D0D"/>
          <w:w w:val="102"/>
        </w:rPr>
        <w:t>，n-</w:t>
      </w:r>
      <w:r>
        <w:rPr>
          <w:color w:val="0D0D0D"/>
          <w:spacing w:val="-4"/>
          <w:w w:val="102"/>
        </w:rPr>
        <w:t>1</w:t>
      </w:r>
      <w:r>
        <w:rPr>
          <w:color w:val="0D0D0D"/>
          <w:spacing w:val="-1"/>
          <w:w w:val="102"/>
        </w:rPr>
        <w:t>）</w:t>
      </w:r>
      <w:r>
        <w:rPr>
          <w:color w:val="0D0D0D"/>
          <w:spacing w:val="-4"/>
          <w:w w:val="102"/>
        </w:rPr>
        <w:t>+</w:t>
      </w:r>
      <w:r>
        <w:rPr>
          <w:color w:val="0D0D0D"/>
          <w:w w:val="102"/>
        </w:rPr>
        <w:t>（F/</w:t>
      </w:r>
      <w:r>
        <w:rPr>
          <w:color w:val="0D0D0D"/>
          <w:spacing w:val="-7"/>
          <w:w w:val="102"/>
        </w:rPr>
        <w:t>P</w:t>
      </w:r>
      <w:r>
        <w:rPr>
          <w:color w:val="0D0D0D"/>
          <w:w w:val="102"/>
        </w:rPr>
        <w:t>，i，n-</w:t>
      </w:r>
      <w:r>
        <w:rPr>
          <w:color w:val="0D0D0D"/>
          <w:spacing w:val="-4"/>
          <w:w w:val="102"/>
        </w:rPr>
        <w:t>1</w:t>
      </w:r>
      <w:r>
        <w:rPr>
          <w:color w:val="0D0D0D"/>
          <w:w w:val="102"/>
        </w:rPr>
        <w:t>）</w:t>
      </w:r>
      <w:r>
        <w:rPr>
          <w:color w:val="0D0D0D"/>
          <w:spacing w:val="-54"/>
          <w:w w:val="102"/>
        </w:rPr>
        <w:t>所以，</w:t>
      </w:r>
      <w:r>
        <w:rPr>
          <w:color w:val="0D0D0D"/>
          <w:spacing w:val="-1"/>
          <w:w w:val="102"/>
        </w:rPr>
        <w:t>（</w:t>
      </w:r>
      <w:r>
        <w:rPr>
          <w:color w:val="0D0D0D"/>
          <w:w w:val="102"/>
        </w:rPr>
        <w:t>F/</w:t>
      </w:r>
      <w:r>
        <w:rPr>
          <w:color w:val="0D0D0D"/>
          <w:spacing w:val="-4"/>
          <w:w w:val="102"/>
        </w:rPr>
        <w:t>A</w:t>
      </w:r>
      <w:r>
        <w:rPr>
          <w:color w:val="0D0D0D"/>
          <w:w w:val="102"/>
        </w:rPr>
        <w:t>，5</w:t>
      </w:r>
      <w:r>
        <w:rPr>
          <w:color w:val="0D0D0D"/>
          <w:spacing w:val="-2"/>
          <w:w w:val="102"/>
        </w:rPr>
        <w:t>%，</w:t>
      </w:r>
      <w:r>
        <w:rPr>
          <w:color w:val="0D0D0D"/>
          <w:spacing w:val="-4"/>
          <w:w w:val="102"/>
        </w:rPr>
        <w:t>5</w:t>
      </w:r>
      <w:r>
        <w:rPr>
          <w:color w:val="0D0D0D"/>
          <w:w w:val="102"/>
        </w:rPr>
        <w:t>）</w:t>
      </w:r>
      <w:r>
        <w:rPr>
          <w:color w:val="0D0D0D"/>
          <w:spacing w:val="4"/>
        </w:rPr>
        <w:t xml:space="preserve"> </w:t>
      </w:r>
      <w:r>
        <w:rPr>
          <w:color w:val="0D0D0D"/>
          <w:spacing w:val="-4"/>
          <w:w w:val="102"/>
        </w:rPr>
        <w:t>=（</w:t>
      </w:r>
      <w:r>
        <w:rPr>
          <w:color w:val="0D0D0D"/>
          <w:w w:val="102"/>
        </w:rPr>
        <w:t>F/A，5</w:t>
      </w:r>
      <w:r>
        <w:rPr>
          <w:color w:val="0D0D0D"/>
          <w:spacing w:val="-2"/>
          <w:w w:val="102"/>
        </w:rPr>
        <w:t>%，</w:t>
      </w:r>
      <w:r>
        <w:rPr>
          <w:color w:val="0D0D0D"/>
          <w:spacing w:val="-4"/>
          <w:w w:val="102"/>
        </w:rPr>
        <w:t>4</w:t>
      </w:r>
      <w:r>
        <w:rPr>
          <w:color w:val="0D0D0D"/>
          <w:w w:val="102"/>
        </w:rPr>
        <w:t>）</w:t>
      </w:r>
      <w:r>
        <w:rPr>
          <w:color w:val="0D0D0D"/>
          <w:spacing w:val="-4"/>
          <w:w w:val="102"/>
        </w:rPr>
        <w:t>+</w:t>
      </w:r>
      <w:r>
        <w:rPr>
          <w:color w:val="0D0D0D"/>
          <w:w w:val="102"/>
        </w:rPr>
        <w:t>（F/</w:t>
      </w:r>
      <w:r>
        <w:rPr>
          <w:color w:val="0D0D0D"/>
          <w:spacing w:val="-4"/>
          <w:w w:val="102"/>
        </w:rPr>
        <w:t>P</w:t>
      </w:r>
      <w:r>
        <w:rPr>
          <w:color w:val="0D0D0D"/>
          <w:w w:val="102"/>
        </w:rPr>
        <w:t>，5</w:t>
      </w:r>
      <w:r>
        <w:rPr>
          <w:color w:val="0D0D0D"/>
          <w:spacing w:val="-4"/>
          <w:w w:val="102"/>
        </w:rPr>
        <w:t>%</w:t>
      </w:r>
      <w:r>
        <w:rPr>
          <w:color w:val="0D0D0D"/>
          <w:w w:val="102"/>
        </w:rPr>
        <w:t>，4）</w:t>
      </w:r>
      <w:r>
        <w:rPr>
          <w:color w:val="0D0D0D"/>
          <w:spacing w:val="3"/>
        </w:rPr>
        <w:t xml:space="preserve"> </w:t>
      </w:r>
      <w:r>
        <w:rPr>
          <w:color w:val="0D0D0D"/>
          <w:w w:val="102"/>
        </w:rPr>
        <w:t>=5.5256</w:t>
      </w:r>
    </w:p>
    <w:p>
      <w:pPr>
        <w:pStyle w:val="BodyText"/>
        <w:spacing w:line="247" w:lineRule="auto"/>
        <w:ind w:right="2643"/>
        <w:jc w:val="both"/>
      </w:pPr>
      <w:r>
        <w:rPr>
          <w:color w:val="0D0D0D"/>
        </w:rPr>
        <w:t>4</w:t>
      </w:r>
      <w:r>
        <w:rPr>
          <w:color w:val="0D0D0D"/>
          <w:spacing w:val="-1"/>
        </w:rPr>
        <w:t>、即使企业息税前资金利润率高于借入资金利息率，增加借入资金也不能提高自有资金利</w:t>
      </w:r>
      <w:r>
        <w:rPr>
          <w:color w:val="0D0D0D"/>
          <w:spacing w:val="-54"/>
        </w:rPr>
        <w:t>润率。</w:t>
      </w:r>
      <w:r>
        <w:rPr>
          <w:color w:val="0D0D0D"/>
        </w:rPr>
        <w:t>（ ）</w:t>
      </w:r>
    </w:p>
    <w:p>
      <w:pPr>
        <w:spacing w:before="0" w:line="396" w:lineRule="exact"/>
        <w:ind w:left="3330" w:right="0" w:firstLine="0"/>
        <w:jc w:val="left"/>
        <w:rPr>
          <w:sz w:val="31"/>
        </w:rPr>
      </w:pPr>
      <w:r>
        <w:rPr>
          <w:b/>
          <w:color w:val="0D0D0D"/>
          <w:sz w:val="31"/>
        </w:rPr>
        <w:t>答案:</w:t>
      </w:r>
      <w:r>
        <w:rPr>
          <w:color w:val="0D0D0D"/>
          <w:sz w:val="31"/>
        </w:rPr>
        <w:t>×</w:t>
      </w:r>
    </w:p>
    <w:p>
      <w:pPr>
        <w:pStyle w:val="BodyText"/>
        <w:spacing w:before="12" w:line="244" w:lineRule="auto"/>
        <w:ind w:right="2648" w:firstLine="629"/>
      </w:pPr>
      <w:r>
        <w:rPr>
          <w:b/>
          <w:color w:val="0D0D0D"/>
        </w:rPr>
        <w:t>解析:</w:t>
      </w:r>
      <w:r>
        <w:rPr>
          <w:color w:val="0D0D0D"/>
        </w:rPr>
        <w:t>当企业息税前资金利润率高于借入资金利息率时，借入资金产生的息税前利润大于借入资金的利息，增加借入资金会导致净利润增加，提高自有资金利润率。</w:t>
      </w:r>
    </w:p>
    <w:p>
      <w:pPr>
        <w:pStyle w:val="BodyText"/>
        <w:spacing w:before="7" w:line="244" w:lineRule="auto"/>
        <w:ind w:right="2643"/>
      </w:pPr>
      <w:r>
        <w:rPr>
          <w:color w:val="0D0D0D"/>
        </w:rPr>
        <w:t>5</w:t>
      </w:r>
      <w:r>
        <w:rPr>
          <w:color w:val="0D0D0D"/>
          <w:spacing w:val="-1"/>
        </w:rPr>
        <w:t>、风险是对企业目标产生负面影响的事件发生的可能性。风险由风险因素、风险收益和风</w:t>
      </w:r>
      <w:r>
        <w:rPr>
          <w:color w:val="0D0D0D"/>
        </w:rPr>
        <w:t>险损失三个要素所构成</w:t>
      </w:r>
      <w:r>
        <w:rPr>
          <w:color w:val="0D0D0D"/>
          <w:spacing w:val="-176"/>
        </w:rPr>
        <w:t>。</w:t>
      </w:r>
      <w:r>
        <w:rPr>
          <w:color w:val="0D0D0D"/>
        </w:rPr>
        <w:t>（ ）</w:t>
      </w:r>
    </w:p>
    <w:p>
      <w:pPr>
        <w:spacing w:before="7"/>
        <w:ind w:left="3330" w:right="0" w:firstLine="0"/>
        <w:jc w:val="left"/>
        <w:rPr>
          <w:sz w:val="31"/>
        </w:rPr>
      </w:pPr>
      <w:r>
        <w:rPr>
          <w:b/>
          <w:color w:val="0D0D0D"/>
          <w:sz w:val="31"/>
        </w:rPr>
        <w:t>答案:</w:t>
      </w:r>
      <w:r>
        <w:rPr>
          <w:color w:val="0D0D0D"/>
          <w:sz w:val="31"/>
        </w:rPr>
        <w:t>×</w:t>
      </w:r>
    </w:p>
    <w:p>
      <w:pPr>
        <w:pStyle w:val="BodyText"/>
        <w:spacing w:before="10" w:line="247" w:lineRule="auto"/>
        <w:ind w:right="2648" w:firstLine="629"/>
      </w:pPr>
      <w:r>
        <w:rPr>
          <w:b/>
          <w:color w:val="0D0D0D"/>
        </w:rPr>
        <w:t>解析:</w:t>
      </w:r>
      <w:r>
        <w:rPr>
          <w:color w:val="0D0D0D"/>
        </w:rPr>
        <w:t>风险是对企业目标产生负面影响的事件发生的可能性。风险由风险因素、风险事故和风险损失三个要素所构成。</w:t>
      </w:r>
    </w:p>
    <w:p>
      <w:pPr>
        <w:pStyle w:val="BodyText"/>
        <w:spacing w:line="247" w:lineRule="auto"/>
        <w:ind w:right="2584"/>
      </w:pPr>
      <w:r>
        <w:rPr>
          <w:color w:val="0D0D0D"/>
        </w:rPr>
        <w:t>6、当风险所造成的损失不能由该项目可能获得的收益予以抵消时，应当放弃该项目，以减少风险。（ ）</w:t>
      </w:r>
    </w:p>
    <w:p>
      <w:pPr>
        <w:spacing w:before="0" w:line="397" w:lineRule="exact"/>
        <w:ind w:left="3330" w:right="0" w:firstLine="0"/>
        <w:jc w:val="left"/>
        <w:rPr>
          <w:sz w:val="31"/>
        </w:rPr>
      </w:pPr>
      <w:r>
        <w:rPr>
          <w:b/>
          <w:color w:val="0D0D0D"/>
          <w:sz w:val="31"/>
        </w:rPr>
        <w:t>答案:</w:t>
      </w:r>
      <w:r>
        <w:rPr>
          <w:color w:val="0D0D0D"/>
          <w:sz w:val="31"/>
        </w:rPr>
        <w:t>×</w:t>
      </w:r>
    </w:p>
    <w:p>
      <w:pPr>
        <w:pStyle w:val="BodyText"/>
        <w:spacing w:before="8" w:line="247" w:lineRule="auto"/>
        <w:ind w:right="2484" w:firstLine="629"/>
      </w:pPr>
      <w:r>
        <w:rPr>
          <w:b/>
          <w:color w:val="0D0D0D"/>
        </w:rPr>
        <w:t>解析:</w:t>
      </w:r>
      <w:r>
        <w:rPr>
          <w:color w:val="0D0D0D"/>
        </w:rPr>
        <w:t>当风险所造成的损失不能由该项目可能获得的收益予以抵消时</w:t>
      </w:r>
      <w:r>
        <w:rPr>
          <w:color w:val="0D0D0D"/>
          <w:spacing w:val="-24"/>
        </w:rPr>
        <w:t xml:space="preserve">，应当放弃该项目， 以规避风险。例如，拒绝与不守信用的厂商业务往来；放弃可能明显导致亏损的投资项目。 </w:t>
      </w:r>
      <w:r>
        <w:rPr>
          <w:color w:val="0D0D0D"/>
        </w:rPr>
        <w:t>7、接受风险包括风险自担和风险自保两种。风险自担，是指企业预留一笔风险金或随着生 产</w:t>
      </w:r>
      <w:r>
        <w:rPr>
          <w:color w:val="0D0D0D"/>
          <w:spacing w:val="-12"/>
        </w:rPr>
        <w:t>经营的进行，有计划地计提资产减值准备等。风险自保，是指风险损失发生时，直接将损  失摊入成本或费用，或冲减利润</w:t>
      </w:r>
      <w:r>
        <w:rPr>
          <w:color w:val="0D0D0D"/>
          <w:spacing w:val="-180"/>
        </w:rPr>
        <w:t>。</w:t>
      </w:r>
      <w:r>
        <w:rPr>
          <w:color w:val="0D0D0D"/>
        </w:rPr>
        <w:t>（）</w:t>
      </w:r>
    </w:p>
    <w:p>
      <w:pPr>
        <w:spacing w:before="0" w:line="396" w:lineRule="exact"/>
        <w:ind w:left="3330" w:right="0" w:firstLine="0"/>
        <w:jc w:val="left"/>
        <w:rPr>
          <w:sz w:val="31"/>
        </w:rPr>
      </w:pPr>
      <w:r>
        <w:rPr>
          <w:b/>
          <w:color w:val="0D0D0D"/>
          <w:sz w:val="31"/>
        </w:rPr>
        <w:t>答案:</w:t>
      </w:r>
      <w:r>
        <w:rPr>
          <w:color w:val="0D0D0D"/>
          <w:sz w:val="31"/>
        </w:rPr>
        <w:t>×</w:t>
      </w:r>
    </w:p>
    <w:p>
      <w:pPr>
        <w:pStyle w:val="BodyText"/>
        <w:spacing w:before="10" w:line="247" w:lineRule="auto"/>
        <w:ind w:right="2484" w:firstLine="629"/>
      </w:pPr>
      <w:r>
        <w:rPr>
          <w:b/>
          <w:color w:val="0D0D0D"/>
        </w:rPr>
        <w:t>解析:</w:t>
      </w:r>
      <w:r>
        <w:rPr>
          <w:color w:val="0D0D0D"/>
        </w:rPr>
        <w:t xml:space="preserve">风险自担，是指风险损失发生时，直接将损失摊入成本或费用，或冲减利润；风 </w:t>
      </w:r>
      <w:r>
        <w:rPr>
          <w:color w:val="0D0D0D"/>
          <w:spacing w:val="-2"/>
        </w:rPr>
        <w:t xml:space="preserve">险自保，是指企业预留一笔风险金或随着生产经营的进行，有计划地计提资产减值准备等。 </w:t>
      </w:r>
      <w:r>
        <w:rPr>
          <w:color w:val="0D0D0D"/>
        </w:rPr>
        <w:t>8、在年金中，系列等额收付的间隔期间只需要满足“相等”的条件即可，间隔期间完全可</w:t>
      </w:r>
    </w:p>
    <w:p>
      <w:pPr>
        <w:spacing w:after="0" w:line="247" w:lineRule="auto"/>
        <w:sectPr>
          <w:headerReference w:type="default" r:id="rId30"/>
          <w:footerReference w:type="default" r:id="rId31"/>
          <w:pgSz w:w="17860" w:h="25260"/>
          <w:pgMar w:top="1720" w:right="0" w:bottom="1940" w:left="0" w:header="1129" w:footer="1754"/>
          <w:pgNumType w:start="12"/>
          <w:cols w:space="708"/>
        </w:sectPr>
      </w:pPr>
    </w:p>
    <w:p>
      <w:pPr>
        <w:pStyle w:val="BodyText"/>
        <w:spacing w:before="3"/>
        <w:ind w:left="0"/>
        <w:rPr>
          <w:sz w:val="8"/>
        </w:rPr>
      </w:pPr>
    </w:p>
    <w:p>
      <w:pPr>
        <w:tabs>
          <w:tab w:val="left" w:pos="5537"/>
        </w:tabs>
        <w:spacing w:before="63" w:line="247" w:lineRule="auto"/>
        <w:ind w:left="3330" w:right="12003" w:hanging="630"/>
        <w:jc w:val="left"/>
        <w:rPr>
          <w:sz w:val="31"/>
        </w:rPr>
      </w:pPr>
      <w:r>
        <w:rPr>
          <w:color w:val="0D0D0D"/>
          <w:sz w:val="31"/>
        </w:rPr>
        <w:t>以不是一年</w:t>
      </w:r>
      <w:r>
        <w:rPr>
          <w:color w:val="0D0D0D"/>
          <w:spacing w:val="-166"/>
          <w:sz w:val="31"/>
        </w:rPr>
        <w:t>。</w:t>
      </w:r>
      <w:r>
        <w:rPr>
          <w:color w:val="0D0D0D"/>
          <w:sz w:val="31"/>
        </w:rPr>
        <w:t>（</w:t>
        <w:tab/>
      </w:r>
      <w:r>
        <w:rPr>
          <w:color w:val="0D0D0D"/>
          <w:spacing w:val="-18"/>
          <w:sz w:val="31"/>
        </w:rPr>
        <w:t xml:space="preserve">） </w:t>
      </w:r>
      <w:r>
        <w:rPr>
          <w:b/>
          <w:color w:val="0D0D0D"/>
          <w:sz w:val="31"/>
        </w:rPr>
        <w:t>答案:</w:t>
      </w:r>
      <w:r>
        <w:rPr>
          <w:color w:val="0D0D0D"/>
          <w:sz w:val="31"/>
        </w:rPr>
        <w:t>√</w:t>
      </w:r>
    </w:p>
    <w:p>
      <w:pPr>
        <w:pStyle w:val="BodyText"/>
        <w:spacing w:line="244" w:lineRule="auto"/>
        <w:ind w:right="2648" w:firstLine="629"/>
      </w:pPr>
      <w:r>
        <w:rPr>
          <w:b/>
          <w:color w:val="0D0D0D"/>
        </w:rPr>
        <w:t>解析:</w:t>
      </w:r>
      <w:r>
        <w:rPr>
          <w:color w:val="0D0D0D"/>
        </w:rPr>
        <w:t>在年金中，系列等额收付的间隔期间只需要满足“相等”的条件即可，间隔期间完全可以不是一年。例如：每半年支付一次利息的债券利息构成的也是年金。</w:t>
      </w:r>
    </w:p>
    <w:p>
      <w:pPr>
        <w:pStyle w:val="BodyText"/>
        <w:spacing w:before="6" w:line="244" w:lineRule="auto"/>
        <w:ind w:right="2584"/>
      </w:pPr>
      <w:r>
        <w:rPr>
          <w:color w:val="0D0D0D"/>
        </w:rPr>
        <w:t>9、任何投资者宁愿要肯定的某一报酬率，而不愿意要不肯定的同一报酬率，这种现象称作风险反感。（ ）</w:t>
      </w:r>
    </w:p>
    <w:p>
      <w:pPr>
        <w:spacing w:before="7"/>
        <w:ind w:left="3330" w:right="0" w:firstLine="0"/>
        <w:jc w:val="left"/>
        <w:rPr>
          <w:sz w:val="31"/>
        </w:rPr>
      </w:pPr>
      <w:r>
        <w:rPr>
          <w:b/>
          <w:color w:val="0D0D0D"/>
          <w:sz w:val="31"/>
        </w:rPr>
        <w:t>答案:</w:t>
      </w:r>
      <w:r>
        <w:rPr>
          <w:color w:val="0D0D0D"/>
          <w:sz w:val="31"/>
        </w:rPr>
        <w:t>√</w:t>
      </w:r>
    </w:p>
    <w:p>
      <w:pPr>
        <w:spacing w:before="10"/>
        <w:ind w:left="3330" w:right="0" w:firstLine="0"/>
        <w:jc w:val="left"/>
        <w:rPr>
          <w:sz w:val="31"/>
        </w:rPr>
      </w:pPr>
      <w:r>
        <w:rPr>
          <w:b/>
          <w:color w:val="0D0D0D"/>
          <w:sz w:val="31"/>
        </w:rPr>
        <w:t>解析:</w:t>
      </w:r>
      <w:r>
        <w:rPr>
          <w:color w:val="0D0D0D"/>
          <w:sz w:val="31"/>
        </w:rPr>
        <w:t>见教材 53 页第二行</w:t>
      </w:r>
    </w:p>
    <w:p>
      <w:pPr>
        <w:pStyle w:val="BodyText"/>
        <w:spacing w:before="13" w:line="244" w:lineRule="auto"/>
        <w:ind w:left="3330" w:right="7591" w:hanging="630"/>
      </w:pPr>
      <w:r>
        <w:rPr>
          <w:color w:val="0D0D0D"/>
        </w:rPr>
        <w:t>10、偿债基金系数与普通年金现值系数互为倒数</w:t>
      </w:r>
      <w:r>
        <w:rPr>
          <w:color w:val="0D0D0D"/>
          <w:spacing w:val="-194"/>
        </w:rPr>
        <w:t>。</w:t>
      </w:r>
      <w:r>
        <w:rPr>
          <w:color w:val="0D0D0D"/>
        </w:rPr>
        <w:t>（</w:t>
      </w:r>
      <w:r>
        <w:rPr>
          <w:color w:val="0D0D0D"/>
          <w:spacing w:val="143"/>
        </w:rPr>
        <w:t xml:space="preserve"> </w:t>
      </w:r>
      <w:r>
        <w:rPr>
          <w:color w:val="0D0D0D"/>
          <w:spacing w:val="-15"/>
        </w:rPr>
        <w:t xml:space="preserve">） </w:t>
      </w:r>
      <w:r>
        <w:rPr>
          <w:b/>
          <w:color w:val="0D0D0D"/>
        </w:rPr>
        <w:t>答案:</w:t>
      </w:r>
      <w:r>
        <w:rPr>
          <w:color w:val="0D0D0D"/>
        </w:rPr>
        <w:t>×</w:t>
      </w:r>
    </w:p>
    <w:p>
      <w:pPr>
        <w:pStyle w:val="BodyText"/>
        <w:spacing w:before="7"/>
        <w:ind w:left="3330"/>
      </w:pPr>
      <w:r>
        <w:rPr>
          <w:b/>
          <w:color w:val="0D0D0D"/>
        </w:rPr>
        <w:t>解析:</w:t>
      </w:r>
      <w:r>
        <w:rPr>
          <w:color w:val="0D0D0D"/>
        </w:rPr>
        <w:t>偿债基金系数与年金终值系数互为倒数。</w:t>
      </w:r>
    </w:p>
    <w:p>
      <w:pPr>
        <w:pStyle w:val="BodyText"/>
        <w:spacing w:before="10" w:line="247" w:lineRule="auto"/>
        <w:ind w:right="2667"/>
      </w:pPr>
      <w:r>
        <w:rPr>
          <w:color w:val="0D0D0D"/>
        </w:rPr>
        <w:t>11</w:t>
      </w:r>
      <w:r>
        <w:rPr>
          <w:color w:val="0D0D0D"/>
          <w:spacing w:val="-15"/>
        </w:rPr>
        <w:t>、对于多个投资方案页言，无论各方案的期望值是否相同，标准离差率最大的方案一定是</w:t>
      </w:r>
      <w:r>
        <w:rPr>
          <w:color w:val="0D0D0D"/>
          <w:spacing w:val="-22"/>
        </w:rPr>
        <w:t>风险最大的方案。</w:t>
      </w:r>
      <w:r>
        <w:rPr>
          <w:color w:val="0D0D0D"/>
        </w:rPr>
        <w:t>（ ）</w:t>
      </w:r>
    </w:p>
    <w:p>
      <w:pPr>
        <w:spacing w:before="0" w:line="396" w:lineRule="exact"/>
        <w:ind w:left="3330" w:right="0" w:firstLine="0"/>
        <w:jc w:val="left"/>
        <w:rPr>
          <w:sz w:val="31"/>
        </w:rPr>
      </w:pPr>
      <w:r>
        <w:rPr>
          <w:b/>
          <w:color w:val="0D0D0D"/>
          <w:sz w:val="31"/>
        </w:rPr>
        <w:t>答案:</w:t>
      </w:r>
      <w:r>
        <w:rPr>
          <w:color w:val="0D0D0D"/>
          <w:sz w:val="31"/>
        </w:rPr>
        <w:t>√</w:t>
      </w:r>
    </w:p>
    <w:p>
      <w:pPr>
        <w:pStyle w:val="BodyText"/>
        <w:spacing w:before="14" w:line="244" w:lineRule="auto"/>
        <w:ind w:right="2648" w:firstLine="629"/>
      </w:pPr>
      <w:r>
        <w:rPr>
          <w:b/>
          <w:color w:val="0D0D0D"/>
        </w:rPr>
        <w:t>解析:</w:t>
      </w:r>
      <w:r>
        <w:rPr>
          <w:color w:val="0D0D0D"/>
        </w:rPr>
        <w:t>标准离差率比较多个投资方案风险时，不受期望值是否相同的限制，标准离差率最大的方案一定是风险最大的方案。</w:t>
      </w:r>
    </w:p>
    <w:p>
      <w:pPr>
        <w:pStyle w:val="BodyText"/>
        <w:spacing w:before="7" w:line="244" w:lineRule="auto"/>
        <w:ind w:left="3330" w:right="6641" w:hanging="630"/>
      </w:pPr>
      <w:r>
        <w:rPr>
          <w:color w:val="0D0D0D"/>
        </w:rPr>
        <w:t>12、有计划的计提资产减值准备是转移风险的表现形式</w:t>
      </w:r>
      <w:r>
        <w:rPr>
          <w:color w:val="0D0D0D"/>
          <w:spacing w:val="-197"/>
        </w:rPr>
        <w:t>。</w:t>
      </w:r>
      <w:r>
        <w:rPr>
          <w:color w:val="0D0D0D"/>
        </w:rPr>
        <w:t xml:space="preserve">（ </w:t>
      </w:r>
      <w:r>
        <w:rPr>
          <w:color w:val="0D0D0D"/>
          <w:spacing w:val="-16"/>
        </w:rPr>
        <w:t xml:space="preserve">） </w:t>
      </w:r>
      <w:r>
        <w:rPr>
          <w:b/>
          <w:color w:val="0D0D0D"/>
        </w:rPr>
        <w:t>答案:</w:t>
      </w:r>
      <w:r>
        <w:rPr>
          <w:color w:val="0D0D0D"/>
        </w:rPr>
        <w:t>×</w:t>
      </w:r>
    </w:p>
    <w:p>
      <w:pPr>
        <w:spacing w:before="7" w:line="244" w:lineRule="auto"/>
        <w:ind w:left="2700" w:right="6448" w:firstLine="629"/>
        <w:jc w:val="left"/>
        <w:rPr>
          <w:b/>
          <w:sz w:val="31"/>
        </w:rPr>
      </w:pPr>
      <w:r>
        <w:rPr>
          <w:b/>
          <w:color w:val="0D0D0D"/>
          <w:sz w:val="31"/>
        </w:rPr>
        <w:t>解析:</w:t>
      </w:r>
      <w:r>
        <w:rPr>
          <w:color w:val="0D0D0D"/>
          <w:sz w:val="31"/>
        </w:rPr>
        <w:t>有计划的计提资产减值准备是接受风险的表现形式。</w:t>
      </w:r>
      <w:r>
        <w:rPr>
          <w:b/>
          <w:color w:val="0D0D0D"/>
          <w:sz w:val="31"/>
        </w:rPr>
        <w:t>四、计算题</w:t>
      </w:r>
    </w:p>
    <w:p>
      <w:pPr>
        <w:pStyle w:val="BodyText"/>
        <w:spacing w:before="7" w:line="244" w:lineRule="auto"/>
        <w:ind w:right="2697"/>
      </w:pPr>
      <w:r>
        <w:rPr>
          <w:color w:val="0D0D0D"/>
        </w:rPr>
        <w:t>1、某人采用分期付款方式购买一辆汽车，贷款共计为200000 元，在 20 年内等额偿还，每年偿还一次，年利率为 8%，按复利计息，计算每年应偿还的金额为多少？</w:t>
      </w:r>
    </w:p>
    <w:p>
      <w:pPr>
        <w:pStyle w:val="BodyText"/>
        <w:spacing w:before="3" w:line="247" w:lineRule="auto"/>
        <w:ind w:right="2681" w:firstLine="629"/>
      </w:pPr>
      <w:r>
        <w:rPr>
          <w:b/>
          <w:color w:val="0D0D0D"/>
        </w:rPr>
        <w:t>答案:</w:t>
      </w:r>
      <w:r>
        <w:rPr>
          <w:color w:val="0D0D0D"/>
          <w:spacing w:val="-10"/>
        </w:rPr>
        <w:t xml:space="preserve">由于是等额偿还，因此属于年金，其中 </w:t>
      </w:r>
      <w:r>
        <w:rPr>
          <w:color w:val="0D0D0D"/>
        </w:rPr>
        <w:t>200000</w:t>
      </w:r>
      <w:r>
        <w:rPr>
          <w:color w:val="0D0D0D"/>
          <w:spacing w:val="-7"/>
        </w:rPr>
        <w:t xml:space="preserve"> 元为年金现值，本题是已知年金现</w:t>
      </w:r>
      <w:r>
        <w:rPr>
          <w:color w:val="0D0D0D"/>
          <w:spacing w:val="-1"/>
        </w:rPr>
        <w:t>值求年金。属 于计算年资本回收额问题。</w:t>
      </w:r>
    </w:p>
    <w:p>
      <w:pPr>
        <w:pStyle w:val="BodyText"/>
        <w:spacing w:line="247" w:lineRule="auto"/>
        <w:ind w:left="3330" w:right="5816" w:firstLine="3"/>
      </w:pPr>
      <w:r>
        <w:rPr>
          <w:color w:val="0D0D0D"/>
        </w:rPr>
        <w:t>P=A×（P/A，i，n） 200000=A×（P/A，8%，20） A=200000÷（P/A，8%，20）＝200000÷9.8181</w:t>
      </w:r>
      <w:r>
        <w:rPr>
          <w:color w:val="0D0D0D"/>
          <w:spacing w:val="123"/>
        </w:rPr>
        <w:t xml:space="preserve"> </w:t>
      </w:r>
      <w:r>
        <w:rPr>
          <w:color w:val="0D0D0D"/>
        </w:rPr>
        <w:t>=20370.54</w:t>
      </w:r>
      <w:r>
        <w:rPr>
          <w:color w:val="0D0D0D"/>
          <w:spacing w:val="-5"/>
        </w:rPr>
        <w:t>(元)</w:t>
      </w:r>
    </w:p>
    <w:p>
      <w:pPr>
        <w:pStyle w:val="BodyText"/>
        <w:spacing w:line="396" w:lineRule="exact"/>
        <w:ind w:left="3330"/>
      </w:pPr>
      <w:r>
        <w:rPr>
          <w:color w:val="0D0D0D"/>
        </w:rPr>
        <w:t>所以,每年应偿还的金额为 20370.54 元.</w:t>
      </w:r>
    </w:p>
    <w:p>
      <w:pPr>
        <w:pStyle w:val="BodyText"/>
        <w:spacing w:before="13"/>
      </w:pPr>
      <w:r>
        <w:rPr>
          <w:color w:val="0D0D0D"/>
        </w:rPr>
        <w:t>2、甲投资项目与经济环境状况有关，有关概率分布与预期报酬率如下表：</w:t>
      </w:r>
    </w:p>
    <w:p>
      <w:pPr>
        <w:pStyle w:val="BodyText"/>
        <w:ind w:left="3852"/>
        <w:rPr>
          <w:sz w:val="20"/>
        </w:rPr>
      </w:pPr>
      <w:r>
        <w:rPr>
          <w:sz w:val="20"/>
        </w:rPr>
        <w:drawing>
          <wp:inline distT="0" distB="0" distL="0" distR="0">
            <wp:extent cx="4224073" cy="2377440"/>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32" cstate="print"/>
                    <a:stretch>
                      <a:fillRect/>
                    </a:stretch>
                  </pic:blipFill>
                  <pic:spPr>
                    <a:xfrm>
                      <a:off x="0" y="0"/>
                      <a:ext cx="4224073" cy="2377440"/>
                    </a:xfrm>
                    <a:prstGeom prst="rect">
                      <a:avLst/>
                    </a:prstGeom>
                  </pic:spPr>
                </pic:pic>
              </a:graphicData>
            </a:graphic>
          </wp:inline>
        </w:drawing>
      </w:r>
    </w:p>
    <w:p>
      <w:pPr>
        <w:pStyle w:val="BodyText"/>
        <w:spacing w:before="11"/>
        <w:ind w:left="0"/>
        <w:rPr>
          <w:sz w:val="33"/>
        </w:rPr>
      </w:pPr>
    </w:p>
    <w:p>
      <w:pPr>
        <w:pStyle w:val="BodyText"/>
      </w:pPr>
      <w:r>
        <w:rPr>
          <w:color w:val="0D0D0D"/>
        </w:rPr>
        <w:t>要求： （1）计算甲投资项目的期望值；</w:t>
      </w:r>
    </w:p>
    <w:p>
      <w:pPr>
        <w:pStyle w:val="ListParagraph"/>
        <w:numPr>
          <w:ilvl w:val="0"/>
          <w:numId w:val="35"/>
        </w:numPr>
        <w:tabs>
          <w:tab w:val="left" w:pos="4441"/>
        </w:tabs>
        <w:spacing w:before="13" w:after="0" w:line="240" w:lineRule="auto"/>
        <w:ind w:left="4440" w:right="0" w:hanging="794"/>
        <w:jc w:val="left"/>
        <w:rPr>
          <w:sz w:val="31"/>
        </w:rPr>
      </w:pPr>
      <w:r>
        <w:rPr>
          <w:color w:val="0D0D0D"/>
          <w:sz w:val="31"/>
        </w:rPr>
        <w:t>计算甲投资项目的标准离差；</w:t>
      </w:r>
    </w:p>
    <w:p>
      <w:pPr>
        <w:pStyle w:val="ListParagraph"/>
        <w:numPr>
          <w:ilvl w:val="0"/>
          <w:numId w:val="35"/>
        </w:numPr>
        <w:tabs>
          <w:tab w:val="left" w:pos="4441"/>
        </w:tabs>
        <w:spacing w:before="11" w:after="0" w:line="247" w:lineRule="auto"/>
        <w:ind w:left="3330" w:right="8984" w:firstLine="316"/>
        <w:jc w:val="left"/>
        <w:rPr>
          <w:b/>
          <w:sz w:val="31"/>
        </w:rPr>
      </w:pPr>
      <w:r>
        <w:rPr>
          <w:color w:val="0D0D0D"/>
          <w:spacing w:val="-2"/>
          <w:sz w:val="31"/>
        </w:rPr>
        <w:t>计算甲投资项目的标准离差率。</w:t>
      </w:r>
      <w:r>
        <w:rPr>
          <w:b/>
          <w:color w:val="0D0D0D"/>
          <w:sz w:val="31"/>
        </w:rPr>
        <w:t>答案:</w:t>
      </w:r>
    </w:p>
    <w:p>
      <w:pPr>
        <w:pStyle w:val="BodyText"/>
        <w:spacing w:line="396" w:lineRule="exact"/>
        <w:ind w:left="3017"/>
      </w:pPr>
      <w:r>
        <w:rPr>
          <w:color w:val="0D0D0D"/>
        </w:rPr>
        <w:t>(1)期望值 =0.15×(-10%)+0.25×14%+0.4×20%+0.2×25% =15%</w:t>
      </w:r>
    </w:p>
    <w:p>
      <w:pPr>
        <w:pStyle w:val="BodyText"/>
        <w:spacing w:before="13"/>
        <w:ind w:left="3017"/>
      </w:pPr>
      <w:r>
        <w:rPr>
          <w:color w:val="0D0D0D"/>
        </w:rPr>
        <w:t>(2)标准离差 =[(-10%-15%)2×0.15+(14%-15%)2×0.25+(20%-15%)2×0.4+(25%-15%)2×</w:t>
      </w:r>
    </w:p>
    <w:p>
      <w:pPr>
        <w:pStyle w:val="BodyText"/>
        <w:spacing w:before="10"/>
        <w:ind w:left="4907"/>
      </w:pPr>
      <w:r>
        <w:rPr>
          <w:color w:val="0D0D0D"/>
        </w:rPr>
        <w:t>0.2]1/2 =11%</w:t>
      </w:r>
    </w:p>
    <w:p>
      <w:pPr>
        <w:pStyle w:val="BodyText"/>
        <w:spacing w:before="9"/>
        <w:ind w:left="3017"/>
      </w:pPr>
      <w:r>
        <w:rPr>
          <w:color w:val="0D0D0D"/>
        </w:rPr>
        <w:t>(3)标准离差率 =标准离差/期望值 =11%/15% =0.73</w:t>
      </w:r>
    </w:p>
    <w:p>
      <w:pPr>
        <w:pStyle w:val="BodyText"/>
        <w:spacing w:before="14"/>
        <w:ind w:left="3017"/>
      </w:pPr>
      <w:r>
        <w:rPr>
          <w:color w:val="0D0D0D"/>
        </w:rPr>
        <w:t>3、投资者准备购买一套办公用房，有三个付款方案可供选择：</w:t>
      </w:r>
    </w:p>
    <w:p>
      <w:pPr>
        <w:pStyle w:val="ListParagraph"/>
        <w:numPr>
          <w:ilvl w:val="0"/>
          <w:numId w:val="34"/>
        </w:numPr>
        <w:tabs>
          <w:tab w:val="left" w:pos="3811"/>
        </w:tabs>
        <w:spacing w:before="9" w:after="0" w:line="240" w:lineRule="auto"/>
        <w:ind w:left="3810" w:right="0" w:hanging="794"/>
        <w:jc w:val="left"/>
        <w:rPr>
          <w:sz w:val="31"/>
        </w:rPr>
      </w:pPr>
      <w:r>
        <w:rPr>
          <w:color w:val="0D0D0D"/>
          <w:spacing w:val="3"/>
          <w:sz w:val="31"/>
        </w:rPr>
        <w:t>甲方案：从现在起每年年初付款</w:t>
      </w:r>
      <w:r>
        <w:rPr>
          <w:color w:val="0D0D0D"/>
          <w:sz w:val="31"/>
        </w:rPr>
        <w:t>10</w:t>
      </w:r>
      <w:r>
        <w:rPr>
          <w:color w:val="0D0D0D"/>
          <w:spacing w:val="-20"/>
          <w:sz w:val="31"/>
        </w:rPr>
        <w:t xml:space="preserve"> 万元，连续支付 </w:t>
      </w:r>
      <w:r>
        <w:rPr>
          <w:color w:val="0D0D0D"/>
          <w:sz w:val="31"/>
        </w:rPr>
        <w:t>5</w:t>
      </w:r>
      <w:r>
        <w:rPr>
          <w:color w:val="0D0D0D"/>
          <w:spacing w:val="-27"/>
          <w:sz w:val="31"/>
        </w:rPr>
        <w:t xml:space="preserve"> 年，共计 </w:t>
      </w:r>
      <w:r>
        <w:rPr>
          <w:color w:val="0D0D0D"/>
          <w:sz w:val="31"/>
        </w:rPr>
        <w:t>50</w:t>
      </w:r>
      <w:r>
        <w:rPr>
          <w:color w:val="0D0D0D"/>
          <w:spacing w:val="-20"/>
          <w:sz w:val="31"/>
        </w:rPr>
        <w:t xml:space="preserve"> 万元。</w:t>
      </w:r>
    </w:p>
    <w:p>
      <w:pPr>
        <w:pStyle w:val="ListParagraph"/>
        <w:numPr>
          <w:ilvl w:val="0"/>
          <w:numId w:val="34"/>
        </w:numPr>
        <w:tabs>
          <w:tab w:val="left" w:pos="3811"/>
        </w:tabs>
        <w:spacing w:before="13" w:after="0" w:line="240" w:lineRule="auto"/>
        <w:ind w:left="3810" w:right="0" w:hanging="794"/>
        <w:jc w:val="left"/>
        <w:rPr>
          <w:sz w:val="31"/>
        </w:rPr>
      </w:pPr>
      <w:r>
        <w:rPr>
          <w:color w:val="0D0D0D"/>
          <w:spacing w:val="-13"/>
          <w:sz w:val="31"/>
        </w:rPr>
        <w:t xml:space="preserve">乙方案：从第 </w:t>
      </w:r>
      <w:r>
        <w:rPr>
          <w:color w:val="0D0D0D"/>
          <w:sz w:val="31"/>
        </w:rPr>
        <w:t>3</w:t>
      </w:r>
      <w:r>
        <w:rPr>
          <w:color w:val="0D0D0D"/>
          <w:spacing w:val="-17"/>
          <w:sz w:val="31"/>
        </w:rPr>
        <w:t xml:space="preserve"> 年起，每年年初付款 </w:t>
      </w:r>
      <w:r>
        <w:rPr>
          <w:color w:val="0D0D0D"/>
          <w:sz w:val="31"/>
        </w:rPr>
        <w:t>12</w:t>
      </w:r>
      <w:r>
        <w:rPr>
          <w:color w:val="0D0D0D"/>
          <w:spacing w:val="-19"/>
          <w:sz w:val="31"/>
        </w:rPr>
        <w:t xml:space="preserve"> 万元，连续支付 </w:t>
      </w:r>
      <w:r>
        <w:rPr>
          <w:color w:val="0D0D0D"/>
          <w:sz w:val="31"/>
        </w:rPr>
        <w:t>5</w:t>
      </w:r>
      <w:r>
        <w:rPr>
          <w:color w:val="0D0D0D"/>
          <w:spacing w:val="-27"/>
          <w:sz w:val="31"/>
        </w:rPr>
        <w:t xml:space="preserve"> 年，共计 </w:t>
      </w:r>
      <w:r>
        <w:rPr>
          <w:color w:val="0D0D0D"/>
          <w:sz w:val="31"/>
        </w:rPr>
        <w:t>60</w:t>
      </w:r>
      <w:r>
        <w:rPr>
          <w:color w:val="0D0D0D"/>
          <w:spacing w:val="-20"/>
          <w:sz w:val="31"/>
        </w:rPr>
        <w:t xml:space="preserve"> 万元。</w:t>
      </w:r>
    </w:p>
    <w:p>
      <w:pPr>
        <w:pStyle w:val="ListParagraph"/>
        <w:numPr>
          <w:ilvl w:val="0"/>
          <w:numId w:val="34"/>
        </w:numPr>
        <w:tabs>
          <w:tab w:val="left" w:pos="3811"/>
        </w:tabs>
        <w:spacing w:before="10" w:after="0" w:line="247" w:lineRule="auto"/>
        <w:ind w:left="3330" w:right="3335" w:hanging="314"/>
        <w:jc w:val="left"/>
        <w:rPr>
          <w:sz w:val="31"/>
        </w:rPr>
      </w:pPr>
      <w:r>
        <w:rPr>
          <w:color w:val="0D0D0D"/>
          <w:spacing w:val="3"/>
          <w:sz w:val="31"/>
        </w:rPr>
        <w:t>丙方案：从现在起每年年末付款</w:t>
      </w:r>
      <w:r>
        <w:rPr>
          <w:color w:val="0D0D0D"/>
          <w:sz w:val="31"/>
        </w:rPr>
        <w:t>11.5</w:t>
      </w:r>
      <w:r>
        <w:rPr>
          <w:color w:val="0D0D0D"/>
          <w:spacing w:val="-12"/>
          <w:sz w:val="31"/>
        </w:rPr>
        <w:t xml:space="preserve"> 万元，连续支付 </w:t>
      </w:r>
      <w:r>
        <w:rPr>
          <w:color w:val="0D0D0D"/>
          <w:sz w:val="31"/>
        </w:rPr>
        <w:t>5</w:t>
      </w:r>
      <w:r>
        <w:rPr>
          <w:color w:val="0D0D0D"/>
          <w:spacing w:val="-14"/>
          <w:sz w:val="31"/>
        </w:rPr>
        <w:t xml:space="preserve"> 年，共计 </w:t>
      </w:r>
      <w:r>
        <w:rPr>
          <w:color w:val="0D0D0D"/>
          <w:sz w:val="31"/>
        </w:rPr>
        <w:t>57.5</w:t>
      </w:r>
      <w:r>
        <w:rPr>
          <w:color w:val="0D0D0D"/>
          <w:spacing w:val="-15"/>
          <w:sz w:val="31"/>
        </w:rPr>
        <w:t xml:space="preserve"> 万元。</w:t>
      </w:r>
      <w:r>
        <w:rPr>
          <w:color w:val="0D0D0D"/>
          <w:spacing w:val="-6"/>
          <w:sz w:val="31"/>
        </w:rPr>
        <w:t xml:space="preserve">假定该公司要求的投资报酬率为 </w:t>
      </w:r>
      <w:r>
        <w:rPr>
          <w:color w:val="0D0D0D"/>
          <w:sz w:val="31"/>
        </w:rPr>
        <w:t>10%，通过计算说明应选择哪个方案？</w:t>
      </w:r>
    </w:p>
    <w:p>
      <w:pPr>
        <w:spacing w:after="0" w:line="247" w:lineRule="auto"/>
        <w:jc w:val="left"/>
        <w:rPr>
          <w:sz w:val="31"/>
        </w:rPr>
        <w:sectPr>
          <w:headerReference w:type="default" r:id="rId33"/>
          <w:footerReference w:type="default" r:id="rId34"/>
          <w:pgSz w:w="17860" w:h="25260"/>
          <w:pgMar w:top="1720" w:right="0" w:bottom="1920" w:left="0" w:header="1129" w:footer="1732"/>
          <w:pgNumType w:start="1"/>
          <w:cols w:space="708"/>
        </w:sectPr>
      </w:pPr>
    </w:p>
    <w:p>
      <w:pPr>
        <w:pStyle w:val="BodyText"/>
        <w:spacing w:before="3"/>
        <w:ind w:left="0"/>
        <w:rPr>
          <w:sz w:val="8"/>
        </w:rPr>
      </w:pPr>
    </w:p>
    <w:p>
      <w:pPr>
        <w:pStyle w:val="Heading2"/>
        <w:spacing w:before="63"/>
        <w:ind w:left="3330"/>
      </w:pPr>
      <w:r>
        <w:rPr>
          <w:color w:val="0D0D0D"/>
        </w:rPr>
        <w:t>答案:</w:t>
      </w:r>
    </w:p>
    <w:p>
      <w:pPr>
        <w:pStyle w:val="BodyText"/>
        <w:spacing w:before="10"/>
        <w:ind w:left="3334"/>
      </w:pPr>
      <w:r>
        <w:rPr>
          <w:color w:val="0D0D0D"/>
          <w:spacing w:val="-15"/>
          <w:w w:val="102"/>
        </w:rPr>
        <w:t>甲方案：付款总现值</w:t>
      </w:r>
      <w:r>
        <w:rPr>
          <w:color w:val="0D0D0D"/>
          <w:w w:val="102"/>
        </w:rPr>
        <w:t>=1</w:t>
      </w:r>
      <w:r>
        <w:rPr>
          <w:color w:val="0D0D0D"/>
          <w:spacing w:val="-4"/>
          <w:w w:val="102"/>
        </w:rPr>
        <w:t>0</w:t>
      </w:r>
      <w:r>
        <w:rPr>
          <w:color w:val="0D0D0D"/>
          <w:spacing w:val="-51"/>
          <w:w w:val="102"/>
        </w:rPr>
        <w:t>×[</w:t>
      </w:r>
      <w:r>
        <w:rPr>
          <w:color w:val="0D0D0D"/>
          <w:spacing w:val="-4"/>
          <w:w w:val="102"/>
        </w:rPr>
        <w:t>（</w:t>
      </w:r>
      <w:r>
        <w:rPr>
          <w:color w:val="0D0D0D"/>
          <w:w w:val="102"/>
        </w:rPr>
        <w:t>P/</w:t>
      </w:r>
      <w:r>
        <w:rPr>
          <w:color w:val="0D0D0D"/>
          <w:spacing w:val="-4"/>
          <w:w w:val="102"/>
        </w:rPr>
        <w:t>A</w:t>
      </w:r>
      <w:r>
        <w:rPr>
          <w:color w:val="0D0D0D"/>
          <w:spacing w:val="-101"/>
          <w:w w:val="102"/>
        </w:rPr>
        <w:t>，</w:t>
      </w:r>
      <w:r>
        <w:rPr>
          <w:color w:val="0D0D0D"/>
          <w:w w:val="102"/>
        </w:rPr>
        <w:t>10</w:t>
      </w:r>
      <w:r>
        <w:rPr>
          <w:color w:val="0D0D0D"/>
          <w:spacing w:val="-53"/>
          <w:w w:val="102"/>
        </w:rPr>
        <w:t>%，</w:t>
      </w:r>
      <w:r>
        <w:rPr>
          <w:color w:val="0D0D0D"/>
          <w:w w:val="102"/>
        </w:rPr>
        <w:t>5-</w:t>
      </w:r>
      <w:r>
        <w:rPr>
          <w:color w:val="0D0D0D"/>
          <w:spacing w:val="-4"/>
          <w:w w:val="102"/>
        </w:rPr>
        <w:t>1</w:t>
      </w:r>
      <w:r>
        <w:rPr>
          <w:color w:val="0D0D0D"/>
          <w:spacing w:val="-101"/>
          <w:w w:val="102"/>
        </w:rPr>
        <w:t>）</w:t>
      </w:r>
      <w:r>
        <w:rPr>
          <w:color w:val="0D0D0D"/>
          <w:w w:val="102"/>
        </w:rPr>
        <w:t>+1]</w:t>
      </w:r>
      <w:r>
        <w:rPr>
          <w:color w:val="0D0D0D"/>
          <w:spacing w:val="-80"/>
        </w:rPr>
        <w:t xml:space="preserve"> </w:t>
      </w:r>
      <w:r>
        <w:rPr>
          <w:color w:val="0D0D0D"/>
          <w:w w:val="102"/>
        </w:rPr>
        <w:t>=1</w:t>
      </w:r>
      <w:r>
        <w:rPr>
          <w:color w:val="0D0D0D"/>
          <w:spacing w:val="-3"/>
          <w:w w:val="102"/>
        </w:rPr>
        <w:t>0</w:t>
      </w:r>
      <w:r>
        <w:rPr>
          <w:color w:val="0D0D0D"/>
          <w:spacing w:val="-101"/>
          <w:w w:val="102"/>
        </w:rPr>
        <w:t>×</w:t>
      </w:r>
      <w:r>
        <w:rPr>
          <w:color w:val="0D0D0D"/>
          <w:spacing w:val="-4"/>
          <w:w w:val="102"/>
        </w:rPr>
        <w:t>（</w:t>
      </w:r>
      <w:r>
        <w:rPr>
          <w:color w:val="0D0D0D"/>
          <w:w w:val="102"/>
        </w:rPr>
        <w:t>P/</w:t>
      </w:r>
      <w:r>
        <w:rPr>
          <w:color w:val="0D0D0D"/>
          <w:spacing w:val="-4"/>
          <w:w w:val="102"/>
        </w:rPr>
        <w:t>A</w:t>
      </w:r>
      <w:r>
        <w:rPr>
          <w:color w:val="0D0D0D"/>
          <w:spacing w:val="-101"/>
          <w:w w:val="102"/>
        </w:rPr>
        <w:t>，</w:t>
      </w:r>
      <w:r>
        <w:rPr>
          <w:color w:val="0D0D0D"/>
          <w:w w:val="102"/>
        </w:rPr>
        <w:t>10</w:t>
      </w:r>
      <w:r>
        <w:rPr>
          <w:color w:val="0D0D0D"/>
          <w:spacing w:val="-53"/>
          <w:w w:val="102"/>
        </w:rPr>
        <w:t>%，</w:t>
      </w:r>
      <w:r>
        <w:rPr>
          <w:color w:val="0D0D0D"/>
          <w:w w:val="102"/>
        </w:rPr>
        <w:t>5</w:t>
      </w:r>
      <w:r>
        <w:rPr>
          <w:color w:val="0D0D0D"/>
          <w:spacing w:val="-263"/>
          <w:w w:val="102"/>
        </w:rPr>
        <w:t>）</w:t>
      </w:r>
      <w:r>
        <w:rPr>
          <w:color w:val="0D0D0D"/>
          <w:spacing w:val="-1"/>
          <w:w w:val="102"/>
        </w:rPr>
        <w:t>（</w:t>
      </w:r>
      <w:r>
        <w:rPr>
          <w:color w:val="0D0D0D"/>
          <w:w w:val="102"/>
        </w:rPr>
        <w:t>1+10</w:t>
      </w:r>
      <w:r>
        <w:rPr>
          <w:color w:val="0D0D0D"/>
          <w:spacing w:val="-7"/>
          <w:w w:val="102"/>
        </w:rPr>
        <w:t>%</w:t>
      </w:r>
      <w:r>
        <w:rPr>
          <w:color w:val="0D0D0D"/>
          <w:w w:val="102"/>
        </w:rPr>
        <w:t>）</w:t>
      </w:r>
      <w:r>
        <w:rPr>
          <w:color w:val="0D0D0D"/>
          <w:spacing w:val="-98"/>
        </w:rPr>
        <w:t xml:space="preserve"> </w:t>
      </w:r>
      <w:r>
        <w:rPr>
          <w:color w:val="0D0D0D"/>
          <w:w w:val="102"/>
        </w:rPr>
        <w:t>=41.7</w:t>
      </w:r>
      <w:r>
        <w:rPr>
          <w:color w:val="0D0D0D"/>
          <w:spacing w:val="-4"/>
          <w:w w:val="102"/>
        </w:rPr>
        <w:t>(万</w:t>
      </w:r>
    </w:p>
    <w:p>
      <w:pPr>
        <w:pStyle w:val="BodyText"/>
        <w:spacing w:before="13"/>
      </w:pPr>
      <w:r>
        <w:rPr>
          <w:color w:val="0D0D0D"/>
        </w:rPr>
        <w:t>元)</w:t>
      </w:r>
    </w:p>
    <w:p>
      <w:pPr>
        <w:pStyle w:val="BodyText"/>
        <w:spacing w:before="10"/>
        <w:ind w:left="3330"/>
      </w:pPr>
      <w:r>
        <w:rPr>
          <w:color w:val="0D0D0D"/>
        </w:rPr>
        <w:t>乙方案：付款总现值=12×(P/A,10%,5) ×(P/F,10%,1) =12×3.791×0.909 =41.4(万</w:t>
      </w:r>
    </w:p>
    <w:p>
      <w:pPr>
        <w:pStyle w:val="BodyText"/>
        <w:spacing w:before="13"/>
      </w:pPr>
      <w:r>
        <w:rPr>
          <w:color w:val="0D0D0D"/>
        </w:rPr>
        <w:t>元)</w:t>
      </w:r>
    </w:p>
    <w:p>
      <w:pPr>
        <w:pStyle w:val="BodyText"/>
        <w:spacing w:before="10"/>
        <w:ind w:left="3330"/>
      </w:pPr>
      <w:r>
        <w:rPr>
          <w:color w:val="0D0D0D"/>
        </w:rPr>
        <w:t>丙方案：付款总现值=11.5×(P/A,10%,5) =11.5×3.791 =43.6(万元)</w:t>
      </w:r>
    </w:p>
    <w:p>
      <w:pPr>
        <w:pStyle w:val="BodyText"/>
        <w:spacing w:before="13"/>
        <w:ind w:left="3330"/>
      </w:pPr>
      <w:r>
        <w:rPr>
          <w:color w:val="0D0D0D"/>
        </w:rPr>
        <w:t>通过计算可知,该公司应选择乙方案。</w:t>
      </w:r>
    </w:p>
    <w:p>
      <w:pPr>
        <w:pStyle w:val="BodyText"/>
        <w:spacing w:before="11"/>
        <w:ind w:left="0"/>
        <w:rPr>
          <w:sz w:val="27"/>
        </w:rPr>
      </w:pPr>
    </w:p>
    <w:p>
      <w:pPr>
        <w:pStyle w:val="BodyText"/>
        <w:spacing w:before="63" w:line="244" w:lineRule="auto"/>
        <w:ind w:right="2676"/>
        <w:jc w:val="both"/>
      </w:pPr>
      <w:r>
        <w:rPr>
          <w:color w:val="0D0D0D"/>
        </w:rPr>
        <w:t>4</w:t>
      </w:r>
      <w:r>
        <w:rPr>
          <w:color w:val="0D0D0D"/>
          <w:spacing w:val="-7"/>
        </w:rPr>
        <w:t xml:space="preserve">、企业拟以 </w:t>
      </w:r>
      <w:r>
        <w:rPr>
          <w:color w:val="0D0D0D"/>
        </w:rPr>
        <w:t>100 万元进行投资，现有A</w:t>
      </w:r>
      <w:r>
        <w:rPr>
          <w:color w:val="0D0D0D"/>
          <w:spacing w:val="-19"/>
        </w:rPr>
        <w:t xml:space="preserve"> 和 </w:t>
      </w:r>
      <w:r>
        <w:rPr>
          <w:color w:val="0D0D0D"/>
        </w:rPr>
        <w:t>B</w:t>
      </w:r>
      <w:r>
        <w:rPr>
          <w:color w:val="0D0D0D"/>
          <w:spacing w:val="-6"/>
        </w:rPr>
        <w:t xml:space="preserve"> 两个互斥的备选项目，假设各项目的收益率呈</w:t>
      </w:r>
      <w:r>
        <w:rPr>
          <w:color w:val="0D0D0D"/>
        </w:rPr>
        <w:t>正态分布，具体如下：</w:t>
      </w:r>
    </w:p>
    <w:p>
      <w:pPr>
        <w:pStyle w:val="BodyText"/>
        <w:ind w:left="3695"/>
        <w:rPr>
          <w:sz w:val="20"/>
        </w:rPr>
      </w:pPr>
      <w:r>
        <w:rPr>
          <w:sz w:val="20"/>
        </w:rPr>
        <w:drawing>
          <wp:inline distT="0" distB="0" distL="0" distR="0">
            <wp:extent cx="4655408" cy="3001803"/>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35" cstate="print"/>
                    <a:stretch>
                      <a:fillRect/>
                    </a:stretch>
                  </pic:blipFill>
                  <pic:spPr>
                    <a:xfrm>
                      <a:off x="0" y="0"/>
                      <a:ext cx="4655408" cy="3001803"/>
                    </a:xfrm>
                    <a:prstGeom prst="rect">
                      <a:avLst/>
                    </a:prstGeom>
                  </pic:spPr>
                </pic:pic>
              </a:graphicData>
            </a:graphic>
          </wp:inline>
        </w:drawing>
      </w:r>
    </w:p>
    <w:p>
      <w:pPr>
        <w:pStyle w:val="BodyText"/>
        <w:spacing w:before="75" w:line="247" w:lineRule="auto"/>
        <w:ind w:right="2630" w:firstLine="629"/>
        <w:jc w:val="both"/>
      </w:pPr>
      <w:r>
        <w:rPr>
          <w:color w:val="0D0D0D"/>
          <w:spacing w:val="-54"/>
          <w:w w:val="102"/>
        </w:rPr>
        <w:t>要求：</w:t>
      </w:r>
      <w:r>
        <w:rPr>
          <w:color w:val="0D0D0D"/>
          <w:spacing w:val="-1"/>
          <w:w w:val="102"/>
        </w:rPr>
        <w:t>（</w:t>
      </w:r>
      <w:r>
        <w:rPr>
          <w:color w:val="0D0D0D"/>
          <w:w w:val="102"/>
        </w:rPr>
        <w:t>1）分别计算</w:t>
      </w:r>
      <w:r>
        <w:rPr>
          <w:color w:val="0D0D0D"/>
          <w:spacing w:val="-86"/>
        </w:rPr>
        <w:t xml:space="preserve"> </w:t>
      </w:r>
      <w:r>
        <w:rPr>
          <w:color w:val="0D0D0D"/>
          <w:w w:val="102"/>
        </w:rPr>
        <w:t>A</w:t>
      </w:r>
      <w:r>
        <w:rPr>
          <w:color w:val="0D0D0D"/>
          <w:spacing w:val="-4"/>
          <w:w w:val="102"/>
        </w:rPr>
        <w:t>、</w:t>
      </w:r>
      <w:r>
        <w:rPr>
          <w:color w:val="0D0D0D"/>
          <w:w w:val="102"/>
        </w:rPr>
        <w:t>B</w:t>
      </w:r>
      <w:r>
        <w:rPr>
          <w:color w:val="0D0D0D"/>
          <w:spacing w:val="-80"/>
        </w:rPr>
        <w:t xml:space="preserve"> </w:t>
      </w:r>
      <w:r>
        <w:rPr>
          <w:color w:val="0D0D0D"/>
          <w:w w:val="102"/>
        </w:rPr>
        <w:t>项目预期收益率的期望值、标准离差和标准离差率，并根据</w:t>
      </w:r>
      <w:r>
        <w:rPr>
          <w:color w:val="0D0D0D"/>
        </w:rPr>
        <w:t>标准离差率作出决策</w:t>
      </w:r>
      <w:r>
        <w:rPr>
          <w:color w:val="0D0D0D"/>
          <w:spacing w:val="-173"/>
        </w:rPr>
        <w:t>。</w:t>
      </w:r>
      <w:r>
        <w:rPr>
          <w:color w:val="0D0D0D"/>
        </w:rPr>
        <w:t>（2）</w:t>
      </w:r>
      <w:r>
        <w:rPr>
          <w:color w:val="0D0D0D"/>
          <w:spacing w:val="1"/>
        </w:rPr>
        <w:t xml:space="preserve">如果无风险报酬率为 </w:t>
      </w:r>
      <w:r>
        <w:rPr>
          <w:color w:val="0D0D0D"/>
          <w:spacing w:val="-3"/>
        </w:rPr>
        <w:t>6</w:t>
      </w:r>
      <w:r>
        <w:rPr>
          <w:color w:val="0D0D0D"/>
          <w:spacing w:val="1"/>
        </w:rPr>
        <w:t xml:space="preserve">%，风险价值系数为 </w:t>
      </w:r>
      <w:r>
        <w:rPr>
          <w:color w:val="0D0D0D"/>
        </w:rPr>
        <w:t>10</w:t>
      </w:r>
      <w:r>
        <w:rPr>
          <w:color w:val="0D0D0D"/>
          <w:spacing w:val="9"/>
        </w:rPr>
        <w:t>%。请分别计算</w:t>
      </w:r>
      <w:r>
        <w:rPr>
          <w:color w:val="0D0D0D"/>
          <w:spacing w:val="-4"/>
        </w:rPr>
        <w:t>A</w:t>
      </w:r>
      <w:r>
        <w:rPr>
          <w:color w:val="0D0D0D"/>
          <w:spacing w:val="-14"/>
        </w:rPr>
        <w:t>、</w:t>
      </w:r>
      <w:r>
        <w:rPr>
          <w:color w:val="0D0D0D"/>
        </w:rPr>
        <w:t>B</w:t>
      </w:r>
      <w:r>
        <w:rPr>
          <w:color w:val="0D0D0D"/>
          <w:spacing w:val="-9"/>
        </w:rPr>
        <w:t xml:space="preserve"> 项目的期望投资收益率，并据以决策。</w:t>
      </w:r>
    </w:p>
    <w:p>
      <w:pPr>
        <w:spacing w:before="0" w:line="394" w:lineRule="exact"/>
        <w:ind w:left="3330" w:right="0" w:firstLine="0"/>
        <w:jc w:val="both"/>
        <w:rPr>
          <w:sz w:val="31"/>
        </w:rPr>
      </w:pPr>
      <w:r>
        <w:rPr>
          <w:b/>
          <w:color w:val="0D0D0D"/>
          <w:sz w:val="31"/>
        </w:rPr>
        <w:t xml:space="preserve">答案: </w:t>
      </w:r>
      <w:r>
        <w:rPr>
          <w:color w:val="0D0D0D"/>
          <w:sz w:val="31"/>
        </w:rPr>
        <w:t>（1）</w:t>
      </w:r>
    </w:p>
    <w:p>
      <w:pPr>
        <w:pStyle w:val="BodyText"/>
        <w:ind w:left="3695"/>
        <w:rPr>
          <w:sz w:val="20"/>
        </w:rPr>
      </w:pPr>
      <w:r>
        <w:rPr>
          <w:sz w:val="20"/>
        </w:rPr>
        <w:drawing>
          <wp:inline distT="0" distB="0" distL="0" distR="0">
            <wp:extent cx="4652185" cy="2011679"/>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36" cstate="print"/>
                    <a:stretch>
                      <a:fillRect/>
                    </a:stretch>
                  </pic:blipFill>
                  <pic:spPr>
                    <a:xfrm>
                      <a:off x="0" y="0"/>
                      <a:ext cx="4652185" cy="2011679"/>
                    </a:xfrm>
                    <a:prstGeom prst="rect">
                      <a:avLst/>
                    </a:prstGeom>
                  </pic:spPr>
                </pic:pic>
              </a:graphicData>
            </a:graphic>
          </wp:inline>
        </w:drawing>
      </w:r>
    </w:p>
    <w:p>
      <w:pPr>
        <w:pStyle w:val="BodyText"/>
        <w:spacing w:before="84"/>
        <w:ind w:left="3647"/>
      </w:pPr>
      <w:r>
        <w:rPr>
          <w:color w:val="0D0D0D"/>
        </w:rPr>
        <w:t>B 项目由于标准离差率小，故宣选B 项目。</w:t>
      </w:r>
    </w:p>
    <w:p>
      <w:pPr>
        <w:pStyle w:val="BodyText"/>
        <w:spacing w:before="10"/>
        <w:ind w:left="3017"/>
      </w:pPr>
      <w:r>
        <w:rPr>
          <w:color w:val="0D0D0D"/>
        </w:rPr>
        <w:t>（2）A 项目的期望投资收益率 =6%+1.63×10% =22.3%</w:t>
      </w:r>
    </w:p>
    <w:p>
      <w:pPr>
        <w:pStyle w:val="BodyText"/>
        <w:spacing w:before="13"/>
        <w:ind w:left="3647"/>
      </w:pPr>
      <w:r>
        <w:rPr>
          <w:color w:val="0D0D0D"/>
        </w:rPr>
        <w:t>B 项目的期望投资收益率 =6%+1.18×10% =17.8%</w:t>
      </w:r>
    </w:p>
    <w:p>
      <w:pPr>
        <w:pStyle w:val="BodyText"/>
        <w:spacing w:before="10" w:line="247" w:lineRule="auto"/>
        <w:ind w:right="2781" w:firstLine="946"/>
      </w:pPr>
      <w:r>
        <w:rPr>
          <w:color w:val="0D0D0D"/>
        </w:rPr>
        <w:t>A、B 项目的期望值均高于各自的期望投资收益率，说明它们均可行，其中A 项目期望值高，补偿风险后的预期总收益大，故宜选A 项目。</w:t>
      </w:r>
    </w:p>
    <w:p>
      <w:pPr>
        <w:pStyle w:val="Heading2"/>
        <w:spacing w:line="396" w:lineRule="exact"/>
        <w:ind w:left="3330"/>
      </w:pPr>
      <w:r>
        <w:rPr>
          <w:color w:val="0D0D0D"/>
        </w:rPr>
        <w:t>解析:</w:t>
      </w:r>
    </w:p>
    <w:p>
      <w:pPr>
        <w:pStyle w:val="BodyText"/>
        <w:ind w:left="0"/>
        <w:rPr>
          <w:b/>
          <w:sz w:val="32"/>
        </w:rPr>
      </w:pPr>
    </w:p>
    <w:p>
      <w:pPr>
        <w:pStyle w:val="BodyText"/>
        <w:spacing w:before="7"/>
        <w:ind w:left="0"/>
        <w:rPr>
          <w:b/>
          <w:sz w:val="32"/>
        </w:rPr>
      </w:pPr>
    </w:p>
    <w:p>
      <w:pPr>
        <w:pStyle w:val="BodyText"/>
        <w:spacing w:line="247" w:lineRule="auto"/>
        <w:ind w:right="2705"/>
        <w:jc w:val="both"/>
      </w:pPr>
      <w:r>
        <w:rPr>
          <w:color w:val="0D0D0D"/>
        </w:rPr>
        <w:t>5</w:t>
      </w:r>
      <w:r>
        <w:rPr>
          <w:color w:val="0D0D0D"/>
          <w:spacing w:val="-5"/>
        </w:rPr>
        <w:t xml:space="preserve">、设甲租赁公司将原价 </w:t>
      </w:r>
      <w:r>
        <w:rPr>
          <w:color w:val="0D0D0D"/>
        </w:rPr>
        <w:t>125</w:t>
      </w:r>
      <w:r>
        <w:rPr>
          <w:color w:val="0D0D0D"/>
          <w:spacing w:val="108"/>
        </w:rPr>
        <w:t xml:space="preserve"> </w:t>
      </w:r>
      <w:r>
        <w:rPr>
          <w:color w:val="0D0D0D"/>
        </w:rPr>
        <w:t>000</w:t>
      </w:r>
      <w:r>
        <w:rPr>
          <w:color w:val="0D0D0D"/>
          <w:spacing w:val="-4"/>
        </w:rPr>
        <w:t xml:space="preserve"> 元的设备以融资租赁方式租给乙公司，共租</w:t>
      </w:r>
      <w:r>
        <w:rPr>
          <w:color w:val="0D0D0D"/>
        </w:rPr>
        <w:t>5</w:t>
      </w:r>
      <w:r>
        <w:rPr>
          <w:color w:val="0D0D0D"/>
          <w:spacing w:val="-7"/>
        </w:rPr>
        <w:t xml:space="preserve"> 年，每半年</w:t>
      </w:r>
      <w:r>
        <w:rPr>
          <w:color w:val="0D0D0D"/>
          <w:spacing w:val="-16"/>
        </w:rPr>
        <w:t xml:space="preserve">末付租金 </w:t>
      </w:r>
      <w:r>
        <w:rPr>
          <w:color w:val="0D0D0D"/>
        </w:rPr>
        <w:t>1.4</w:t>
      </w:r>
      <w:r>
        <w:rPr>
          <w:color w:val="0D0D0D"/>
          <w:spacing w:val="-27"/>
        </w:rPr>
        <w:t xml:space="preserve"> 万元，满 </w:t>
      </w:r>
      <w:r>
        <w:rPr>
          <w:color w:val="0D0D0D"/>
        </w:rPr>
        <w:t>5</w:t>
      </w:r>
      <w:r>
        <w:rPr>
          <w:color w:val="0D0D0D"/>
          <w:spacing w:val="-9"/>
        </w:rPr>
        <w:t xml:space="preserve"> 年后设备所有权归属乙公司。要求：</w:t>
      </w:r>
    </w:p>
    <w:p>
      <w:pPr>
        <w:pStyle w:val="BodyText"/>
        <w:spacing w:line="247" w:lineRule="auto"/>
        <w:ind w:left="3330" w:right="2634"/>
        <w:jc w:val="both"/>
      </w:pPr>
      <w:r>
        <w:rPr>
          <w:color w:val="0D0D0D"/>
        </w:rPr>
        <w:t>（1）</w:t>
      </w:r>
      <w:r>
        <w:rPr>
          <w:color w:val="0D0D0D"/>
          <w:spacing w:val="-1"/>
        </w:rPr>
        <w:t>如乙公司自行向银行借款购此设备，银行贷款利率为</w:t>
      </w:r>
      <w:r>
        <w:rPr>
          <w:color w:val="0D0D0D"/>
        </w:rPr>
        <w:t>6%，试判断乙公司是租好还</w:t>
      </w:r>
      <w:r>
        <w:rPr>
          <w:color w:val="0D0D0D"/>
          <w:spacing w:val="-31"/>
        </w:rPr>
        <w:t>是借款买好。</w:t>
      </w:r>
      <w:r>
        <w:rPr>
          <w:color w:val="0D0D0D"/>
        </w:rPr>
        <w:t>（2）</w:t>
      </w:r>
      <w:r>
        <w:rPr>
          <w:color w:val="0D0D0D"/>
          <w:spacing w:val="4"/>
        </w:rPr>
        <w:t>若中介人要向甲索取佣金</w:t>
      </w:r>
      <w:r>
        <w:rPr>
          <w:color w:val="0D0D0D"/>
        </w:rPr>
        <w:t>6 448</w:t>
      </w:r>
      <w:r>
        <w:rPr>
          <w:color w:val="0D0D0D"/>
          <w:spacing w:val="-1"/>
        </w:rPr>
        <w:t xml:space="preserve"> 元，其余条件不变，甲本身筹资成本</w:t>
      </w:r>
      <w:r>
        <w:rPr>
          <w:color w:val="0D0D0D"/>
          <w:spacing w:val="-38"/>
        </w:rPr>
        <w:t xml:space="preserve">为 </w:t>
      </w:r>
      <w:r>
        <w:rPr>
          <w:color w:val="0D0D0D"/>
        </w:rPr>
        <w:t>6%，每期初租金不能</w:t>
      </w:r>
    </w:p>
    <w:p>
      <w:pPr>
        <w:pStyle w:val="BodyText"/>
        <w:spacing w:line="244" w:lineRule="auto"/>
        <w:ind w:left="3330" w:right="5973" w:hanging="630"/>
        <w:jc w:val="both"/>
        <w:rPr>
          <w:b/>
        </w:rPr>
      </w:pPr>
      <w:r>
        <w:rPr>
          <w:color w:val="0D0D0D"/>
        </w:rPr>
        <w:t xml:space="preserve">超过 1.2 万元，租期至少要多少期甲公司才肯出租（期数取整）？ </w:t>
      </w:r>
      <w:r>
        <w:rPr>
          <w:b/>
          <w:color w:val="0D0D0D"/>
        </w:rPr>
        <w:t>答案:</w:t>
      </w:r>
    </w:p>
    <w:p>
      <w:pPr>
        <w:pStyle w:val="BodyText"/>
        <w:spacing w:before="7"/>
        <w:ind w:left="3017"/>
        <w:jc w:val="both"/>
      </w:pPr>
      <w:r>
        <w:rPr>
          <w:color w:val="0D0D0D"/>
        </w:rPr>
        <w:t>（1）14 000×（P/A，3%，10） =119 422.80(元)＜ 125 000 元 以租为好</w:t>
      </w:r>
    </w:p>
    <w:p>
      <w:pPr>
        <w:pStyle w:val="BodyText"/>
        <w:spacing w:before="9"/>
        <w:ind w:left="3175"/>
        <w:jc w:val="both"/>
      </w:pPr>
      <w:r>
        <w:rPr>
          <w:color w:val="0D0D0D"/>
        </w:rPr>
        <w:t>(2)</w:t>
      </w:r>
      <w:r>
        <w:rPr>
          <w:color w:val="0D0D0D"/>
          <w:spacing w:val="-1"/>
        </w:rPr>
        <w:t xml:space="preserve">甲租赁公司原始投资为 </w:t>
      </w:r>
      <w:r>
        <w:rPr>
          <w:color w:val="0D0D0D"/>
        </w:rPr>
        <w:t>125</w:t>
      </w:r>
      <w:r>
        <w:rPr>
          <w:color w:val="0D0D0D"/>
          <w:spacing w:val="-55"/>
        </w:rPr>
        <w:t xml:space="preserve"> </w:t>
      </w:r>
      <w:r>
        <w:rPr>
          <w:color w:val="0D0D0D"/>
        </w:rPr>
        <w:t>000+6</w:t>
      </w:r>
      <w:r>
        <w:rPr>
          <w:color w:val="0D0D0D"/>
          <w:spacing w:val="-56"/>
        </w:rPr>
        <w:t xml:space="preserve"> </w:t>
      </w:r>
      <w:r>
        <w:rPr>
          <w:color w:val="0D0D0D"/>
        </w:rPr>
        <w:t>448=131</w:t>
      </w:r>
      <w:r>
        <w:rPr>
          <w:color w:val="0D0D0D"/>
          <w:spacing w:val="-55"/>
        </w:rPr>
        <w:t xml:space="preserve"> </w:t>
      </w:r>
      <w:r>
        <w:rPr>
          <w:color w:val="0D0D0D"/>
        </w:rPr>
        <w:t>448</w:t>
      </w:r>
      <w:r>
        <w:rPr>
          <w:color w:val="0D0D0D"/>
          <w:spacing w:val="-13"/>
        </w:rPr>
        <w:t xml:space="preserve">(元) </w:t>
      </w:r>
      <w:r>
        <w:rPr>
          <w:color w:val="0D0D0D"/>
        </w:rPr>
        <w:t>12</w:t>
      </w:r>
      <w:r>
        <w:rPr>
          <w:color w:val="0D0D0D"/>
          <w:spacing w:val="-52"/>
        </w:rPr>
        <w:t xml:space="preserve"> </w:t>
      </w:r>
      <w:r>
        <w:rPr>
          <w:color w:val="0D0D0D"/>
        </w:rPr>
        <w:t>000×[(P/A,3%,n-1)+1]=131</w:t>
      </w:r>
    </w:p>
    <w:p>
      <w:pPr>
        <w:spacing w:after="0"/>
        <w:jc w:val="both"/>
        <w:sectPr>
          <w:headerReference w:type="default" r:id="rId37"/>
          <w:footerReference w:type="default" r:id="rId38"/>
          <w:pgSz w:w="17860" w:h="25260"/>
          <w:pgMar w:top="1720" w:right="0" w:bottom="1940" w:left="0" w:header="1129" w:footer="1732"/>
          <w:pgNumType w:start="2"/>
          <w:cols w:space="708"/>
        </w:sectPr>
      </w:pPr>
    </w:p>
    <w:p>
      <w:pPr>
        <w:pStyle w:val="BodyText"/>
        <w:spacing w:before="3"/>
        <w:ind w:left="0"/>
        <w:rPr>
          <w:sz w:val="8"/>
        </w:rPr>
      </w:pPr>
    </w:p>
    <w:p>
      <w:pPr>
        <w:pStyle w:val="BodyText"/>
        <w:spacing w:before="63"/>
      </w:pPr>
      <w:r>
        <w:rPr>
          <w:color w:val="0D0D0D"/>
        </w:rPr>
        <w:t>448(元)</w:t>
      </w:r>
    </w:p>
    <w:p>
      <w:pPr>
        <w:pStyle w:val="BodyText"/>
        <w:spacing w:before="10"/>
        <w:ind w:left="3647"/>
      </w:pPr>
      <w:r>
        <w:rPr>
          <w:color w:val="0D0D0D"/>
        </w:rPr>
        <w:t>∴ (P/A,3%,n-1)=9.954 查表得n-1=12 期，n=13 期，则甲应至少出租 7 年。</w:t>
      </w:r>
    </w:p>
    <w:p>
      <w:pPr>
        <w:pStyle w:val="BodyText"/>
        <w:ind w:left="0"/>
        <w:rPr>
          <w:sz w:val="32"/>
        </w:rPr>
      </w:pPr>
    </w:p>
    <w:p>
      <w:pPr>
        <w:pStyle w:val="BodyText"/>
        <w:spacing w:before="10"/>
        <w:ind w:left="0"/>
        <w:rPr>
          <w:sz w:val="32"/>
        </w:rPr>
      </w:pPr>
    </w:p>
    <w:p>
      <w:pPr>
        <w:pStyle w:val="BodyText"/>
        <w:spacing w:line="244" w:lineRule="auto"/>
        <w:ind w:right="2676"/>
      </w:pPr>
      <w:r>
        <w:rPr>
          <w:color w:val="0D0D0D"/>
        </w:rPr>
        <w:t>6</w:t>
      </w:r>
      <w:r>
        <w:rPr>
          <w:color w:val="0D0D0D"/>
          <w:spacing w:val="25"/>
        </w:rPr>
        <w:t>、假定</w:t>
      </w:r>
      <w:r>
        <w:rPr>
          <w:color w:val="0D0D0D"/>
        </w:rPr>
        <w:t>A</w:t>
      </w:r>
      <w:r>
        <w:rPr>
          <w:color w:val="0D0D0D"/>
          <w:spacing w:val="-17"/>
        </w:rPr>
        <w:t xml:space="preserve"> 公司贷款 </w:t>
      </w:r>
      <w:r>
        <w:rPr>
          <w:color w:val="0D0D0D"/>
        </w:rPr>
        <w:t>1</w:t>
      </w:r>
      <w:r>
        <w:rPr>
          <w:color w:val="0D0D0D"/>
          <w:spacing w:val="77"/>
        </w:rPr>
        <w:t xml:space="preserve"> </w:t>
      </w:r>
      <w:r>
        <w:rPr>
          <w:color w:val="0D0D0D"/>
        </w:rPr>
        <w:t>000</w:t>
      </w:r>
      <w:r>
        <w:rPr>
          <w:color w:val="0D0D0D"/>
          <w:spacing w:val="-14"/>
        </w:rPr>
        <w:t xml:space="preserve"> 元，必须在未来 </w:t>
      </w:r>
      <w:r>
        <w:rPr>
          <w:color w:val="0D0D0D"/>
        </w:rPr>
        <w:t>3</w:t>
      </w:r>
      <w:r>
        <w:rPr>
          <w:color w:val="0D0D0D"/>
          <w:spacing w:val="-7"/>
        </w:rPr>
        <w:t xml:space="preserve"> 年每年底偿还相等的金额，而银行按贷款余额</w:t>
      </w:r>
      <w:r>
        <w:rPr>
          <w:color w:val="0D0D0D"/>
          <w:w w:val="102"/>
        </w:rPr>
        <w:t>的</w:t>
      </w:r>
      <w:r>
        <w:rPr>
          <w:color w:val="0D0D0D"/>
          <w:spacing w:val="-76"/>
        </w:rPr>
        <w:t xml:space="preserve"> </w:t>
      </w:r>
      <w:r>
        <w:rPr>
          <w:color w:val="0D0D0D"/>
          <w:w w:val="102"/>
        </w:rPr>
        <w:t>6</w:t>
      </w:r>
      <w:r>
        <w:rPr>
          <w:color w:val="0D0D0D"/>
          <w:spacing w:val="-2"/>
          <w:w w:val="102"/>
        </w:rPr>
        <w:t>%收取利息。请你编制如下的还本付息表</w:t>
      </w:r>
      <w:r>
        <w:rPr>
          <w:color w:val="0D0D0D"/>
          <w:w w:val="102"/>
        </w:rPr>
        <w:t>（</w:t>
      </w:r>
      <w:r>
        <w:rPr>
          <w:color w:val="0D0D0D"/>
          <w:spacing w:val="6"/>
          <w:w w:val="102"/>
        </w:rPr>
        <w:t>保留小数点后</w:t>
      </w:r>
      <w:r>
        <w:rPr>
          <w:color w:val="0D0D0D"/>
          <w:w w:val="102"/>
        </w:rPr>
        <w:t>2</w:t>
      </w:r>
      <w:r>
        <w:rPr>
          <w:color w:val="0D0D0D"/>
          <w:spacing w:val="-80"/>
        </w:rPr>
        <w:t xml:space="preserve"> </w:t>
      </w:r>
      <w:r>
        <w:rPr>
          <w:color w:val="0D0D0D"/>
          <w:w w:val="102"/>
        </w:rPr>
        <w:t>位</w:t>
      </w:r>
      <w:r>
        <w:rPr>
          <w:color w:val="0D0D0D"/>
          <w:spacing w:val="-162"/>
          <w:w w:val="102"/>
        </w:rPr>
        <w:t>）</w:t>
      </w:r>
      <w:r>
        <w:rPr>
          <w:color w:val="0D0D0D"/>
          <w:w w:val="102"/>
        </w:rPr>
        <w:t>：</w:t>
      </w:r>
    </w:p>
    <w:p>
      <w:pPr>
        <w:pStyle w:val="BodyText"/>
        <w:ind w:left="3839"/>
        <w:rPr>
          <w:sz w:val="20"/>
        </w:rPr>
      </w:pPr>
      <w:r>
        <w:rPr>
          <w:sz w:val="20"/>
        </w:rPr>
        <w:drawing>
          <wp:inline distT="0" distB="0" distL="0" distR="0">
            <wp:extent cx="4535885" cy="1715643"/>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39" cstate="print"/>
                    <a:stretch>
                      <a:fillRect/>
                    </a:stretch>
                  </pic:blipFill>
                  <pic:spPr>
                    <a:xfrm>
                      <a:off x="0" y="0"/>
                      <a:ext cx="4535885" cy="1715643"/>
                    </a:xfrm>
                    <a:prstGeom prst="rect">
                      <a:avLst/>
                    </a:prstGeom>
                  </pic:spPr>
                </pic:pic>
              </a:graphicData>
            </a:graphic>
          </wp:inline>
        </w:drawing>
      </w:r>
    </w:p>
    <w:p>
      <w:pPr>
        <w:pStyle w:val="BodyText"/>
        <w:spacing w:before="2"/>
        <w:ind w:left="0"/>
        <w:rPr>
          <w:sz w:val="36"/>
        </w:rPr>
      </w:pPr>
    </w:p>
    <w:p>
      <w:pPr>
        <w:pStyle w:val="Heading2"/>
        <w:ind w:left="3330"/>
      </w:pPr>
      <w:r>
        <w:rPr>
          <w:color w:val="0D0D0D"/>
        </w:rPr>
        <w:t>答案:</w:t>
      </w:r>
    </w:p>
    <w:p>
      <w:pPr>
        <w:pStyle w:val="BodyText"/>
        <w:ind w:left="3061"/>
        <w:rPr>
          <w:sz w:val="20"/>
        </w:rPr>
      </w:pPr>
      <w:r>
        <w:rPr>
          <w:sz w:val="20"/>
        </w:rPr>
        <w:drawing>
          <wp:inline distT="0" distB="0" distL="0" distR="0">
            <wp:extent cx="5911273" cy="2242375"/>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40" cstate="print"/>
                    <a:stretch>
                      <a:fillRect/>
                    </a:stretch>
                  </pic:blipFill>
                  <pic:spPr>
                    <a:xfrm>
                      <a:off x="0" y="0"/>
                      <a:ext cx="5911273" cy="2242375"/>
                    </a:xfrm>
                    <a:prstGeom prst="rect">
                      <a:avLst/>
                    </a:prstGeom>
                  </pic:spPr>
                </pic:pic>
              </a:graphicData>
            </a:graphic>
          </wp:inline>
        </w:drawing>
      </w:r>
    </w:p>
    <w:p>
      <w:pPr>
        <w:pStyle w:val="BodyText"/>
        <w:spacing w:before="2"/>
        <w:ind w:left="0"/>
        <w:rPr>
          <w:b/>
          <w:sz w:val="36"/>
        </w:rPr>
      </w:pPr>
    </w:p>
    <w:p>
      <w:pPr>
        <w:pStyle w:val="BodyText"/>
        <w:ind w:left="3017"/>
      </w:pPr>
      <w:r>
        <w:rPr>
          <w:color w:val="0D0D0D"/>
        </w:rPr>
        <w:t>表中数字计算过程：年支付额（A）=P÷（P/A，6%，3） =1 000÷2.673 =374.11(元)</w:t>
      </w:r>
    </w:p>
    <w:p>
      <w:pPr>
        <w:pStyle w:val="BodyText"/>
        <w:spacing w:before="13"/>
        <w:ind w:left="3017"/>
      </w:pPr>
      <w:r>
        <w:rPr>
          <w:color w:val="0D0D0D"/>
        </w:rPr>
        <w:t>第一年: 支付额=374.11(元)</w:t>
      </w:r>
    </w:p>
    <w:p>
      <w:pPr>
        <w:pStyle w:val="BodyText"/>
        <w:spacing w:before="10"/>
        <w:ind w:left="3017"/>
      </w:pPr>
      <w:r>
        <w:rPr>
          <w:color w:val="0D0D0D"/>
        </w:rPr>
        <w:t>利息=贷款余额×6%=1 000×6%=60(元)</w:t>
      </w:r>
    </w:p>
    <w:p>
      <w:pPr>
        <w:pStyle w:val="BodyText"/>
        <w:spacing w:before="13"/>
        <w:ind w:left="3017"/>
      </w:pPr>
      <w:r>
        <w:rPr>
          <w:color w:val="0D0D0D"/>
        </w:rPr>
        <w:t>本金偿还额=支付额-利息 =374.11-60 =314.11(元)</w:t>
      </w:r>
    </w:p>
    <w:p>
      <w:pPr>
        <w:pStyle w:val="BodyText"/>
        <w:spacing w:before="10"/>
        <w:ind w:left="3017"/>
      </w:pPr>
      <w:r>
        <w:rPr>
          <w:color w:val="0D0D0D"/>
        </w:rPr>
        <w:t>贷款余额=上期贷款余额-本期本金偿还额=1 000-314.11=685.89(元)</w:t>
      </w:r>
    </w:p>
    <w:p>
      <w:pPr>
        <w:pStyle w:val="BodyText"/>
        <w:spacing w:before="13" w:line="244" w:lineRule="auto"/>
        <w:ind w:left="3017" w:right="10110"/>
      </w:pPr>
      <w:r>
        <w:rPr>
          <w:color w:val="0D0D0D"/>
        </w:rPr>
        <w:t>第二年：支付额</w:t>
      </w:r>
      <w:r>
        <w:rPr>
          <w:color w:val="0D0D0D"/>
          <w:spacing w:val="-3"/>
        </w:rPr>
        <w:t>＝374.11（</w:t>
      </w:r>
      <w:r>
        <w:rPr>
          <w:color w:val="0D0D0D"/>
        </w:rPr>
        <w:t xml:space="preserve">元） </w:t>
      </w:r>
      <w:r>
        <w:rPr>
          <w:color w:val="0D0D0D"/>
          <w:spacing w:val="-1"/>
        </w:rPr>
        <w:t>利息＝685.89×6％＝41.15（</w:t>
      </w:r>
      <w:r>
        <w:rPr>
          <w:color w:val="0D0D0D"/>
        </w:rPr>
        <w:t>元</w:t>
      </w:r>
      <w:r>
        <w:rPr>
          <w:color w:val="0D0D0D"/>
          <w:spacing w:val="-17"/>
        </w:rPr>
        <w:t>）</w:t>
      </w:r>
    </w:p>
    <w:p>
      <w:pPr>
        <w:pStyle w:val="BodyText"/>
        <w:spacing w:before="7"/>
        <w:ind w:left="3017"/>
      </w:pPr>
      <w:r>
        <w:rPr>
          <w:color w:val="0D0D0D"/>
        </w:rPr>
        <w:t>本金偿还额＝374.11-41.15＝332.96（元）</w:t>
      </w:r>
    </w:p>
    <w:p>
      <w:pPr>
        <w:pStyle w:val="BodyText"/>
        <w:spacing w:before="10" w:line="244" w:lineRule="auto"/>
        <w:ind w:left="3017" w:right="5226"/>
      </w:pPr>
      <w:r>
        <w:rPr>
          <w:color w:val="0D0D0D"/>
        </w:rPr>
        <w:t>贷款余额=上期贷款余额-本期本金偿还额=685.89-332.96=352.93(元) 第三年：支付额＝374.11（元）</w:t>
      </w:r>
    </w:p>
    <w:p>
      <w:pPr>
        <w:pStyle w:val="BodyText"/>
        <w:spacing w:before="7"/>
        <w:ind w:left="3017"/>
      </w:pPr>
      <w:r>
        <w:rPr>
          <w:color w:val="0D0D0D"/>
        </w:rPr>
        <w:t>利息＝352.93×6％＝21.18（元）</w:t>
      </w:r>
    </w:p>
    <w:p>
      <w:pPr>
        <w:pStyle w:val="BodyText"/>
        <w:spacing w:before="9"/>
        <w:ind w:left="3017"/>
      </w:pPr>
      <w:r>
        <w:rPr>
          <w:color w:val="0D0D0D"/>
        </w:rPr>
        <w:t>本金偿还额＝374.11-21.18＝352.93（元）</w:t>
      </w:r>
    </w:p>
    <w:p>
      <w:pPr>
        <w:pStyle w:val="BodyText"/>
        <w:spacing w:before="14"/>
        <w:ind w:left="3017"/>
      </w:pPr>
      <w:r>
        <w:rPr>
          <w:color w:val="0D0D0D"/>
        </w:rPr>
        <w:t>贷款余额=上期贷款余额-本期本金偿还额=352.93-352.93=0(元)</w:t>
      </w:r>
    </w:p>
    <w:p>
      <w:pPr>
        <w:pStyle w:val="BodyText"/>
        <w:ind w:left="0"/>
        <w:rPr>
          <w:sz w:val="20"/>
        </w:rPr>
      </w:pPr>
    </w:p>
    <w:p>
      <w:pPr>
        <w:pStyle w:val="BodyText"/>
        <w:ind w:left="0"/>
        <w:rPr>
          <w:sz w:val="20"/>
        </w:rPr>
      </w:pPr>
    </w:p>
    <w:p>
      <w:pPr>
        <w:pStyle w:val="BodyText"/>
        <w:spacing w:before="11"/>
        <w:ind w:left="0"/>
        <w:rPr>
          <w:sz w:val="19"/>
        </w:rPr>
      </w:pPr>
    </w:p>
    <w:p>
      <w:pPr>
        <w:spacing w:after="0"/>
        <w:rPr>
          <w:sz w:val="19"/>
        </w:rPr>
        <w:sectPr>
          <w:headerReference w:type="default" r:id="rId41"/>
          <w:footerReference w:type="default" r:id="rId42"/>
          <w:pgSz w:w="17860" w:h="25260"/>
          <w:pgMar w:top="1720" w:right="0" w:bottom="1940" w:left="0" w:header="1129" w:footer="1732"/>
          <w:pgNumType w:start="3"/>
          <w:cols w:space="708"/>
        </w:sectPr>
      </w:pPr>
    </w:p>
    <w:p>
      <w:pPr>
        <w:pStyle w:val="BodyText"/>
        <w:ind w:left="0"/>
        <w:rPr>
          <w:sz w:val="32"/>
        </w:rPr>
      </w:pPr>
    </w:p>
    <w:p>
      <w:pPr>
        <w:pStyle w:val="BodyText"/>
        <w:spacing w:before="7"/>
        <w:ind w:left="0"/>
        <w:rPr>
          <w:sz w:val="30"/>
        </w:rPr>
      </w:pPr>
    </w:p>
    <w:p>
      <w:pPr>
        <w:spacing w:before="0"/>
        <w:ind w:left="2700" w:right="0" w:firstLine="0"/>
        <w:jc w:val="left"/>
        <w:rPr>
          <w:b/>
          <w:sz w:val="31"/>
        </w:rPr>
      </w:pPr>
      <w:r>
        <w:rPr>
          <w:b/>
          <w:color w:val="0D0D0D"/>
          <w:sz w:val="31"/>
        </w:rPr>
        <w:t>一、单项选择题</w:t>
      </w:r>
    </w:p>
    <w:p>
      <w:pPr>
        <w:pStyle w:val="Heading1"/>
        <w:tabs>
          <w:tab w:val="left" w:pos="4093"/>
        </w:tabs>
        <w:spacing w:before="32"/>
        <w:ind w:left="1922"/>
      </w:pPr>
      <w:r>
        <w:rPr>
          <w:b w:val="0"/>
        </w:rPr>
        <w:br w:type="column"/>
      </w:r>
      <w:r>
        <w:rPr>
          <w:color w:val="0D0D0D"/>
        </w:rPr>
        <w:t>第三章</w:t>
        <w:tab/>
        <w:t>财务分析</w:t>
      </w:r>
    </w:p>
    <w:p>
      <w:pPr>
        <w:spacing w:after="0"/>
        <w:sectPr>
          <w:headerReference w:type="default" r:id="rId43"/>
          <w:footerReference w:type="default" r:id="rId44"/>
          <w:type w:val="continuous"/>
          <w:pgSz w:w="17860" w:h="25260"/>
          <w:pgMar w:top="1720" w:right="0" w:bottom="1940" w:left="0" w:header="708" w:footer="708"/>
          <w:pgNumType w:start="4"/>
          <w:cols w:num="2" w:space="708" w:equalWidth="0">
            <w:col w:w="4919" w:space="40"/>
            <w:col w:w="12901" w:space="0"/>
          </w:cols>
        </w:sectPr>
      </w:pPr>
    </w:p>
    <w:p>
      <w:pPr>
        <w:pStyle w:val="BodyText"/>
        <w:tabs>
          <w:tab w:val="left" w:pos="7269"/>
        </w:tabs>
        <w:spacing w:before="14"/>
      </w:pPr>
      <w:r>
        <w:rPr>
          <w:color w:val="0D0D0D"/>
        </w:rPr>
        <w:t>1、杜邦分析法主要用于（</w:t>
        <w:tab/>
      </w:r>
      <w:r>
        <w:rPr>
          <w:color w:val="0D0D0D"/>
          <w:spacing w:val="-159"/>
        </w:rPr>
        <w:t>）</w:t>
      </w:r>
      <w:r>
        <w:rPr>
          <w:color w:val="0D0D0D"/>
        </w:rPr>
        <w:t>。</w:t>
      </w:r>
    </w:p>
    <w:p>
      <w:pPr>
        <w:pStyle w:val="BodyText"/>
        <w:tabs>
          <w:tab w:val="left" w:pos="8706"/>
        </w:tabs>
        <w:spacing w:before="9"/>
        <w:ind w:left="2859"/>
      </w:pPr>
      <w:r>
        <w:rPr>
          <w:color w:val="0D0D0D"/>
        </w:rPr>
        <w:t>A、企业获利能力分析</w:t>
        <w:tab/>
      </w:r>
      <w:r>
        <w:rPr>
          <w:color w:val="0D0D0D"/>
          <w:spacing w:val="-19"/>
        </w:rPr>
        <w:t>B</w:t>
      </w:r>
      <w:r>
        <w:rPr>
          <w:color w:val="0D0D0D"/>
        </w:rPr>
        <w:t>、企业偿债能力分析</w:t>
      </w:r>
    </w:p>
    <w:p>
      <w:pPr>
        <w:pStyle w:val="BodyText"/>
        <w:tabs>
          <w:tab w:val="left" w:pos="8864"/>
        </w:tabs>
        <w:spacing w:before="13" w:line="244" w:lineRule="auto"/>
        <w:ind w:left="2855" w:right="5050" w:firstLine="3"/>
      </w:pPr>
      <w:r>
        <w:rPr>
          <w:color w:val="0D0D0D"/>
        </w:rPr>
        <w:t>C、企业营运能力分析</w:t>
        <w:tab/>
      </w:r>
      <w:r>
        <w:rPr>
          <w:color w:val="0D0D0D"/>
          <w:spacing w:val="-18"/>
        </w:rPr>
        <w:t>D</w:t>
      </w:r>
      <w:r>
        <w:rPr>
          <w:color w:val="0D0D0D"/>
        </w:rPr>
        <w:t>、企业财务状况的综合分</w:t>
      </w:r>
      <w:r>
        <w:rPr>
          <w:color w:val="0D0D0D"/>
          <w:spacing w:val="-17"/>
        </w:rPr>
        <w:t>析</w:t>
      </w:r>
      <w:r>
        <w:rPr>
          <w:b/>
          <w:color w:val="0D0D0D"/>
        </w:rPr>
        <w:t>答案</w:t>
      </w:r>
      <w:r>
        <w:rPr>
          <w:color w:val="0D0D0D"/>
        </w:rPr>
        <w:t>：D</w:t>
      </w:r>
    </w:p>
    <w:p>
      <w:pPr>
        <w:pStyle w:val="BodyText"/>
        <w:spacing w:before="7" w:line="244" w:lineRule="auto"/>
        <w:ind w:right="2648" w:firstLine="154"/>
      </w:pPr>
      <w:r>
        <w:rPr>
          <w:b/>
          <w:color w:val="0D0D0D"/>
        </w:rPr>
        <w:t>解析</w:t>
      </w:r>
      <w:r>
        <w:rPr>
          <w:color w:val="0D0D0D"/>
        </w:rPr>
        <w:t>：杜邦分析法是利用几种主要财务比率之间的内在联系综合分析企业财务状况的一种方法。</w:t>
      </w:r>
    </w:p>
    <w:p>
      <w:pPr>
        <w:pStyle w:val="BodyText"/>
        <w:tabs>
          <w:tab w:val="left" w:pos="10107"/>
        </w:tabs>
        <w:spacing w:before="7"/>
      </w:pPr>
      <w:r>
        <w:rPr>
          <w:color w:val="0D0D0D"/>
        </w:rPr>
        <w:t>2、不直接影响企业的净资产收益率的指标是（</w:t>
        <w:tab/>
      </w:r>
      <w:r>
        <w:rPr>
          <w:color w:val="0D0D0D"/>
          <w:spacing w:val="-159"/>
        </w:rPr>
        <w:t>）</w:t>
      </w:r>
      <w:r>
        <w:rPr>
          <w:color w:val="0D0D0D"/>
        </w:rPr>
        <w:t>。</w:t>
      </w:r>
    </w:p>
    <w:p>
      <w:pPr>
        <w:pStyle w:val="BodyText"/>
        <w:tabs>
          <w:tab w:val="left" w:pos="8712"/>
        </w:tabs>
        <w:spacing w:before="10"/>
        <w:ind w:left="2859"/>
      </w:pPr>
      <w:r>
        <w:rPr>
          <w:color w:val="0D0D0D"/>
        </w:rPr>
        <w:t>A、权益乘数</w:t>
        <w:tab/>
      </w:r>
      <w:r>
        <w:rPr>
          <w:color w:val="0D0D0D"/>
          <w:spacing w:val="-25"/>
        </w:rPr>
        <w:t>B</w:t>
      </w:r>
      <w:r>
        <w:rPr>
          <w:color w:val="0D0D0D"/>
        </w:rPr>
        <w:t>、销售净利率</w:t>
      </w:r>
    </w:p>
    <w:p>
      <w:pPr>
        <w:spacing w:after="0"/>
        <w:sectPr>
          <w:headerReference w:type="default" r:id="rId45"/>
          <w:footerReference w:type="default" r:id="rId46"/>
          <w:type w:val="continuous"/>
          <w:pgSz w:w="17860" w:h="25260"/>
          <w:pgMar w:top="1720" w:right="0" w:bottom="1940" w:left="0" w:header="708" w:footer="708"/>
          <w:pgNumType w:start="5"/>
          <w:cols w:space="708"/>
        </w:sectPr>
      </w:pPr>
    </w:p>
    <w:p>
      <w:pPr>
        <w:pStyle w:val="BodyText"/>
        <w:spacing w:before="3"/>
        <w:ind w:left="0"/>
        <w:rPr>
          <w:sz w:val="8"/>
        </w:rPr>
      </w:pPr>
    </w:p>
    <w:p>
      <w:pPr>
        <w:pStyle w:val="BodyText"/>
        <w:tabs>
          <w:tab w:val="left" w:pos="8708"/>
        </w:tabs>
        <w:spacing w:before="63" w:line="247" w:lineRule="auto"/>
        <w:ind w:left="2855" w:right="6793" w:firstLine="3"/>
      </w:pPr>
      <w:r>
        <w:rPr>
          <w:color w:val="0D0D0D"/>
        </w:rPr>
        <w:t>C、总资产周转率</w:t>
        <w:tab/>
      </w:r>
      <w:r>
        <w:rPr>
          <w:color w:val="0D0D0D"/>
          <w:spacing w:val="-21"/>
        </w:rPr>
        <w:t>D</w:t>
      </w:r>
      <w:r>
        <w:rPr>
          <w:color w:val="0D0D0D"/>
        </w:rPr>
        <w:t>、股利支付比</w:t>
      </w:r>
      <w:r>
        <w:rPr>
          <w:color w:val="0D0D0D"/>
          <w:spacing w:val="-17"/>
        </w:rPr>
        <w:t>率</w:t>
      </w:r>
      <w:r>
        <w:rPr>
          <w:b/>
          <w:color w:val="0D0D0D"/>
        </w:rPr>
        <w:t>答案</w:t>
      </w:r>
      <w:r>
        <w:rPr>
          <w:color w:val="0D0D0D"/>
        </w:rPr>
        <w:t>：D</w:t>
      </w:r>
    </w:p>
    <w:p>
      <w:pPr>
        <w:pStyle w:val="BodyText"/>
        <w:spacing w:line="397" w:lineRule="exact"/>
        <w:ind w:left="2855"/>
      </w:pPr>
      <w:r>
        <w:rPr>
          <w:b/>
          <w:color w:val="0D0D0D"/>
        </w:rPr>
        <w:t>解析</w:t>
      </w:r>
      <w:r>
        <w:rPr>
          <w:color w:val="0D0D0D"/>
        </w:rPr>
        <w:t>：净资产收益率等于销售净利率、总资产周转率和权益乘数乘积。</w:t>
      </w:r>
    </w:p>
    <w:p>
      <w:pPr>
        <w:pStyle w:val="BodyText"/>
        <w:tabs>
          <w:tab w:val="left" w:pos="8216"/>
        </w:tabs>
        <w:spacing w:before="9"/>
      </w:pPr>
      <w:r>
        <w:rPr>
          <w:color w:val="0D0D0D"/>
        </w:rPr>
        <w:t>3、关于利息保障倍数正确的是（</w:t>
        <w:tab/>
      </w:r>
      <w:r>
        <w:rPr>
          <w:color w:val="0D0D0D"/>
          <w:spacing w:val="-162"/>
        </w:rPr>
        <w:t>）</w:t>
      </w:r>
      <w:r>
        <w:rPr>
          <w:color w:val="0D0D0D"/>
        </w:rPr>
        <w:t>。</w:t>
      </w:r>
    </w:p>
    <w:p>
      <w:pPr>
        <w:pStyle w:val="BodyText"/>
        <w:spacing w:before="13"/>
        <w:ind w:left="2859"/>
      </w:pPr>
      <w:r>
        <w:rPr>
          <w:color w:val="0D0D0D"/>
        </w:rPr>
        <w:t>A、利息保障倍数又称已获利息倍数，是指企业税后利润与利息费用的比率</w:t>
      </w:r>
    </w:p>
    <w:p>
      <w:pPr>
        <w:pStyle w:val="BodyText"/>
        <w:spacing w:before="10" w:line="247" w:lineRule="auto"/>
        <w:ind w:left="2859" w:right="2660"/>
      </w:pPr>
      <w:r>
        <w:rPr>
          <w:color w:val="0D0D0D"/>
        </w:rPr>
        <w:t>B</w:t>
      </w:r>
      <w:r>
        <w:rPr>
          <w:color w:val="0D0D0D"/>
          <w:spacing w:val="-15"/>
        </w:rPr>
        <w:t xml:space="preserve">、利息保障不仅反映了企业获利能力的大小，也是衡量企业长期偿债能力大小的重要标志 </w:t>
      </w:r>
      <w:r>
        <w:rPr>
          <w:color w:val="0D0D0D"/>
        </w:rPr>
        <w:t>C</w:t>
      </w:r>
      <w:r>
        <w:rPr>
          <w:color w:val="0D0D0D"/>
          <w:spacing w:val="-8"/>
        </w:rPr>
        <w:t xml:space="preserve">、利息保障倍数应当小于 </w:t>
      </w:r>
      <w:r>
        <w:rPr>
          <w:color w:val="0D0D0D"/>
        </w:rPr>
        <w:t>1</w:t>
      </w:r>
      <w:r>
        <w:rPr>
          <w:color w:val="0D0D0D"/>
          <w:spacing w:val="-26"/>
        </w:rPr>
        <w:t xml:space="preserve"> 为好</w:t>
      </w:r>
    </w:p>
    <w:p>
      <w:pPr>
        <w:pStyle w:val="BodyText"/>
        <w:spacing w:line="247" w:lineRule="auto"/>
        <w:ind w:left="2859" w:right="6920"/>
      </w:pPr>
      <w:r>
        <w:rPr>
          <w:color w:val="0D0D0D"/>
        </w:rPr>
        <w:t>D、利息保障倍数越小，说明企业支付负责利息的能力越强</w:t>
      </w:r>
      <w:r>
        <w:rPr>
          <w:b/>
          <w:color w:val="0D0D0D"/>
        </w:rPr>
        <w:t>答案</w:t>
      </w:r>
      <w:r>
        <w:rPr>
          <w:color w:val="0D0D0D"/>
        </w:rPr>
        <w:t>：B</w:t>
      </w:r>
    </w:p>
    <w:p>
      <w:pPr>
        <w:pStyle w:val="BodyText"/>
        <w:spacing w:line="247" w:lineRule="auto"/>
        <w:ind w:right="2648" w:firstLine="154"/>
      </w:pPr>
      <w:r>
        <w:rPr>
          <w:b/>
          <w:color w:val="0D0D0D"/>
        </w:rPr>
        <w:t>解析</w:t>
      </w:r>
      <w:r>
        <w:rPr>
          <w:color w:val="0D0D0D"/>
        </w:rPr>
        <w:t>：利息保障倍数又称已获利息倍数，是指企业息税前利润与利息费用的比率。反映了获利能力对债务偿付的保证程度。其计算公式为：利息保障倍数=息税前利润÷债务利息</w:t>
      </w:r>
    </w:p>
    <w:p>
      <w:pPr>
        <w:pStyle w:val="BodyText"/>
        <w:tabs>
          <w:tab w:val="left" w:pos="9952"/>
        </w:tabs>
        <w:spacing w:line="247" w:lineRule="auto"/>
        <w:ind w:right="2643"/>
      </w:pPr>
      <w:r>
        <w:rPr>
          <w:color w:val="0D0D0D"/>
        </w:rPr>
        <w:t>4、杜邦财务分析体系是利用财务比率之间的关系来综合分析评价企业的财务状况，在所</w:t>
      </w:r>
      <w:r>
        <w:rPr>
          <w:color w:val="0D0D0D"/>
          <w:spacing w:val="-18"/>
        </w:rPr>
        <w:t>有</w:t>
      </w:r>
      <w:r>
        <w:rPr>
          <w:color w:val="0D0D0D"/>
        </w:rPr>
        <w:t>比率中最综合、最具有代表性的财务比率是（</w:t>
        <w:tab/>
      </w:r>
      <w:r>
        <w:rPr>
          <w:color w:val="0D0D0D"/>
          <w:spacing w:val="-159"/>
        </w:rPr>
        <w:t>）</w:t>
      </w:r>
      <w:r>
        <w:rPr>
          <w:color w:val="0D0D0D"/>
        </w:rPr>
        <w:t>。</w:t>
      </w:r>
    </w:p>
    <w:p>
      <w:pPr>
        <w:pStyle w:val="BodyText"/>
        <w:tabs>
          <w:tab w:val="left" w:pos="8233"/>
        </w:tabs>
        <w:spacing w:line="396" w:lineRule="exact"/>
        <w:ind w:left="2859"/>
      </w:pPr>
      <w:r>
        <w:rPr>
          <w:color w:val="0D0D0D"/>
        </w:rPr>
        <w:t>A、总资产报酬率</w:t>
        <w:tab/>
      </w:r>
      <w:r>
        <w:rPr>
          <w:color w:val="0D0D0D"/>
          <w:spacing w:val="-17"/>
        </w:rPr>
        <w:t>B</w:t>
      </w:r>
      <w:r>
        <w:rPr>
          <w:color w:val="0D0D0D"/>
        </w:rPr>
        <w:t>、净资产收益率</w:t>
      </w:r>
    </w:p>
    <w:p>
      <w:pPr>
        <w:pStyle w:val="BodyText"/>
        <w:tabs>
          <w:tab w:val="left" w:pos="8237"/>
        </w:tabs>
        <w:spacing w:before="11" w:line="244" w:lineRule="auto"/>
        <w:ind w:left="2855" w:right="7264" w:firstLine="3"/>
      </w:pPr>
      <w:r>
        <w:rPr>
          <w:color w:val="0D0D0D"/>
        </w:rPr>
        <w:t>C、权益乘数</w:t>
        <w:tab/>
      </w:r>
      <w:r>
        <w:rPr>
          <w:color w:val="0D0D0D"/>
          <w:spacing w:val="-21"/>
        </w:rPr>
        <w:t>D</w:t>
      </w:r>
      <w:r>
        <w:rPr>
          <w:color w:val="0D0D0D"/>
        </w:rPr>
        <w:t>、总资产周转</w:t>
      </w:r>
      <w:r>
        <w:rPr>
          <w:color w:val="0D0D0D"/>
          <w:spacing w:val="-17"/>
        </w:rPr>
        <w:t>率</w:t>
      </w:r>
      <w:r>
        <w:rPr>
          <w:b/>
          <w:color w:val="0D0D0D"/>
        </w:rPr>
        <w:t>答案</w:t>
      </w:r>
      <w:r>
        <w:rPr>
          <w:color w:val="0D0D0D"/>
        </w:rPr>
        <w:t>：B</w:t>
      </w:r>
    </w:p>
    <w:p>
      <w:pPr>
        <w:pStyle w:val="BodyText"/>
        <w:spacing w:before="7" w:line="247" w:lineRule="auto"/>
        <w:ind w:right="2648" w:firstLine="154"/>
        <w:jc w:val="both"/>
      </w:pPr>
      <w:r>
        <w:rPr>
          <w:b/>
          <w:color w:val="0D0D0D"/>
        </w:rPr>
        <w:t>解析</w:t>
      </w:r>
      <w:r>
        <w:rPr>
          <w:color w:val="0D0D0D"/>
          <w:spacing w:val="-1"/>
        </w:rPr>
        <w:t>：净资产收益率是杜邦财务分析体系的核心，是一个综合性最强的指标，反映着企业</w:t>
      </w:r>
      <w:r>
        <w:rPr>
          <w:color w:val="0D0D0D"/>
          <w:spacing w:val="-13"/>
        </w:rPr>
        <w:t>财务管理的目标。企业财务管理的重要目标之一就是实现股东财富的最大化，净资产收益率</w:t>
      </w:r>
      <w:r>
        <w:rPr>
          <w:color w:val="0D0D0D"/>
          <w:spacing w:val="-20"/>
        </w:rPr>
        <w:t>正是反映了股东投入资金的获利能力，这一比率反映了企业筹资、投资和生产运营等方面经营活动的效率。净资产收益率取决于总资产报酬率和权益乘数。</w:t>
      </w:r>
    </w:p>
    <w:p>
      <w:pPr>
        <w:pStyle w:val="BodyText"/>
        <w:spacing w:line="395" w:lineRule="exact"/>
        <w:jc w:val="both"/>
      </w:pPr>
      <w:r>
        <w:rPr>
          <w:color w:val="0D0D0D"/>
        </w:rPr>
        <w:t>5、一般来说，在进行财务分析时，整个财务指标的核心是（</w:t>
      </w:r>
      <w:r>
        <w:rPr>
          <w:color w:val="0D0D0D"/>
          <w:spacing w:val="153"/>
        </w:rPr>
        <w:t xml:space="preserve"> </w:t>
      </w:r>
      <w:r>
        <w:rPr>
          <w:color w:val="0D0D0D"/>
          <w:spacing w:val="-159"/>
        </w:rPr>
        <w:t>）</w:t>
      </w:r>
      <w:r>
        <w:rPr>
          <w:color w:val="0D0D0D"/>
        </w:rPr>
        <w:t>。</w:t>
      </w:r>
    </w:p>
    <w:p>
      <w:pPr>
        <w:pStyle w:val="BodyText"/>
        <w:tabs>
          <w:tab w:val="left" w:pos="8078"/>
        </w:tabs>
        <w:spacing w:before="10"/>
        <w:ind w:left="2859"/>
        <w:jc w:val="both"/>
      </w:pPr>
      <w:r>
        <w:rPr>
          <w:color w:val="0D0D0D"/>
        </w:rPr>
        <w:t>A、成本利润率</w:t>
        <w:tab/>
      </w:r>
      <w:r>
        <w:rPr>
          <w:color w:val="0D0D0D"/>
          <w:spacing w:val="-21"/>
        </w:rPr>
        <w:t>B</w:t>
      </w:r>
      <w:r>
        <w:rPr>
          <w:color w:val="0D0D0D"/>
        </w:rPr>
        <w:t>、总资产报酬率</w:t>
      </w:r>
    </w:p>
    <w:p>
      <w:pPr>
        <w:pStyle w:val="BodyText"/>
        <w:tabs>
          <w:tab w:val="left" w:pos="8075"/>
        </w:tabs>
        <w:spacing w:before="9" w:line="247" w:lineRule="auto"/>
        <w:ind w:left="2855" w:right="7106" w:firstLine="3"/>
        <w:jc w:val="both"/>
      </w:pPr>
      <w:r>
        <w:rPr>
          <w:color w:val="0D0D0D"/>
        </w:rPr>
        <w:t>C、净资产收益率</w:t>
        <w:tab/>
      </w:r>
      <w:r>
        <w:rPr>
          <w:color w:val="0D0D0D"/>
          <w:spacing w:val="-18"/>
        </w:rPr>
        <w:t>D</w:t>
      </w:r>
      <w:r>
        <w:rPr>
          <w:color w:val="0D0D0D"/>
        </w:rPr>
        <w:t>、资本保值增值</w:t>
      </w:r>
      <w:r>
        <w:rPr>
          <w:color w:val="0D0D0D"/>
          <w:spacing w:val="-17"/>
        </w:rPr>
        <w:t>率</w:t>
      </w:r>
      <w:r>
        <w:rPr>
          <w:b/>
          <w:color w:val="0D0D0D"/>
        </w:rPr>
        <w:t>答案</w:t>
      </w:r>
      <w:r>
        <w:rPr>
          <w:color w:val="0D0D0D"/>
        </w:rPr>
        <w:t>：C</w:t>
      </w:r>
    </w:p>
    <w:p>
      <w:pPr>
        <w:pStyle w:val="BodyText"/>
        <w:spacing w:line="247" w:lineRule="auto"/>
        <w:ind w:right="2648" w:firstLine="154"/>
        <w:jc w:val="both"/>
      </w:pPr>
      <w:r>
        <w:rPr>
          <w:b/>
          <w:color w:val="0D0D0D"/>
        </w:rPr>
        <w:t>解析</w:t>
      </w:r>
      <w:r>
        <w:rPr>
          <w:color w:val="0D0D0D"/>
          <w:spacing w:val="-1"/>
        </w:rPr>
        <w:t>：净资产收益率是杜邦财务分析体系的核心，是一个综合性最强的指标，反映着企业</w:t>
      </w:r>
      <w:r>
        <w:rPr>
          <w:color w:val="0D0D0D"/>
          <w:spacing w:val="-13"/>
        </w:rPr>
        <w:t>财务管理的目标。企业财务管理的重要目标之一就是实现股东财富的最大化，净资产收益率</w:t>
      </w:r>
      <w:r>
        <w:rPr>
          <w:color w:val="0D0D0D"/>
          <w:spacing w:val="-20"/>
        </w:rPr>
        <w:t>正是反映了股东投入资金的获利能力，这一比率反映了企业筹资、投资和生产运营等方面经营活动的效率。净资产收益率取决于总资产报酬率和权益乘数。</w:t>
      </w:r>
    </w:p>
    <w:p>
      <w:pPr>
        <w:pStyle w:val="BodyText"/>
        <w:spacing w:line="396" w:lineRule="exact"/>
        <w:jc w:val="both"/>
      </w:pPr>
      <w:r>
        <w:rPr>
          <w:color w:val="0D0D0D"/>
        </w:rPr>
        <w:t>6、计算应收账款周转率时，应收账款是指（</w:t>
      </w:r>
      <w:r>
        <w:rPr>
          <w:color w:val="0D0D0D"/>
          <w:spacing w:val="152"/>
        </w:rPr>
        <w:t xml:space="preserve"> </w:t>
      </w:r>
      <w:r>
        <w:rPr>
          <w:color w:val="0D0D0D"/>
          <w:spacing w:val="-162"/>
        </w:rPr>
        <w:t>）</w:t>
      </w:r>
      <w:r>
        <w:rPr>
          <w:color w:val="0D0D0D"/>
        </w:rPr>
        <w:t>。</w:t>
      </w:r>
    </w:p>
    <w:p>
      <w:pPr>
        <w:pStyle w:val="BodyText"/>
        <w:spacing w:before="13"/>
        <w:ind w:left="2859"/>
      </w:pPr>
      <w:r>
        <w:rPr>
          <w:color w:val="0D0D0D"/>
        </w:rPr>
        <w:t>A、未扣除坏账准备的应收账款总额</w:t>
      </w:r>
    </w:p>
    <w:p>
      <w:pPr>
        <w:pStyle w:val="BodyText"/>
        <w:spacing w:before="9" w:line="247" w:lineRule="auto"/>
        <w:ind w:left="2859" w:right="2801"/>
      </w:pPr>
      <w:r>
        <w:rPr>
          <w:color w:val="0D0D0D"/>
        </w:rPr>
        <w:t>B</w:t>
      </w:r>
      <w:r>
        <w:rPr>
          <w:color w:val="0D0D0D"/>
          <w:spacing w:val="-1"/>
        </w:rPr>
        <w:t xml:space="preserve">、包括“应收账款”和“应收票据”等的全部赊销账款，金额为扣除坏账准备后的净额 </w:t>
      </w:r>
      <w:r>
        <w:rPr>
          <w:color w:val="0D0D0D"/>
        </w:rPr>
        <w:t>C</w:t>
      </w:r>
      <w:r>
        <w:rPr>
          <w:color w:val="0D0D0D"/>
          <w:spacing w:val="-14"/>
        </w:rPr>
        <w:t>、“应收账款”账户的期末余额</w:t>
      </w:r>
    </w:p>
    <w:p>
      <w:pPr>
        <w:pStyle w:val="BodyText"/>
        <w:spacing w:line="247" w:lineRule="auto"/>
        <w:ind w:left="2855" w:right="10721" w:firstLine="3"/>
      </w:pPr>
      <w:r>
        <w:rPr>
          <w:color w:val="0D0D0D"/>
        </w:rPr>
        <w:t>D、仅在本年度发生的应收账款</w:t>
      </w:r>
      <w:r>
        <w:rPr>
          <w:b/>
          <w:color w:val="0D0D0D"/>
        </w:rPr>
        <w:t>答案</w:t>
      </w:r>
      <w:r>
        <w:rPr>
          <w:color w:val="0D0D0D"/>
        </w:rPr>
        <w:t>：B</w:t>
      </w:r>
    </w:p>
    <w:p>
      <w:pPr>
        <w:pStyle w:val="BodyText"/>
        <w:spacing w:line="396" w:lineRule="exact"/>
        <w:ind w:left="2855"/>
      </w:pPr>
      <w:r>
        <w:rPr>
          <w:b/>
          <w:color w:val="0D0D0D"/>
        </w:rPr>
        <w:t>解析</w:t>
      </w:r>
      <w:r>
        <w:rPr>
          <w:color w:val="0D0D0D"/>
        </w:rPr>
        <w:t>：参见教材第 367 页。</w:t>
      </w:r>
    </w:p>
    <w:p>
      <w:pPr>
        <w:pStyle w:val="BodyText"/>
        <w:tabs>
          <w:tab w:val="left" w:pos="10261"/>
        </w:tabs>
        <w:spacing w:before="12"/>
        <w:ind w:left="2855"/>
      </w:pPr>
      <w:r>
        <w:rPr>
          <w:color w:val="0D0D0D"/>
        </w:rPr>
        <w:t>7、下列分析指标属于效率比率分析指标的有（</w:t>
        <w:tab/>
      </w:r>
      <w:r>
        <w:rPr>
          <w:color w:val="0D0D0D"/>
          <w:spacing w:val="-159"/>
        </w:rPr>
        <w:t>）</w:t>
      </w:r>
      <w:r>
        <w:rPr>
          <w:color w:val="0D0D0D"/>
        </w:rPr>
        <w:t>。</w:t>
      </w:r>
    </w:p>
    <w:p>
      <w:pPr>
        <w:pStyle w:val="BodyText"/>
        <w:spacing w:before="10" w:line="247" w:lineRule="auto"/>
        <w:ind w:left="2859" w:right="12939"/>
        <w:jc w:val="both"/>
      </w:pPr>
      <w:r>
        <w:rPr>
          <w:color w:val="0D0D0D"/>
        </w:rPr>
        <w:t>A、资产负债率B、成本利润率C、流动比率</w:t>
      </w:r>
    </w:p>
    <w:p>
      <w:pPr>
        <w:pStyle w:val="BodyText"/>
        <w:spacing w:line="247" w:lineRule="auto"/>
        <w:ind w:left="2859" w:right="10721"/>
      </w:pPr>
      <w:r>
        <w:rPr>
          <w:color w:val="0D0D0D"/>
        </w:rPr>
        <w:t>D、流动资产占全部资产的比重</w:t>
      </w:r>
      <w:r>
        <w:rPr>
          <w:b/>
          <w:color w:val="0D0D0D"/>
        </w:rPr>
        <w:t>答案</w:t>
      </w:r>
      <w:r>
        <w:rPr>
          <w:color w:val="0D0D0D"/>
        </w:rPr>
        <w:t>：B</w:t>
      </w:r>
    </w:p>
    <w:p>
      <w:pPr>
        <w:pStyle w:val="BodyText"/>
        <w:spacing w:line="397" w:lineRule="exact"/>
        <w:ind w:left="2855"/>
      </w:pPr>
      <w:r>
        <w:rPr>
          <w:b/>
          <w:color w:val="0D0D0D"/>
        </w:rPr>
        <w:t>解析</w:t>
      </w:r>
      <w:r>
        <w:rPr>
          <w:color w:val="0D0D0D"/>
        </w:rPr>
        <w:t>：教材第 374 页。</w:t>
      </w:r>
    </w:p>
    <w:p>
      <w:pPr>
        <w:pStyle w:val="BodyText"/>
        <w:tabs>
          <w:tab w:val="left" w:pos="4277"/>
        </w:tabs>
        <w:spacing w:before="10" w:line="244" w:lineRule="auto"/>
        <w:ind w:right="2643"/>
      </w:pPr>
      <w:r>
        <w:rPr>
          <w:color w:val="0D0D0D"/>
        </w:rPr>
        <w:t>8、在计算速动比率时，要从流动资产中扣除存货部分，再除以流动负债，这样做的原因</w:t>
      </w:r>
      <w:r>
        <w:rPr>
          <w:color w:val="0D0D0D"/>
          <w:spacing w:val="-18"/>
        </w:rPr>
        <w:t>在</w:t>
      </w:r>
      <w:r>
        <w:rPr>
          <w:color w:val="0D0D0D"/>
        </w:rPr>
        <w:t>于（</w:t>
        <w:tab/>
      </w:r>
      <w:r>
        <w:rPr>
          <w:color w:val="0D0D0D"/>
          <w:spacing w:val="-159"/>
        </w:rPr>
        <w:t>）</w:t>
      </w:r>
      <w:r>
        <w:rPr>
          <w:color w:val="0D0D0D"/>
        </w:rPr>
        <w:t>。</w:t>
      </w:r>
    </w:p>
    <w:p>
      <w:pPr>
        <w:pStyle w:val="BodyText"/>
        <w:tabs>
          <w:tab w:val="left" w:pos="9177"/>
        </w:tabs>
        <w:spacing w:before="7"/>
        <w:ind w:left="2859"/>
      </w:pPr>
      <w:r>
        <w:rPr>
          <w:color w:val="0D0D0D"/>
        </w:rPr>
        <w:t>A、存货的价值变动较大</w:t>
        <w:tab/>
      </w:r>
      <w:r>
        <w:rPr>
          <w:color w:val="0D0D0D"/>
          <w:spacing w:val="-18"/>
        </w:rPr>
        <w:t>B</w:t>
      </w:r>
      <w:r>
        <w:rPr>
          <w:color w:val="0D0D0D"/>
        </w:rPr>
        <w:t>、存货的质量难以保证</w:t>
      </w:r>
    </w:p>
    <w:p>
      <w:pPr>
        <w:pStyle w:val="BodyText"/>
        <w:tabs>
          <w:tab w:val="left" w:pos="9181"/>
        </w:tabs>
        <w:spacing w:before="10" w:line="247" w:lineRule="auto"/>
        <w:ind w:left="2855" w:right="5371" w:firstLine="3"/>
      </w:pPr>
      <w:r>
        <w:rPr>
          <w:color w:val="0D0D0D"/>
        </w:rPr>
        <w:t>C、存货的变现能力较低</w:t>
        <w:tab/>
      </w:r>
      <w:r>
        <w:rPr>
          <w:color w:val="0D0D0D"/>
          <w:spacing w:val="-22"/>
        </w:rPr>
        <w:t>D</w:t>
      </w:r>
      <w:r>
        <w:rPr>
          <w:color w:val="0D0D0D"/>
        </w:rPr>
        <w:t>、存货的数量不宜确</w:t>
      </w:r>
      <w:r>
        <w:rPr>
          <w:color w:val="0D0D0D"/>
          <w:spacing w:val="-17"/>
        </w:rPr>
        <w:t>定</w:t>
      </w:r>
      <w:r>
        <w:rPr>
          <w:b/>
          <w:color w:val="0D0D0D"/>
        </w:rPr>
        <w:t>答案</w:t>
      </w:r>
      <w:r>
        <w:rPr>
          <w:color w:val="0D0D0D"/>
        </w:rPr>
        <w:t>：C</w:t>
      </w:r>
    </w:p>
    <w:p>
      <w:pPr>
        <w:pStyle w:val="BodyText"/>
        <w:spacing w:line="247" w:lineRule="auto"/>
        <w:ind w:right="2648" w:firstLine="154"/>
      </w:pPr>
      <w:r>
        <w:rPr>
          <w:b/>
          <w:color w:val="0D0D0D"/>
        </w:rPr>
        <w:t>解析</w:t>
      </w:r>
      <w:r>
        <w:rPr>
          <w:color w:val="0D0D0D"/>
        </w:rPr>
        <w:t>：在计算速动比率时，从流动资产中扣除存货部分的原因在于：存货的变现能力较低而且不稳定。</w:t>
      </w:r>
    </w:p>
    <w:p>
      <w:pPr>
        <w:pStyle w:val="BodyText"/>
        <w:tabs>
          <w:tab w:val="left" w:pos="9790"/>
        </w:tabs>
        <w:spacing w:line="396" w:lineRule="exact"/>
      </w:pPr>
      <w:r>
        <w:rPr>
          <w:color w:val="0D0D0D"/>
        </w:rPr>
        <w:t>9、债权人进行财务分析的最主要目的在于（</w:t>
        <w:tab/>
      </w:r>
      <w:r>
        <w:rPr>
          <w:color w:val="0D0D0D"/>
          <w:spacing w:val="-162"/>
        </w:rPr>
        <w:t>）</w:t>
      </w:r>
      <w:r>
        <w:rPr>
          <w:color w:val="0D0D0D"/>
        </w:rPr>
        <w:t>。</w:t>
      </w:r>
    </w:p>
    <w:p>
      <w:pPr>
        <w:pStyle w:val="BodyText"/>
        <w:tabs>
          <w:tab w:val="left" w:pos="9170"/>
        </w:tabs>
        <w:spacing w:before="12"/>
        <w:ind w:left="2859"/>
      </w:pPr>
      <w:r>
        <w:rPr>
          <w:color w:val="0D0D0D"/>
        </w:rPr>
        <w:t>A、分析企业的资本保全和增值能力</w:t>
        <w:tab/>
      </w:r>
      <w:r>
        <w:rPr>
          <w:color w:val="0D0D0D"/>
          <w:spacing w:val="-11"/>
        </w:rPr>
        <w:t>B</w:t>
      </w:r>
      <w:r>
        <w:rPr>
          <w:color w:val="0D0D0D"/>
        </w:rPr>
        <w:t>、分析企业的偿债能力</w:t>
      </w:r>
    </w:p>
    <w:p>
      <w:pPr>
        <w:spacing w:after="0"/>
        <w:sectPr>
          <w:headerReference w:type="default" r:id="rId47"/>
          <w:footerReference w:type="default" r:id="rId48"/>
          <w:pgSz w:w="17860" w:h="25260"/>
          <w:pgMar w:top="1720" w:right="0" w:bottom="1940" w:left="0" w:header="1129" w:footer="1732"/>
          <w:pgNumType w:start="6"/>
          <w:cols w:space="708"/>
        </w:sectPr>
      </w:pPr>
    </w:p>
    <w:p>
      <w:pPr>
        <w:pStyle w:val="BodyText"/>
        <w:spacing w:before="3"/>
        <w:ind w:left="0"/>
        <w:rPr>
          <w:sz w:val="8"/>
        </w:rPr>
      </w:pPr>
    </w:p>
    <w:p>
      <w:pPr>
        <w:pStyle w:val="BodyText"/>
        <w:tabs>
          <w:tab w:val="left" w:pos="8061"/>
        </w:tabs>
        <w:spacing w:before="63" w:line="247" w:lineRule="auto"/>
        <w:ind w:right="2671" w:firstLine="158"/>
      </w:pPr>
      <w:r>
        <w:rPr>
          <w:color w:val="0D0D0D"/>
        </w:rPr>
        <w:t>C、分析企业经营理财的各个方面</w:t>
        <w:tab/>
      </w:r>
      <w:r>
        <w:rPr>
          <w:color w:val="0D0D0D"/>
          <w:spacing w:val="-4"/>
        </w:rPr>
        <w:t>D</w:t>
      </w:r>
      <w:r>
        <w:rPr>
          <w:color w:val="0D0D0D"/>
        </w:rPr>
        <w:t>、关注企业的社会效益和分析企业财务活动的合</w:t>
      </w:r>
      <w:r>
        <w:rPr>
          <w:color w:val="0D0D0D"/>
          <w:spacing w:val="-17"/>
        </w:rPr>
        <w:t>规</w:t>
      </w:r>
      <w:r>
        <w:rPr>
          <w:color w:val="0D0D0D"/>
        </w:rPr>
        <w:t>性和合法性</w:t>
      </w:r>
    </w:p>
    <w:p>
      <w:pPr>
        <w:spacing w:before="0" w:line="397" w:lineRule="exact"/>
        <w:ind w:left="2859" w:right="0" w:firstLine="0"/>
        <w:jc w:val="left"/>
        <w:rPr>
          <w:sz w:val="31"/>
        </w:rPr>
      </w:pPr>
      <w:r>
        <w:rPr>
          <w:b/>
          <w:color w:val="0D0D0D"/>
          <w:sz w:val="31"/>
        </w:rPr>
        <w:t>答案</w:t>
      </w:r>
      <w:r>
        <w:rPr>
          <w:color w:val="0D0D0D"/>
          <w:sz w:val="31"/>
        </w:rPr>
        <w:t>： B</w:t>
      </w:r>
    </w:p>
    <w:p>
      <w:pPr>
        <w:pStyle w:val="BodyText"/>
        <w:spacing w:before="9" w:line="247" w:lineRule="auto"/>
        <w:ind w:right="2643" w:firstLine="158"/>
      </w:pPr>
      <w:r>
        <w:rPr>
          <w:b/>
          <w:color w:val="0D0D0D"/>
        </w:rPr>
        <w:t>解析</w:t>
      </w:r>
      <w:r>
        <w:rPr>
          <w:color w:val="0D0D0D"/>
        </w:rPr>
        <w:t>：企业债权人因为不能参与企业剩余收益分享，决定了债权人必须对其投资的安全性首选予以关注。因此他们更重视企业偿债能力分析。</w:t>
      </w:r>
    </w:p>
    <w:p>
      <w:pPr>
        <w:pStyle w:val="BodyText"/>
        <w:spacing w:line="396" w:lineRule="exact"/>
      </w:pPr>
      <w:r>
        <w:rPr>
          <w:color w:val="0D0D0D"/>
        </w:rPr>
        <w:t>二、多项选择题。</w:t>
      </w:r>
    </w:p>
    <w:p>
      <w:pPr>
        <w:pStyle w:val="BodyText"/>
        <w:tabs>
          <w:tab w:val="left" w:pos="10423"/>
        </w:tabs>
        <w:spacing w:before="13"/>
      </w:pPr>
      <w:r>
        <w:rPr>
          <w:color w:val="0D0D0D"/>
        </w:rPr>
        <w:t>1、从杜邦等式可知，提高资产报酬率的途径有（</w:t>
        <w:tab/>
      </w:r>
      <w:r>
        <w:rPr>
          <w:color w:val="0D0D0D"/>
          <w:spacing w:val="-162"/>
        </w:rPr>
        <w:t>）</w:t>
      </w:r>
      <w:r>
        <w:rPr>
          <w:color w:val="0D0D0D"/>
        </w:rPr>
        <w:t>。</w:t>
      </w:r>
    </w:p>
    <w:p>
      <w:pPr>
        <w:pStyle w:val="BodyText"/>
        <w:tabs>
          <w:tab w:val="left" w:pos="10279"/>
        </w:tabs>
        <w:spacing w:before="10"/>
        <w:ind w:left="2859"/>
      </w:pPr>
      <w:r>
        <w:rPr>
          <w:color w:val="0D0D0D"/>
        </w:rPr>
        <w:t>A、加强负债管理，提高负债比率</w:t>
        <w:tab/>
      </w:r>
      <w:r>
        <w:rPr>
          <w:color w:val="0D0D0D"/>
          <w:spacing w:val="-18"/>
        </w:rPr>
        <w:t>B</w:t>
      </w:r>
      <w:r>
        <w:rPr>
          <w:color w:val="0D0D0D"/>
        </w:rPr>
        <w:t>、加强资产管理，提高资产周转率</w:t>
      </w:r>
    </w:p>
    <w:p>
      <w:pPr>
        <w:pStyle w:val="BodyText"/>
        <w:tabs>
          <w:tab w:val="left" w:pos="10279"/>
        </w:tabs>
        <w:spacing w:before="13" w:line="244" w:lineRule="auto"/>
        <w:ind w:left="2855" w:right="2686" w:firstLine="3"/>
      </w:pPr>
      <w:r>
        <w:rPr>
          <w:color w:val="0D0D0D"/>
        </w:rPr>
        <w:t>C、加强销售管理，提高销售净利率</w:t>
        <w:tab/>
      </w:r>
      <w:r>
        <w:rPr>
          <w:color w:val="0D0D0D"/>
          <w:spacing w:val="-18"/>
        </w:rPr>
        <w:t>D</w:t>
      </w:r>
      <w:r>
        <w:rPr>
          <w:color w:val="0D0D0D"/>
        </w:rPr>
        <w:t>、增强资产流动性，提高流动比</w:t>
      </w:r>
      <w:r>
        <w:rPr>
          <w:color w:val="0D0D0D"/>
          <w:spacing w:val="-18"/>
        </w:rPr>
        <w:t>率</w:t>
      </w:r>
      <w:r>
        <w:rPr>
          <w:b/>
          <w:color w:val="0D0D0D"/>
        </w:rPr>
        <w:t>答案</w:t>
      </w:r>
      <w:r>
        <w:rPr>
          <w:color w:val="0D0D0D"/>
        </w:rPr>
        <w:t>：B,C</w:t>
      </w:r>
    </w:p>
    <w:p>
      <w:pPr>
        <w:pStyle w:val="BodyText"/>
        <w:spacing w:before="7" w:line="244" w:lineRule="auto"/>
        <w:ind w:right="2680" w:firstLine="154"/>
      </w:pPr>
      <w:r>
        <w:rPr>
          <w:b/>
          <w:color w:val="0D0D0D"/>
          <w:spacing w:val="1"/>
        </w:rPr>
        <w:t>解析</w:t>
      </w:r>
      <w:r>
        <w:rPr>
          <w:color w:val="0D0D0D"/>
          <w:spacing w:val="-14"/>
        </w:rPr>
        <w:t xml:space="preserve">：资产报酬率与销售净利率及总资产周转率之间的关系为：资产报酬率=销售净利率÷ </w:t>
      </w:r>
      <w:r>
        <w:rPr>
          <w:color w:val="0D0D0D"/>
        </w:rPr>
        <w:t>总资产周转率。</w:t>
      </w:r>
    </w:p>
    <w:p>
      <w:pPr>
        <w:pStyle w:val="BodyText"/>
        <w:tabs>
          <w:tab w:val="left" w:pos="8216"/>
        </w:tabs>
        <w:spacing w:before="7"/>
      </w:pPr>
      <w:r>
        <w:rPr>
          <w:color w:val="0D0D0D"/>
        </w:rPr>
        <w:t>2、下列各项属于速动资产的有（</w:t>
        <w:tab/>
      </w:r>
      <w:r>
        <w:rPr>
          <w:color w:val="0D0D0D"/>
          <w:spacing w:val="-162"/>
        </w:rPr>
        <w:t>）</w:t>
      </w:r>
      <w:r>
        <w:rPr>
          <w:color w:val="0D0D0D"/>
        </w:rPr>
        <w:t>。</w:t>
      </w:r>
    </w:p>
    <w:p>
      <w:pPr>
        <w:pStyle w:val="BodyText"/>
        <w:tabs>
          <w:tab w:val="left" w:pos="5861"/>
          <w:tab w:val="left" w:pos="9332"/>
          <w:tab w:val="left" w:pos="12328"/>
        </w:tabs>
        <w:spacing w:before="10" w:line="249" w:lineRule="auto"/>
        <w:ind w:left="2855" w:right="3802" w:firstLine="3"/>
      </w:pPr>
      <w:r>
        <w:rPr>
          <w:color w:val="0D0D0D"/>
        </w:rPr>
        <w:t>A、货币资产</w:t>
        <w:tab/>
      </w:r>
      <w:r>
        <w:rPr>
          <w:color w:val="0D0D0D"/>
          <w:spacing w:val="-7"/>
        </w:rPr>
        <w:t>B</w:t>
      </w:r>
      <w:r>
        <w:rPr>
          <w:color w:val="0D0D0D"/>
        </w:rPr>
        <w:t>、短期投资</w:t>
        <w:tab/>
      </w:r>
      <w:r>
        <w:rPr>
          <w:color w:val="0D0D0D"/>
          <w:spacing w:val="-11"/>
        </w:rPr>
        <w:t>C</w:t>
      </w:r>
      <w:r>
        <w:rPr>
          <w:color w:val="0D0D0D"/>
        </w:rPr>
        <w:t>、存货</w:t>
        <w:tab/>
      </w:r>
      <w:r>
        <w:rPr>
          <w:color w:val="0D0D0D"/>
          <w:spacing w:val="-15"/>
        </w:rPr>
        <w:t>D</w:t>
      </w:r>
      <w:r>
        <w:rPr>
          <w:color w:val="0D0D0D"/>
        </w:rPr>
        <w:t>、待摊费</w:t>
      </w:r>
      <w:r>
        <w:rPr>
          <w:color w:val="0D0D0D"/>
          <w:spacing w:val="-18"/>
        </w:rPr>
        <w:t>用</w:t>
      </w:r>
      <w:r>
        <w:rPr>
          <w:b/>
          <w:color w:val="0D0D0D"/>
        </w:rPr>
        <w:t>答案</w:t>
      </w:r>
      <w:r>
        <w:rPr>
          <w:color w:val="0D0D0D"/>
        </w:rPr>
        <w:t>：A,B</w:t>
      </w:r>
    </w:p>
    <w:p>
      <w:pPr>
        <w:pStyle w:val="BodyText"/>
        <w:spacing w:line="247" w:lineRule="auto"/>
        <w:ind w:right="2648" w:firstLine="154"/>
      </w:pPr>
      <w:r>
        <w:rPr>
          <w:b/>
          <w:color w:val="0D0D0D"/>
        </w:rPr>
        <w:t>解析</w:t>
      </w:r>
      <w:r>
        <w:rPr>
          <w:color w:val="0D0D0D"/>
        </w:rPr>
        <w:t>：速动资产是指流动资产减去变现能力较差且不稳定的存货、待摊费用、待处理流动资产损失等后的余额。</w:t>
      </w:r>
    </w:p>
    <w:p>
      <w:pPr>
        <w:pStyle w:val="BodyText"/>
        <w:tabs>
          <w:tab w:val="left" w:pos="10423"/>
        </w:tabs>
        <w:spacing w:line="396" w:lineRule="exact"/>
      </w:pPr>
      <w:r>
        <w:rPr>
          <w:color w:val="0D0D0D"/>
        </w:rPr>
        <w:t>3、下列指标中反映企业盈利能力的财务比率有（</w:t>
        <w:tab/>
      </w:r>
      <w:r>
        <w:rPr>
          <w:color w:val="0D0D0D"/>
          <w:spacing w:val="-162"/>
        </w:rPr>
        <w:t>）</w:t>
      </w:r>
      <w:r>
        <w:rPr>
          <w:color w:val="0D0D0D"/>
        </w:rPr>
        <w:t>。</w:t>
      </w:r>
    </w:p>
    <w:p>
      <w:pPr>
        <w:pStyle w:val="BodyText"/>
        <w:tabs>
          <w:tab w:val="left" w:pos="5825"/>
          <w:tab w:val="left" w:pos="9415"/>
          <w:tab w:val="left" w:pos="13476"/>
        </w:tabs>
        <w:spacing w:before="5" w:line="244" w:lineRule="auto"/>
        <w:ind w:right="2648" w:firstLine="158"/>
      </w:pPr>
      <w:r>
        <w:rPr>
          <w:color w:val="0D0D0D"/>
        </w:rPr>
        <w:t>A、产权比率</w:t>
        <w:tab/>
      </w:r>
      <w:r>
        <w:rPr>
          <w:color w:val="0D0D0D"/>
          <w:spacing w:val="-7"/>
        </w:rPr>
        <w:t>B</w:t>
      </w:r>
      <w:r>
        <w:rPr>
          <w:color w:val="0D0D0D"/>
          <w:spacing w:val="-40"/>
        </w:rPr>
        <w:t>、</w:t>
      </w:r>
      <w:r>
        <w:rPr>
          <w:color w:val="0D0D0D"/>
        </w:rPr>
        <w:t>销售利润率</w:t>
        <w:tab/>
      </w:r>
      <w:r>
        <w:rPr>
          <w:color w:val="0D0D0D"/>
          <w:spacing w:val="-7"/>
        </w:rPr>
        <w:t>C</w:t>
      </w:r>
      <w:r>
        <w:rPr>
          <w:color w:val="0D0D0D"/>
          <w:spacing w:val="-40"/>
        </w:rPr>
        <w:t>、</w:t>
      </w:r>
      <w:r>
        <w:rPr>
          <w:color w:val="0D0D0D"/>
        </w:rPr>
        <w:t>自有资金利润率</w:t>
        <w:tab/>
      </w:r>
      <w:r>
        <w:rPr>
          <w:color w:val="0D0D0D"/>
          <w:spacing w:val="-10"/>
        </w:rPr>
        <w:t>D</w:t>
      </w:r>
      <w:r>
        <w:rPr>
          <w:color w:val="0D0D0D"/>
        </w:rPr>
        <w:t>、资本保</w:t>
      </w:r>
      <w:r>
        <w:rPr>
          <w:color w:val="0D0D0D"/>
          <w:spacing w:val="-17"/>
        </w:rPr>
        <w:t>值</w:t>
      </w:r>
      <w:r>
        <w:rPr>
          <w:color w:val="0D0D0D"/>
        </w:rPr>
        <w:t>增值率</w:t>
      </w:r>
    </w:p>
    <w:p>
      <w:pPr>
        <w:spacing w:before="7"/>
        <w:ind w:left="2859" w:right="0" w:firstLine="0"/>
        <w:jc w:val="left"/>
        <w:rPr>
          <w:sz w:val="31"/>
        </w:rPr>
      </w:pPr>
      <w:r>
        <w:rPr>
          <w:b/>
          <w:color w:val="0D0D0D"/>
          <w:sz w:val="31"/>
        </w:rPr>
        <w:t>答案</w:t>
      </w:r>
      <w:r>
        <w:rPr>
          <w:color w:val="0D0D0D"/>
          <w:sz w:val="31"/>
        </w:rPr>
        <w:t>：B,C,D</w:t>
      </w:r>
    </w:p>
    <w:p>
      <w:pPr>
        <w:pStyle w:val="BodyText"/>
        <w:spacing w:before="10" w:line="247" w:lineRule="auto"/>
        <w:ind w:right="2643" w:firstLine="158"/>
        <w:jc w:val="both"/>
      </w:pPr>
      <w:r>
        <w:rPr>
          <w:b/>
          <w:color w:val="0D0D0D"/>
        </w:rPr>
        <w:t>解析</w:t>
      </w:r>
      <w:r>
        <w:rPr>
          <w:color w:val="0D0D0D"/>
          <w:spacing w:val="-1"/>
        </w:rPr>
        <w:t>：盈利能力是指企业获取利润的能力，反映着企业的财务结构状况和经营绩效，是企</w:t>
      </w:r>
      <w:r>
        <w:rPr>
          <w:color w:val="0D0D0D"/>
          <w:spacing w:val="-10"/>
        </w:rPr>
        <w:t>业偿债能力和营运能力的综合体现。反映企业盈利能力的财务比率有：主营业务利润率、成 本利润率、总资产报酬率、净资产利润率、资本保值增值率等。</w:t>
      </w:r>
    </w:p>
    <w:p>
      <w:pPr>
        <w:pStyle w:val="BodyText"/>
        <w:spacing w:line="394" w:lineRule="exact"/>
        <w:jc w:val="both"/>
      </w:pPr>
      <w:r>
        <w:rPr>
          <w:color w:val="0D0D0D"/>
        </w:rPr>
        <w:t>4、下列关于应收账款周转率，说法正确的是（</w:t>
      </w:r>
      <w:r>
        <w:rPr>
          <w:color w:val="0D0D0D"/>
          <w:spacing w:val="154"/>
        </w:rPr>
        <w:t xml:space="preserve"> </w:t>
      </w:r>
      <w:r>
        <w:rPr>
          <w:color w:val="0D0D0D"/>
          <w:spacing w:val="-159"/>
        </w:rPr>
        <w:t>）</w:t>
      </w:r>
      <w:r>
        <w:rPr>
          <w:color w:val="0D0D0D"/>
        </w:rPr>
        <w:t>。</w:t>
      </w:r>
    </w:p>
    <w:p>
      <w:pPr>
        <w:pStyle w:val="BodyText"/>
        <w:spacing w:before="13" w:line="244" w:lineRule="auto"/>
        <w:ind w:left="2859" w:right="5654"/>
      </w:pPr>
      <w:r>
        <w:rPr>
          <w:color w:val="0D0D0D"/>
        </w:rPr>
        <w:t>A</w:t>
      </w:r>
      <w:r>
        <w:rPr>
          <w:color w:val="0D0D0D"/>
          <w:spacing w:val="-1"/>
        </w:rPr>
        <w:t xml:space="preserve">、应收账款周转率是评价应收账款流动性大小的一个重要财务比率 </w:t>
      </w:r>
      <w:r>
        <w:rPr>
          <w:color w:val="0D0D0D"/>
        </w:rPr>
        <w:t>B、应收账款周转率越高，说明企业收账迅速，账龄短</w:t>
      </w:r>
    </w:p>
    <w:p>
      <w:pPr>
        <w:pStyle w:val="BodyText"/>
        <w:spacing w:before="7"/>
        <w:ind w:left="2859"/>
      </w:pPr>
      <w:r>
        <w:rPr>
          <w:color w:val="0D0D0D"/>
        </w:rPr>
        <w:t>C、应收账款周转率越小越好</w:t>
      </w:r>
    </w:p>
    <w:p>
      <w:pPr>
        <w:pStyle w:val="BodyText"/>
        <w:spacing w:before="10" w:line="247" w:lineRule="auto"/>
        <w:ind w:left="2859" w:right="5654"/>
      </w:pPr>
      <w:r>
        <w:rPr>
          <w:color w:val="0D0D0D"/>
        </w:rPr>
        <w:t>D、应收账款周转率越高，说明资产流动性越强，短期偿债能力越强</w:t>
      </w:r>
      <w:r>
        <w:rPr>
          <w:b/>
          <w:color w:val="0D0D0D"/>
        </w:rPr>
        <w:t>答案</w:t>
      </w:r>
      <w:r>
        <w:rPr>
          <w:color w:val="0D0D0D"/>
        </w:rPr>
        <w:t>：A,B,D</w:t>
      </w:r>
    </w:p>
    <w:p>
      <w:pPr>
        <w:pStyle w:val="BodyText"/>
        <w:spacing w:line="247" w:lineRule="auto"/>
        <w:ind w:right="2484" w:firstLine="158"/>
      </w:pPr>
      <w:r>
        <w:rPr>
          <w:b/>
          <w:color w:val="0D0D0D"/>
        </w:rPr>
        <w:t>解析</w:t>
      </w:r>
      <w:r>
        <w:rPr>
          <w:color w:val="0D0D0D"/>
        </w:rPr>
        <w:t>：应收账款周转率是反映应收账款周转速度的指标，是一定时期内商品或产品赊销收 入净额与应收账款余额的比值</w:t>
      </w:r>
      <w:r>
        <w:rPr>
          <w:color w:val="0D0D0D"/>
          <w:spacing w:val="-21"/>
        </w:rPr>
        <w:t>。其计算公式为：应收账款周转率(次数)=赊销收入净额</w:t>
      </w:r>
      <w:r>
        <w:rPr>
          <w:color w:val="0D0D0D"/>
        </w:rPr>
        <w:t xml:space="preserve">&amp;cedil; </w:t>
      </w:r>
      <w:r>
        <w:rPr>
          <w:color w:val="0D0D0D"/>
          <w:spacing w:val="-1"/>
        </w:rPr>
        <w:t>应收账款平均余额。应收账款周转率高说明：收账迅速，账龄短；资产流动性越强，短期偿</w:t>
      </w:r>
      <w:r>
        <w:rPr>
          <w:color w:val="0D0D0D"/>
        </w:rPr>
        <w:t>债能力越强；可以减少收账费用和坏账损失。</w:t>
      </w:r>
    </w:p>
    <w:p>
      <w:pPr>
        <w:pStyle w:val="BodyText"/>
        <w:tabs>
          <w:tab w:val="left" w:pos="9159"/>
        </w:tabs>
        <w:spacing w:line="395" w:lineRule="exact"/>
      </w:pPr>
      <w:r>
        <w:rPr>
          <w:color w:val="0D0D0D"/>
        </w:rPr>
        <w:t>5、下列反映资产营运能力的指标包括（</w:t>
        <w:tab/>
      </w:r>
      <w:r>
        <w:rPr>
          <w:color w:val="0D0D0D"/>
          <w:spacing w:val="-159"/>
        </w:rPr>
        <w:t>）</w:t>
      </w:r>
      <w:r>
        <w:rPr>
          <w:color w:val="0D0D0D"/>
        </w:rPr>
        <w:t>。</w:t>
      </w:r>
    </w:p>
    <w:p>
      <w:pPr>
        <w:pStyle w:val="BodyText"/>
        <w:tabs>
          <w:tab w:val="left" w:pos="6019"/>
          <w:tab w:val="left" w:pos="9797"/>
          <w:tab w:val="left" w:pos="13739"/>
        </w:tabs>
        <w:spacing w:before="12" w:line="244" w:lineRule="auto"/>
        <w:ind w:right="2702" w:firstLine="158"/>
      </w:pPr>
      <w:r>
        <w:rPr>
          <w:color w:val="0D0D0D"/>
        </w:rPr>
        <w:t>A、销售利润率</w:t>
        <w:tab/>
      </w:r>
      <w:r>
        <w:rPr>
          <w:color w:val="0D0D0D"/>
          <w:spacing w:val="-10"/>
        </w:rPr>
        <w:t>B</w:t>
      </w:r>
      <w:r>
        <w:rPr>
          <w:color w:val="0D0D0D"/>
        </w:rPr>
        <w:t>、流动资产周转率</w:t>
        <w:tab/>
      </w:r>
      <w:r>
        <w:rPr>
          <w:color w:val="0D0D0D"/>
          <w:spacing w:val="-7"/>
        </w:rPr>
        <w:t>C</w:t>
      </w:r>
      <w:r>
        <w:rPr>
          <w:color w:val="0D0D0D"/>
        </w:rPr>
        <w:t>、固定资产周转率</w:t>
        <w:tab/>
      </w:r>
      <w:r>
        <w:rPr>
          <w:color w:val="0D0D0D"/>
          <w:spacing w:val="-10"/>
        </w:rPr>
        <w:t>D</w:t>
      </w:r>
      <w:r>
        <w:rPr>
          <w:color w:val="0D0D0D"/>
        </w:rPr>
        <w:t>、总资</w:t>
      </w:r>
      <w:r>
        <w:rPr>
          <w:color w:val="0D0D0D"/>
          <w:spacing w:val="-17"/>
        </w:rPr>
        <w:t>产</w:t>
      </w:r>
      <w:r>
        <w:rPr>
          <w:color w:val="0D0D0D"/>
        </w:rPr>
        <w:t>周转率</w:t>
      </w:r>
    </w:p>
    <w:p>
      <w:pPr>
        <w:spacing w:before="7"/>
        <w:ind w:left="2855" w:right="0" w:firstLine="0"/>
        <w:jc w:val="left"/>
        <w:rPr>
          <w:sz w:val="31"/>
        </w:rPr>
      </w:pPr>
      <w:r>
        <w:rPr>
          <w:b/>
          <w:color w:val="0D0D0D"/>
          <w:sz w:val="31"/>
        </w:rPr>
        <w:t>答案</w:t>
      </w:r>
      <w:r>
        <w:rPr>
          <w:color w:val="0D0D0D"/>
          <w:sz w:val="31"/>
        </w:rPr>
        <w:t>：B,C,D</w:t>
      </w:r>
    </w:p>
    <w:p>
      <w:pPr>
        <w:pStyle w:val="BodyText"/>
        <w:spacing w:before="10" w:line="247" w:lineRule="auto"/>
        <w:ind w:right="2484" w:firstLine="154"/>
      </w:pPr>
      <w:r>
        <w:rPr>
          <w:b/>
          <w:color w:val="0D0D0D"/>
        </w:rPr>
        <w:t>解析</w:t>
      </w:r>
      <w:r>
        <w:rPr>
          <w:color w:val="0D0D0D"/>
        </w:rPr>
        <w:t xml:space="preserve">：营运能力是指企业对其有限的配置和利用能力，从价值的角度看，就是企业资金利 </w:t>
      </w:r>
      <w:r>
        <w:rPr>
          <w:color w:val="0D0D0D"/>
          <w:spacing w:val="-1"/>
        </w:rPr>
        <w:t>用效果。反映资产营运能力的指标包括：应收账款周转率、存货周转率、流动资产周转率、</w:t>
      </w:r>
      <w:r>
        <w:rPr>
          <w:color w:val="0D0D0D"/>
        </w:rPr>
        <w:t>固定资产周转率、总资产周转率等。</w:t>
      </w:r>
    </w:p>
    <w:p>
      <w:pPr>
        <w:pStyle w:val="BodyText"/>
        <w:tabs>
          <w:tab w:val="left" w:pos="8846"/>
        </w:tabs>
        <w:spacing w:before="1"/>
      </w:pPr>
      <w:r>
        <w:rPr>
          <w:color w:val="0D0D0D"/>
        </w:rPr>
        <w:t>6、下列反映长期偿债能力的指标有（</w:t>
        <w:tab/>
      </w:r>
      <w:r>
        <w:rPr>
          <w:color w:val="0D0D0D"/>
          <w:spacing w:val="-162"/>
        </w:rPr>
        <w:t>）</w:t>
      </w:r>
      <w:r>
        <w:rPr>
          <w:color w:val="0D0D0D"/>
        </w:rPr>
        <w:t>。</w:t>
      </w:r>
    </w:p>
    <w:p>
      <w:pPr>
        <w:pStyle w:val="BodyText"/>
        <w:tabs>
          <w:tab w:val="left" w:pos="6458"/>
          <w:tab w:val="left" w:pos="10049"/>
          <w:tab w:val="left" w:pos="14110"/>
        </w:tabs>
        <w:spacing w:before="9" w:line="244" w:lineRule="auto"/>
        <w:ind w:right="2684" w:firstLine="158"/>
      </w:pPr>
      <w:r>
        <w:rPr>
          <w:color w:val="0D0D0D"/>
        </w:rPr>
        <w:t>A、资产负债率</w:t>
        <w:tab/>
      </w:r>
      <w:r>
        <w:rPr>
          <w:color w:val="0D0D0D"/>
          <w:spacing w:val="-10"/>
        </w:rPr>
        <w:t>B</w:t>
      </w:r>
      <w:r>
        <w:rPr>
          <w:color w:val="0D0D0D"/>
        </w:rPr>
        <w:t>、成本利润率</w:t>
        <w:tab/>
      </w:r>
      <w:r>
        <w:rPr>
          <w:color w:val="0D0D0D"/>
          <w:spacing w:val="-11"/>
        </w:rPr>
        <w:t>C</w:t>
      </w:r>
      <w:r>
        <w:rPr>
          <w:color w:val="0D0D0D"/>
        </w:rPr>
        <w:t>、已获利息倍数</w:t>
        <w:tab/>
      </w:r>
      <w:r>
        <w:rPr>
          <w:color w:val="0D0D0D"/>
          <w:spacing w:val="-7"/>
        </w:rPr>
        <w:t>D</w:t>
      </w:r>
      <w:r>
        <w:rPr>
          <w:color w:val="0D0D0D"/>
          <w:spacing w:val="-40"/>
        </w:rPr>
        <w:t>、</w:t>
      </w:r>
      <w:r>
        <w:rPr>
          <w:color w:val="0D0D0D"/>
        </w:rPr>
        <w:t>产</w:t>
      </w:r>
      <w:r>
        <w:rPr>
          <w:color w:val="0D0D0D"/>
          <w:spacing w:val="-17"/>
        </w:rPr>
        <w:t>权</w:t>
      </w:r>
      <w:r>
        <w:rPr>
          <w:color w:val="0D0D0D"/>
        </w:rPr>
        <w:t>比率</w:t>
      </w:r>
    </w:p>
    <w:p>
      <w:pPr>
        <w:spacing w:before="7"/>
        <w:ind w:left="2855" w:right="0" w:firstLine="0"/>
        <w:jc w:val="left"/>
        <w:rPr>
          <w:sz w:val="31"/>
        </w:rPr>
      </w:pPr>
      <w:r>
        <w:rPr>
          <w:b/>
          <w:color w:val="0D0D0D"/>
          <w:sz w:val="31"/>
        </w:rPr>
        <w:t>答案</w:t>
      </w:r>
      <w:r>
        <w:rPr>
          <w:color w:val="0D0D0D"/>
          <w:sz w:val="31"/>
        </w:rPr>
        <w:t>：A,C,D</w:t>
      </w:r>
    </w:p>
    <w:p>
      <w:pPr>
        <w:pStyle w:val="BodyText"/>
        <w:spacing w:before="10" w:line="247" w:lineRule="auto"/>
        <w:ind w:right="2529" w:firstLine="154"/>
      </w:pPr>
      <w:r>
        <w:rPr>
          <w:b/>
          <w:color w:val="0D0D0D"/>
        </w:rPr>
        <w:t>解析：</w:t>
      </w:r>
      <w:r>
        <w:rPr>
          <w:color w:val="0D0D0D"/>
        </w:rPr>
        <w:t xml:space="preserve">长期偿债能力是指企业偿还债务在一年以上或超过一年的一个营业周期以上的债务 </w:t>
      </w:r>
      <w:r>
        <w:rPr>
          <w:color w:val="0D0D0D"/>
          <w:spacing w:val="-8"/>
        </w:rPr>
        <w:t>偿还能力，评价企业长期偿债能力的主要财务比率有：资产负债率、产权比率、长期资产适</w:t>
      </w:r>
      <w:r>
        <w:rPr>
          <w:color w:val="0D0D0D"/>
        </w:rPr>
        <w:t>合率和已获利息倍数。</w:t>
      </w:r>
    </w:p>
    <w:p>
      <w:pPr>
        <w:pStyle w:val="BodyText"/>
        <w:tabs>
          <w:tab w:val="left" w:pos="10737"/>
        </w:tabs>
      </w:pPr>
      <w:r>
        <w:rPr>
          <w:color w:val="0D0D0D"/>
        </w:rPr>
        <w:t>7、运用因素分析法进行分析时，应注意的问题有（</w:t>
        <w:tab/>
      </w:r>
      <w:r>
        <w:rPr>
          <w:color w:val="0D0D0D"/>
          <w:spacing w:val="-159"/>
        </w:rPr>
        <w:t>）</w:t>
      </w:r>
      <w:r>
        <w:rPr>
          <w:color w:val="0D0D0D"/>
        </w:rPr>
        <w:t>。</w:t>
      </w:r>
    </w:p>
    <w:p>
      <w:pPr>
        <w:pStyle w:val="BodyText"/>
        <w:tabs>
          <w:tab w:val="left" w:pos="9022"/>
        </w:tabs>
        <w:spacing w:before="10"/>
        <w:ind w:left="3017"/>
      </w:pPr>
      <w:r>
        <w:rPr>
          <w:color w:val="0D0D0D"/>
        </w:rPr>
        <w:t>A、因素分解的关联性</w:t>
        <w:tab/>
      </w:r>
      <w:r>
        <w:rPr>
          <w:color w:val="0D0D0D"/>
          <w:spacing w:val="-22"/>
        </w:rPr>
        <w:t>B</w:t>
      </w:r>
      <w:r>
        <w:rPr>
          <w:color w:val="0D0D0D"/>
        </w:rPr>
        <w:t>、因素替代的顺序性</w:t>
      </w:r>
    </w:p>
    <w:p>
      <w:pPr>
        <w:pStyle w:val="BodyText"/>
        <w:tabs>
          <w:tab w:val="left" w:pos="9022"/>
        </w:tabs>
        <w:spacing w:before="13"/>
        <w:ind w:left="3017"/>
      </w:pPr>
      <w:r>
        <w:rPr>
          <w:color w:val="0D0D0D"/>
        </w:rPr>
        <w:t>C、顺序替代的连环性</w:t>
        <w:tab/>
      </w:r>
      <w:r>
        <w:rPr>
          <w:color w:val="0D0D0D"/>
          <w:spacing w:val="-22"/>
        </w:rPr>
        <w:t>D</w:t>
      </w:r>
      <w:r>
        <w:rPr>
          <w:color w:val="0D0D0D"/>
        </w:rPr>
        <w:t>、计算结果的假定性</w:t>
      </w:r>
    </w:p>
    <w:p>
      <w:pPr>
        <w:spacing w:after="0"/>
        <w:sectPr>
          <w:headerReference w:type="default" r:id="rId49"/>
          <w:footerReference w:type="default" r:id="rId50"/>
          <w:pgSz w:w="17860" w:h="25260"/>
          <w:pgMar w:top="1720" w:right="0" w:bottom="1940" w:left="0" w:header="1129" w:footer="1732"/>
          <w:pgNumType w:start="7"/>
          <w:cols w:space="708"/>
        </w:sectPr>
      </w:pPr>
    </w:p>
    <w:p>
      <w:pPr>
        <w:pStyle w:val="BodyText"/>
        <w:spacing w:before="3"/>
        <w:ind w:left="0"/>
        <w:rPr>
          <w:sz w:val="8"/>
        </w:rPr>
      </w:pPr>
    </w:p>
    <w:p>
      <w:pPr>
        <w:pStyle w:val="BodyText"/>
        <w:spacing w:before="63"/>
        <w:ind w:left="2855"/>
      </w:pPr>
      <w:r>
        <w:rPr>
          <w:b/>
          <w:color w:val="0D0D0D"/>
        </w:rPr>
        <w:t>答案</w:t>
      </w:r>
      <w:r>
        <w:rPr>
          <w:color w:val="0D0D0D"/>
        </w:rPr>
        <w:t>：A,B,C,D</w:t>
      </w:r>
    </w:p>
    <w:p>
      <w:pPr>
        <w:pStyle w:val="BodyText"/>
        <w:spacing w:before="10" w:line="247" w:lineRule="auto"/>
        <w:ind w:right="2648" w:firstLine="154"/>
        <w:jc w:val="both"/>
      </w:pPr>
      <w:r>
        <w:rPr>
          <w:b/>
          <w:color w:val="0D0D0D"/>
        </w:rPr>
        <w:t>解析</w:t>
      </w:r>
      <w:r>
        <w:rPr>
          <w:color w:val="0D0D0D"/>
          <w:spacing w:val="-1"/>
        </w:rPr>
        <w:t>：因素分析法是用来确定几个相互联系的因素对分析对象综合财务指标或经济指标的</w:t>
      </w:r>
      <w:r>
        <w:rPr>
          <w:color w:val="0D0D0D"/>
          <w:spacing w:val="-11"/>
        </w:rPr>
        <w:t>影响程度的一种分析方法，运用因素分析法应注意的问题有：因素分解的关联性、因素替代的顺序性、顺序替代的连环性和计算结果的假定性。</w:t>
      </w:r>
    </w:p>
    <w:p>
      <w:pPr>
        <w:pStyle w:val="BodyText"/>
        <w:jc w:val="both"/>
      </w:pPr>
      <w:r>
        <w:rPr>
          <w:color w:val="0D0D0D"/>
        </w:rPr>
        <w:t>8、下列反映短期偿债能力的财务指标有（</w:t>
      </w:r>
      <w:r>
        <w:rPr>
          <w:color w:val="0D0D0D"/>
          <w:spacing w:val="20"/>
        </w:rPr>
        <w:t xml:space="preserve">      </w:t>
      </w:r>
      <w:r>
        <w:rPr>
          <w:color w:val="0D0D0D"/>
          <w:spacing w:val="-162"/>
        </w:rPr>
        <w:t>）</w:t>
      </w:r>
      <w:r>
        <w:rPr>
          <w:color w:val="0D0D0D"/>
        </w:rPr>
        <w:t>。</w:t>
      </w:r>
    </w:p>
    <w:p>
      <w:pPr>
        <w:pStyle w:val="BodyText"/>
        <w:tabs>
          <w:tab w:val="left" w:pos="6336"/>
          <w:tab w:val="left" w:pos="13267"/>
        </w:tabs>
        <w:spacing w:before="10" w:line="247" w:lineRule="auto"/>
        <w:ind w:left="2855" w:right="2860" w:firstLine="3"/>
        <w:jc w:val="both"/>
      </w:pPr>
      <w:r>
        <w:rPr>
          <w:color w:val="0D0D0D"/>
        </w:rPr>
        <w:t>A、流动比率</w:t>
        <w:tab/>
      </w:r>
      <w:r>
        <w:rPr>
          <w:color w:val="0D0D0D"/>
          <w:spacing w:val="-14"/>
        </w:rPr>
        <w:t>B</w:t>
      </w:r>
      <w:r>
        <w:rPr>
          <w:color w:val="0D0D0D"/>
        </w:rPr>
        <w:t xml:space="preserve">、速动比率         </w:t>
      </w:r>
      <w:r>
        <w:rPr>
          <w:color w:val="0D0D0D"/>
          <w:spacing w:val="92"/>
        </w:rPr>
        <w:t xml:space="preserve"> </w:t>
      </w:r>
      <w:r>
        <w:rPr>
          <w:color w:val="0D0D0D"/>
          <w:spacing w:val="-11"/>
        </w:rPr>
        <w:t>C</w:t>
      </w:r>
      <w:r>
        <w:rPr>
          <w:color w:val="0D0D0D"/>
        </w:rPr>
        <w:t>、现金比率</w:t>
        <w:tab/>
      </w:r>
      <w:r>
        <w:rPr>
          <w:color w:val="0D0D0D"/>
          <w:spacing w:val="-14"/>
        </w:rPr>
        <w:t>D</w:t>
      </w:r>
      <w:r>
        <w:rPr>
          <w:color w:val="0D0D0D"/>
        </w:rPr>
        <w:t>、负债比</w:t>
      </w:r>
      <w:r>
        <w:rPr>
          <w:color w:val="0D0D0D"/>
          <w:spacing w:val="-16"/>
        </w:rPr>
        <w:t>率</w:t>
      </w:r>
      <w:r>
        <w:rPr>
          <w:b/>
          <w:color w:val="0D0D0D"/>
        </w:rPr>
        <w:t>答案</w:t>
      </w:r>
      <w:r>
        <w:rPr>
          <w:color w:val="0D0D0D"/>
        </w:rPr>
        <w:t>：A,B,C</w:t>
      </w:r>
    </w:p>
    <w:p>
      <w:pPr>
        <w:pStyle w:val="BodyText"/>
        <w:spacing w:line="247" w:lineRule="auto"/>
        <w:ind w:right="2648" w:firstLine="154"/>
      </w:pPr>
      <w:r>
        <w:rPr>
          <w:b/>
          <w:color w:val="0D0D0D"/>
        </w:rPr>
        <w:t>解析</w:t>
      </w:r>
      <w:r>
        <w:rPr>
          <w:color w:val="0D0D0D"/>
        </w:rPr>
        <w:t>：短期偿债能力是指企业以其流动资产支付在一年内即将到期的流动负债的能力。衡量企业短期偿债能力的指标主要是有流动比率、速动比率和现金比率三项。</w:t>
      </w:r>
    </w:p>
    <w:p>
      <w:pPr>
        <w:pStyle w:val="BodyText"/>
        <w:tabs>
          <w:tab w:val="left" w:pos="8529"/>
        </w:tabs>
        <w:spacing w:line="396" w:lineRule="exact"/>
      </w:pPr>
      <w:r>
        <w:rPr>
          <w:color w:val="0D0D0D"/>
        </w:rPr>
        <w:t>9、采用相关比率要注意的问题有（</w:t>
        <w:tab/>
      </w:r>
      <w:r>
        <w:rPr>
          <w:color w:val="0D0D0D"/>
          <w:spacing w:val="-159"/>
        </w:rPr>
        <w:t>）</w:t>
      </w:r>
      <w:r>
        <w:rPr>
          <w:color w:val="0D0D0D"/>
        </w:rPr>
        <w:t>。</w:t>
      </w:r>
    </w:p>
    <w:p>
      <w:pPr>
        <w:pStyle w:val="BodyText"/>
        <w:tabs>
          <w:tab w:val="left" w:pos="8864"/>
        </w:tabs>
        <w:spacing w:before="12"/>
        <w:ind w:left="2859"/>
      </w:pPr>
      <w:r>
        <w:rPr>
          <w:color w:val="0D0D0D"/>
        </w:rPr>
        <w:t>A、对比项目的相关性</w:t>
        <w:tab/>
      </w:r>
      <w:r>
        <w:rPr>
          <w:color w:val="0D0D0D"/>
          <w:spacing w:val="-18"/>
        </w:rPr>
        <w:t>B</w:t>
      </w:r>
      <w:r>
        <w:rPr>
          <w:color w:val="0D0D0D"/>
        </w:rPr>
        <w:t>、对比口径的一致性</w:t>
      </w:r>
    </w:p>
    <w:p>
      <w:pPr>
        <w:pStyle w:val="BodyText"/>
        <w:tabs>
          <w:tab w:val="left" w:pos="8864"/>
        </w:tabs>
        <w:spacing w:before="10" w:line="247" w:lineRule="auto"/>
        <w:ind w:left="2859" w:right="6001"/>
      </w:pPr>
      <w:r>
        <w:rPr>
          <w:color w:val="0D0D0D"/>
        </w:rPr>
        <w:t>C、衡量标准的科学性</w:t>
        <w:tab/>
      </w:r>
      <w:r>
        <w:rPr>
          <w:color w:val="0D0D0D"/>
          <w:spacing w:val="-18"/>
        </w:rPr>
        <w:t>D</w:t>
      </w:r>
      <w:r>
        <w:rPr>
          <w:color w:val="0D0D0D"/>
        </w:rPr>
        <w:t>、例外事项重点分</w:t>
      </w:r>
      <w:r>
        <w:rPr>
          <w:color w:val="0D0D0D"/>
          <w:spacing w:val="-18"/>
        </w:rPr>
        <w:t>析</w:t>
      </w:r>
      <w:r>
        <w:rPr>
          <w:b/>
          <w:color w:val="0D0D0D"/>
        </w:rPr>
        <w:t>答案</w:t>
      </w:r>
      <w:r>
        <w:rPr>
          <w:color w:val="0D0D0D"/>
        </w:rPr>
        <w:t>：A,B,C</w:t>
      </w:r>
    </w:p>
    <w:p>
      <w:pPr>
        <w:pStyle w:val="BodyText"/>
        <w:spacing w:line="249" w:lineRule="auto"/>
        <w:ind w:right="2643" w:firstLine="158"/>
      </w:pPr>
      <w:r>
        <w:rPr>
          <w:b/>
          <w:color w:val="0D0D0D"/>
        </w:rPr>
        <w:t>解析</w:t>
      </w:r>
      <w:r>
        <w:rPr>
          <w:color w:val="0D0D0D"/>
        </w:rPr>
        <w:t>：采用相关比率要注意的问题有：对比项目的相关对比口径的一致性和衡量标准的科学性。</w:t>
      </w:r>
    </w:p>
    <w:p>
      <w:pPr>
        <w:pStyle w:val="BodyText"/>
        <w:tabs>
          <w:tab w:val="left" w:pos="9005"/>
        </w:tabs>
        <w:spacing w:line="389" w:lineRule="exact"/>
      </w:pPr>
      <w:r>
        <w:rPr>
          <w:color w:val="0D0D0D"/>
        </w:rPr>
        <w:t>10、企业进行财务分析包括的内容有（</w:t>
        <w:tab/>
      </w:r>
      <w:r>
        <w:rPr>
          <w:color w:val="0D0D0D"/>
          <w:spacing w:val="-159"/>
        </w:rPr>
        <w:t>）</w:t>
      </w:r>
      <w:r>
        <w:rPr>
          <w:color w:val="0D0D0D"/>
        </w:rPr>
        <w:t>。</w:t>
      </w:r>
    </w:p>
    <w:p>
      <w:pPr>
        <w:pStyle w:val="BodyText"/>
        <w:tabs>
          <w:tab w:val="left" w:pos="9181"/>
        </w:tabs>
        <w:spacing w:before="12"/>
        <w:ind w:left="2859"/>
      </w:pPr>
      <w:r>
        <w:rPr>
          <w:color w:val="0D0D0D"/>
        </w:rPr>
        <w:t>A、企业的偿债能力分析</w:t>
        <w:tab/>
      </w:r>
      <w:r>
        <w:rPr>
          <w:color w:val="0D0D0D"/>
          <w:spacing w:val="-22"/>
        </w:rPr>
        <w:t>B</w:t>
      </w:r>
      <w:r>
        <w:rPr>
          <w:color w:val="0D0D0D"/>
        </w:rPr>
        <w:t>、企业的营运能力分析</w:t>
      </w:r>
    </w:p>
    <w:p>
      <w:pPr>
        <w:pStyle w:val="BodyText"/>
        <w:tabs>
          <w:tab w:val="left" w:pos="9181"/>
        </w:tabs>
        <w:spacing w:before="9" w:line="247" w:lineRule="auto"/>
        <w:ind w:left="2855" w:right="5371" w:firstLine="3"/>
      </w:pPr>
      <w:r>
        <w:rPr>
          <w:color w:val="0D0D0D"/>
        </w:rPr>
        <w:t>C、企业的投资能力分析</w:t>
        <w:tab/>
      </w:r>
      <w:r>
        <w:rPr>
          <w:color w:val="0D0D0D"/>
          <w:spacing w:val="-22"/>
        </w:rPr>
        <w:t>D</w:t>
      </w:r>
      <w:r>
        <w:rPr>
          <w:color w:val="0D0D0D"/>
        </w:rPr>
        <w:t>、企业的获利能力分</w:t>
      </w:r>
      <w:r>
        <w:rPr>
          <w:color w:val="0D0D0D"/>
          <w:spacing w:val="-17"/>
        </w:rPr>
        <w:t>析</w:t>
      </w:r>
      <w:r>
        <w:rPr>
          <w:b/>
          <w:color w:val="0D0D0D"/>
        </w:rPr>
        <w:t>答案</w:t>
      </w:r>
      <w:r>
        <w:rPr>
          <w:color w:val="0D0D0D"/>
        </w:rPr>
        <w:t>：A,B,D</w:t>
      </w:r>
    </w:p>
    <w:p>
      <w:pPr>
        <w:pStyle w:val="BodyText"/>
        <w:spacing w:line="396" w:lineRule="exact"/>
        <w:ind w:left="2855"/>
      </w:pPr>
      <w:r>
        <w:rPr>
          <w:b/>
          <w:color w:val="0D0D0D"/>
        </w:rPr>
        <w:t>解析</w:t>
      </w:r>
      <w:r>
        <w:rPr>
          <w:color w:val="0D0D0D"/>
        </w:rPr>
        <w:t>：财务分析的内容有：偿债能力分析、营运能力分析、盈利能力分析和发展能力分析。</w:t>
      </w:r>
    </w:p>
    <w:p>
      <w:pPr>
        <w:pStyle w:val="BodyText"/>
        <w:tabs>
          <w:tab w:val="left" w:pos="7745"/>
        </w:tabs>
        <w:spacing w:before="14"/>
      </w:pPr>
      <w:r>
        <w:rPr>
          <w:color w:val="0D0D0D"/>
        </w:rPr>
        <w:t>11、财务分析的方法主要有（</w:t>
        <w:tab/>
      </w:r>
      <w:r>
        <w:rPr>
          <w:color w:val="0D0D0D"/>
          <w:spacing w:val="-159"/>
        </w:rPr>
        <w:t>）</w:t>
      </w:r>
      <w:r>
        <w:rPr>
          <w:color w:val="0D0D0D"/>
        </w:rPr>
        <w:t>。</w:t>
      </w:r>
    </w:p>
    <w:p>
      <w:pPr>
        <w:pStyle w:val="BodyText"/>
        <w:tabs>
          <w:tab w:val="left" w:pos="6142"/>
          <w:tab w:val="left" w:pos="9573"/>
          <w:tab w:val="left" w:pos="13480"/>
        </w:tabs>
        <w:spacing w:before="9" w:line="244" w:lineRule="auto"/>
        <w:ind w:right="2644" w:firstLine="158"/>
      </w:pPr>
      <w:r>
        <w:rPr>
          <w:color w:val="0D0D0D"/>
        </w:rPr>
        <w:t>A、趋势分析法</w:t>
        <w:tab/>
      </w:r>
      <w:r>
        <w:rPr>
          <w:color w:val="0D0D0D"/>
          <w:spacing w:val="-10"/>
        </w:rPr>
        <w:t>B</w:t>
      </w:r>
      <w:r>
        <w:rPr>
          <w:color w:val="0D0D0D"/>
        </w:rPr>
        <w:t>、系统分析法</w:t>
        <w:tab/>
      </w:r>
      <w:r>
        <w:rPr>
          <w:color w:val="0D0D0D"/>
          <w:spacing w:val="-11"/>
        </w:rPr>
        <w:t>C</w:t>
      </w:r>
      <w:r>
        <w:rPr>
          <w:color w:val="0D0D0D"/>
        </w:rPr>
        <w:t>、比率分析法</w:t>
        <w:tab/>
      </w:r>
      <w:r>
        <w:rPr>
          <w:color w:val="0D0D0D"/>
          <w:spacing w:val="-10"/>
        </w:rPr>
        <w:t>D</w:t>
      </w:r>
      <w:r>
        <w:rPr>
          <w:color w:val="0D0D0D"/>
        </w:rPr>
        <w:t>、因素分</w:t>
      </w:r>
      <w:r>
        <w:rPr>
          <w:color w:val="0D0D0D"/>
          <w:spacing w:val="-17"/>
        </w:rPr>
        <w:t>析</w:t>
      </w:r>
      <w:r>
        <w:rPr>
          <w:color w:val="0D0D0D"/>
        </w:rPr>
        <w:t>法</w:t>
      </w:r>
    </w:p>
    <w:p>
      <w:pPr>
        <w:spacing w:before="7"/>
        <w:ind w:left="2700" w:right="0" w:firstLine="0"/>
        <w:jc w:val="left"/>
        <w:rPr>
          <w:sz w:val="31"/>
        </w:rPr>
      </w:pPr>
      <w:r>
        <w:rPr>
          <w:b/>
          <w:color w:val="0D0D0D"/>
          <w:sz w:val="31"/>
        </w:rPr>
        <w:t>答案</w:t>
      </w:r>
      <w:r>
        <w:rPr>
          <w:color w:val="0D0D0D"/>
          <w:sz w:val="31"/>
        </w:rPr>
        <w:t>：A,C,D</w:t>
      </w:r>
    </w:p>
    <w:p>
      <w:pPr>
        <w:pStyle w:val="BodyText"/>
        <w:spacing w:before="10" w:line="247" w:lineRule="auto"/>
        <w:ind w:right="5019"/>
      </w:pPr>
      <w:r>
        <w:rPr>
          <w:b/>
          <w:color w:val="0D0D0D"/>
        </w:rPr>
        <w:t>解析</w:t>
      </w:r>
      <w:r>
        <w:rPr>
          <w:color w:val="0D0D0D"/>
        </w:rPr>
        <w:t>：财务分析的方法主要有：趋势分析法、比率分析法和因素分析法。三、判断题。√</w:t>
      </w:r>
    </w:p>
    <w:p>
      <w:pPr>
        <w:pStyle w:val="BodyText"/>
        <w:tabs>
          <w:tab w:val="left" w:pos="11842"/>
        </w:tabs>
        <w:spacing w:line="247" w:lineRule="auto"/>
        <w:ind w:left="2855" w:right="5543" w:hanging="155"/>
      </w:pPr>
      <w:r>
        <w:rPr>
          <w:color w:val="0D0D0D"/>
        </w:rPr>
        <w:t>1、净资产收益率等于总资产净利率和总资产周转率乘积</w:t>
      </w:r>
      <w:r>
        <w:rPr>
          <w:color w:val="0D0D0D"/>
          <w:spacing w:val="-201"/>
        </w:rPr>
        <w:t>。</w:t>
      </w:r>
      <w:r>
        <w:rPr>
          <w:color w:val="0D0D0D"/>
        </w:rPr>
        <w:t>（</w:t>
        <w:tab/>
      </w:r>
      <w:r>
        <w:rPr>
          <w:color w:val="0D0D0D"/>
          <w:spacing w:val="-163"/>
        </w:rPr>
        <w:t>）</w:t>
      </w:r>
      <w:r>
        <w:rPr>
          <w:color w:val="0D0D0D"/>
          <w:spacing w:val="-16"/>
        </w:rPr>
        <w:t>。</w:t>
      </w:r>
      <w:r>
        <w:rPr>
          <w:b/>
          <w:color w:val="0D0D0D"/>
        </w:rPr>
        <w:t>答案</w:t>
      </w:r>
      <w:r>
        <w:rPr>
          <w:color w:val="0D0D0D"/>
        </w:rPr>
        <w:t>：×</w:t>
      </w:r>
    </w:p>
    <w:p>
      <w:pPr>
        <w:pStyle w:val="BodyText"/>
        <w:spacing w:line="397" w:lineRule="exact"/>
        <w:ind w:left="2855"/>
      </w:pPr>
      <w:r>
        <w:rPr>
          <w:b/>
          <w:color w:val="0D0D0D"/>
        </w:rPr>
        <w:t>解析</w:t>
      </w:r>
      <w:r>
        <w:rPr>
          <w:color w:val="0D0D0D"/>
        </w:rPr>
        <w:t>：净资产收益率等于总资产净利率和权益乘数的乘积。</w:t>
      </w:r>
    </w:p>
    <w:p>
      <w:pPr>
        <w:pStyle w:val="BodyText"/>
        <w:tabs>
          <w:tab w:val="left" w:pos="11525"/>
        </w:tabs>
        <w:spacing w:before="12" w:line="244" w:lineRule="auto"/>
        <w:ind w:left="2855" w:right="6015" w:hanging="155"/>
      </w:pPr>
      <w:r>
        <w:rPr>
          <w:color w:val="0D0D0D"/>
        </w:rPr>
        <w:t>2、采用沃尔比重分析法可以进行企业的财务综合分析</w:t>
      </w:r>
      <w:r>
        <w:rPr>
          <w:color w:val="0D0D0D"/>
          <w:spacing w:val="-197"/>
        </w:rPr>
        <w:t>。</w:t>
      </w:r>
      <w:r>
        <w:rPr>
          <w:color w:val="0D0D0D"/>
        </w:rPr>
        <w:t>（</w:t>
        <w:tab/>
      </w:r>
      <w:r>
        <w:rPr>
          <w:color w:val="0D0D0D"/>
          <w:spacing w:val="-18"/>
        </w:rPr>
        <w:t xml:space="preserve">） </w:t>
      </w:r>
      <w:r>
        <w:rPr>
          <w:b/>
          <w:color w:val="0D0D0D"/>
        </w:rPr>
        <w:t>答案</w:t>
      </w:r>
      <w:r>
        <w:rPr>
          <w:color w:val="0D0D0D"/>
        </w:rPr>
        <w:t>：√</w:t>
      </w:r>
    </w:p>
    <w:p>
      <w:pPr>
        <w:pStyle w:val="BodyText"/>
        <w:spacing w:before="7" w:line="244" w:lineRule="auto"/>
        <w:ind w:right="2681" w:firstLine="154"/>
      </w:pPr>
      <w:r>
        <w:rPr>
          <w:b/>
          <w:color w:val="0D0D0D"/>
        </w:rPr>
        <w:t>解析</w:t>
      </w:r>
      <w:r>
        <w:rPr>
          <w:color w:val="0D0D0D"/>
          <w:spacing w:val="-10"/>
        </w:rPr>
        <w:t>： 财务综合分析的特点是：指标要素齐全适当；主辅指标功能匹配；满足多方信息需</w:t>
      </w:r>
      <w:r>
        <w:rPr>
          <w:color w:val="0D0D0D"/>
        </w:rPr>
        <w:t>要。财务综合分析方法主要有杜邦财务分析体系和沃尔比重评分法。</w:t>
      </w:r>
    </w:p>
    <w:p>
      <w:pPr>
        <w:pStyle w:val="BodyText"/>
        <w:tabs>
          <w:tab w:val="left" w:pos="13412"/>
        </w:tabs>
        <w:spacing w:before="7" w:line="244" w:lineRule="auto"/>
        <w:ind w:left="2855" w:right="4127" w:hanging="155"/>
      </w:pPr>
      <w:r>
        <w:rPr>
          <w:color w:val="0D0D0D"/>
        </w:rPr>
        <w:t>3、净资产收益率是一个综合性极强的财务比率，是杜邦系统的核心</w:t>
      </w:r>
      <w:r>
        <w:rPr>
          <w:color w:val="0D0D0D"/>
          <w:spacing w:val="-208"/>
        </w:rPr>
        <w:t>。</w:t>
      </w:r>
      <w:r>
        <w:rPr>
          <w:color w:val="0D0D0D"/>
        </w:rPr>
        <w:t>（</w:t>
        <w:tab/>
      </w:r>
      <w:r>
        <w:rPr>
          <w:color w:val="0D0D0D"/>
          <w:spacing w:val="-17"/>
        </w:rPr>
        <w:t xml:space="preserve">） </w:t>
      </w:r>
      <w:r>
        <w:rPr>
          <w:b/>
          <w:color w:val="0D0D0D"/>
        </w:rPr>
        <w:t>答案</w:t>
      </w:r>
      <w:r>
        <w:rPr>
          <w:color w:val="0D0D0D"/>
        </w:rPr>
        <w:t>：√</w:t>
      </w:r>
    </w:p>
    <w:p>
      <w:pPr>
        <w:pStyle w:val="BodyText"/>
        <w:spacing w:before="7" w:line="244" w:lineRule="auto"/>
        <w:ind w:right="2648" w:firstLine="154"/>
      </w:pPr>
      <w:r>
        <w:rPr>
          <w:b/>
          <w:color w:val="0D0D0D"/>
        </w:rPr>
        <w:t>解析</w:t>
      </w:r>
      <w:r>
        <w:rPr>
          <w:color w:val="0D0D0D"/>
        </w:rPr>
        <w:t>：净资产收益率等于销售利率、总资产周转率和权益乘数的乘积这一等式体现了杜邦系统的核心内容。</w:t>
      </w:r>
    </w:p>
    <w:p>
      <w:pPr>
        <w:pStyle w:val="BodyText"/>
        <w:spacing w:before="7"/>
        <w:ind w:left="2859"/>
      </w:pPr>
      <w:r>
        <w:rPr>
          <w:color w:val="0D0D0D"/>
        </w:rPr>
        <w:t>4、在销售净利率资产负债率不变的情况下，提高资产周转率可以提高净资产收益率。</w:t>
      </w:r>
    </w:p>
    <w:p>
      <w:pPr>
        <w:pStyle w:val="BodyText"/>
        <w:tabs>
          <w:tab w:val="left" w:pos="1263"/>
        </w:tabs>
        <w:spacing w:before="9"/>
        <w:ind w:left="0" w:right="10875"/>
        <w:jc w:val="center"/>
      </w:pPr>
      <w:r>
        <w:rPr>
          <w:color w:val="0D0D0D"/>
        </w:rPr>
        <w:t>（</w:t>
        <w:tab/>
        <w:t>）</w:t>
      </w:r>
    </w:p>
    <w:p>
      <w:pPr>
        <w:spacing w:before="14"/>
        <w:ind w:left="3" w:right="10875" w:firstLine="0"/>
        <w:jc w:val="center"/>
        <w:rPr>
          <w:sz w:val="31"/>
        </w:rPr>
      </w:pPr>
      <w:r>
        <w:rPr>
          <w:b/>
          <w:color w:val="0D0D0D"/>
          <w:sz w:val="31"/>
        </w:rPr>
        <w:t>答案</w:t>
      </w:r>
      <w:r>
        <w:rPr>
          <w:color w:val="0D0D0D"/>
          <w:sz w:val="31"/>
        </w:rPr>
        <w:t>：√</w:t>
      </w:r>
    </w:p>
    <w:p>
      <w:pPr>
        <w:pStyle w:val="BodyText"/>
        <w:spacing w:before="10"/>
        <w:ind w:left="3" w:right="2004"/>
        <w:jc w:val="center"/>
      </w:pPr>
      <w:r>
        <w:rPr>
          <w:b/>
          <w:color w:val="0D0D0D"/>
        </w:rPr>
        <w:t>解析</w:t>
      </w:r>
      <w:r>
        <w:rPr>
          <w:color w:val="0D0D0D"/>
        </w:rPr>
        <w:t>：净资产收益率等于销售净利率、总资产周转率和权益乘数的乘积。</w:t>
      </w:r>
    </w:p>
    <w:p>
      <w:pPr>
        <w:pStyle w:val="BodyText"/>
        <w:tabs>
          <w:tab w:val="left" w:pos="6322"/>
        </w:tabs>
        <w:spacing w:before="13" w:line="244" w:lineRule="auto"/>
        <w:ind w:right="2643"/>
      </w:pPr>
      <w:r>
        <w:rPr>
          <w:color w:val="0D0D0D"/>
        </w:rPr>
        <w:t>5、流动比率反映企业用可在短期内可变现的流动资产偿还到期流动负债的能力，因此流</w:t>
      </w:r>
      <w:r>
        <w:rPr>
          <w:color w:val="0D0D0D"/>
          <w:spacing w:val="-18"/>
        </w:rPr>
        <w:t>动</w:t>
      </w:r>
      <w:r>
        <w:rPr>
          <w:color w:val="0D0D0D"/>
        </w:rPr>
        <w:t>比例率越高越好</w:t>
      </w:r>
      <w:r>
        <w:rPr>
          <w:color w:val="0D0D0D"/>
          <w:spacing w:val="-169"/>
        </w:rPr>
        <w:t>。</w:t>
      </w:r>
      <w:r>
        <w:rPr>
          <w:color w:val="0D0D0D"/>
        </w:rPr>
        <w:t>（</w:t>
        <w:tab/>
        <w:t>）</w:t>
      </w:r>
    </w:p>
    <w:p>
      <w:pPr>
        <w:spacing w:before="4"/>
        <w:ind w:left="2859" w:right="0" w:firstLine="0"/>
        <w:jc w:val="left"/>
        <w:rPr>
          <w:sz w:val="31"/>
        </w:rPr>
      </w:pPr>
      <w:r>
        <w:rPr>
          <w:b/>
          <w:color w:val="0D0D0D"/>
          <w:sz w:val="31"/>
        </w:rPr>
        <w:t>答案</w:t>
      </w:r>
      <w:r>
        <w:rPr>
          <w:color w:val="0D0D0D"/>
          <w:sz w:val="31"/>
        </w:rPr>
        <w:t>：×</w:t>
      </w:r>
    </w:p>
    <w:p>
      <w:pPr>
        <w:pStyle w:val="BodyText"/>
        <w:spacing w:before="13" w:line="247" w:lineRule="auto"/>
        <w:ind w:right="2484" w:firstLine="158"/>
      </w:pPr>
      <w:r>
        <w:rPr>
          <w:b/>
          <w:color w:val="0D0D0D"/>
        </w:rPr>
        <w:t>解析</w:t>
      </w:r>
      <w:r>
        <w:rPr>
          <w:color w:val="0D0D0D"/>
        </w:rPr>
        <w:t xml:space="preserve">：从流动比率的计算结果看，该比率越高，似乎说明企业短期偿债能力越强，短期债 </w:t>
      </w:r>
      <w:r>
        <w:rPr>
          <w:color w:val="0D0D0D"/>
          <w:spacing w:val="-10"/>
        </w:rPr>
        <w:t xml:space="preserve">权人债权的保障程度也就越高。但是，该指标并不是越高越好：第一、由于资产的流动性与  </w:t>
      </w:r>
      <w:r>
        <w:rPr>
          <w:color w:val="0D0D0D"/>
          <w:spacing w:val="-11"/>
        </w:rPr>
        <w:t xml:space="preserve">资产的盈利能力相反变动，流动性强的资产增加必然意味着企业整体资产的盈利能力下降， 从而不利于实现企业的经营目标；第二、对任何一个企业来说，流动资产与非流动资产都有  </w:t>
      </w:r>
      <w:r>
        <w:rPr>
          <w:color w:val="0D0D0D"/>
          <w:spacing w:val="-13"/>
        </w:rPr>
        <w:t xml:space="preserve">一个适当的比率，若流动比率过高，则说明企业资源尚未得到充分利用(如材料在产品、产  </w:t>
      </w:r>
      <w:r>
        <w:rPr>
          <w:color w:val="0D0D0D"/>
          <w:spacing w:val="-12"/>
        </w:rPr>
        <w:t>成品过多，从而造成存货积压)。因此，一般认为该比率宜保持在</w:t>
      </w:r>
      <w:r>
        <w:rPr>
          <w:color w:val="0D0D0D"/>
        </w:rPr>
        <w:t>2</w:t>
      </w:r>
      <w:r>
        <w:rPr>
          <w:color w:val="0D0D0D"/>
          <w:spacing w:val="-10"/>
        </w:rPr>
        <w:t xml:space="preserve"> 倍左右比较适宜</w:t>
      </w:r>
    </w:p>
    <w:p>
      <w:pPr>
        <w:pStyle w:val="BodyText"/>
        <w:tabs>
          <w:tab w:val="left" w:pos="14280"/>
        </w:tabs>
        <w:spacing w:line="394" w:lineRule="exact"/>
      </w:pPr>
      <w:r>
        <w:rPr>
          <w:color w:val="0D0D0D"/>
        </w:rPr>
        <w:t>6、一般来说，企业的利息保障倍数应小</w:t>
      </w:r>
      <w:r>
        <w:rPr>
          <w:color w:val="0D0D0D"/>
          <w:spacing w:val="47"/>
        </w:rPr>
        <w:t>于</w:t>
      </w:r>
      <w:r>
        <w:rPr>
          <w:color w:val="0D0D0D"/>
        </w:rPr>
        <w:t>1，否则将难以偿付债务及利息</w:t>
      </w:r>
      <w:r>
        <w:rPr>
          <w:color w:val="0D0D0D"/>
          <w:spacing w:val="-183"/>
        </w:rPr>
        <w:t>。</w:t>
      </w:r>
      <w:r>
        <w:rPr>
          <w:color w:val="0D0D0D"/>
        </w:rPr>
        <w:t>（</w:t>
        <w:tab/>
        <w:t>）</w:t>
      </w:r>
    </w:p>
    <w:p>
      <w:pPr>
        <w:spacing w:after="0" w:line="394" w:lineRule="exact"/>
        <w:sectPr>
          <w:headerReference w:type="default" r:id="rId51"/>
          <w:footerReference w:type="default" r:id="rId52"/>
          <w:pgSz w:w="17860" w:h="25260"/>
          <w:pgMar w:top="1720" w:right="0" w:bottom="1940" w:left="0" w:header="1129" w:footer="1732"/>
          <w:pgNumType w:start="8"/>
          <w:cols w:space="708"/>
        </w:sectPr>
      </w:pPr>
    </w:p>
    <w:p>
      <w:pPr>
        <w:pStyle w:val="BodyText"/>
        <w:spacing w:before="3"/>
        <w:ind w:left="0"/>
        <w:rPr>
          <w:sz w:val="8"/>
        </w:rPr>
      </w:pPr>
    </w:p>
    <w:p>
      <w:pPr>
        <w:spacing w:before="63"/>
        <w:ind w:left="2855" w:right="0" w:firstLine="0"/>
        <w:jc w:val="left"/>
        <w:rPr>
          <w:sz w:val="31"/>
        </w:rPr>
      </w:pPr>
      <w:r>
        <w:rPr>
          <w:b/>
          <w:color w:val="0D0D0D"/>
          <w:sz w:val="31"/>
        </w:rPr>
        <w:t>答案</w:t>
      </w:r>
      <w:r>
        <w:rPr>
          <w:color w:val="0D0D0D"/>
          <w:sz w:val="31"/>
        </w:rPr>
        <w:t>：√</w:t>
      </w:r>
    </w:p>
    <w:p>
      <w:pPr>
        <w:pStyle w:val="BodyText"/>
        <w:spacing w:before="10" w:line="247" w:lineRule="auto"/>
        <w:ind w:right="2648" w:firstLine="154"/>
      </w:pPr>
      <w:r>
        <w:rPr>
          <w:b/>
          <w:color w:val="0D0D0D"/>
        </w:rPr>
        <w:t>解析</w:t>
      </w:r>
      <w:r>
        <w:rPr>
          <w:color w:val="0D0D0D"/>
        </w:rPr>
        <w:t>：一般情况下，利息保障倍数越大，反映企业投资利润率越高，支付长期债务利息的能力越强。因此，利息保障倍数至少应大于1，否则将难以偿付债务及利息。</w:t>
      </w:r>
    </w:p>
    <w:p>
      <w:pPr>
        <w:pStyle w:val="BodyText"/>
        <w:tabs>
          <w:tab w:val="left" w:pos="4435"/>
        </w:tabs>
        <w:spacing w:line="247" w:lineRule="auto"/>
        <w:ind w:right="2643"/>
      </w:pPr>
      <w:r>
        <w:rPr>
          <w:color w:val="0D0D0D"/>
        </w:rPr>
        <w:t>7、一般来讲，存货的周转率越高，表明其变现的速度越快，周转额越大，资金占用水平</w:t>
      </w:r>
      <w:r>
        <w:rPr>
          <w:color w:val="0D0D0D"/>
          <w:spacing w:val="-18"/>
        </w:rPr>
        <w:t>越</w:t>
      </w:r>
      <w:r>
        <w:rPr>
          <w:color w:val="0D0D0D"/>
        </w:rPr>
        <w:t>低</w:t>
      </w:r>
      <w:r>
        <w:rPr>
          <w:color w:val="0D0D0D"/>
          <w:spacing w:val="-159"/>
        </w:rPr>
        <w:t>。</w:t>
      </w:r>
      <w:r>
        <w:rPr>
          <w:color w:val="0D0D0D"/>
        </w:rPr>
        <w:t>（</w:t>
        <w:tab/>
        <w:t>）</w:t>
      </w:r>
    </w:p>
    <w:p>
      <w:pPr>
        <w:spacing w:before="0" w:line="396" w:lineRule="exact"/>
        <w:ind w:left="2700" w:right="0" w:firstLine="0"/>
        <w:jc w:val="left"/>
        <w:rPr>
          <w:sz w:val="31"/>
        </w:rPr>
      </w:pPr>
      <w:r>
        <w:rPr>
          <w:b/>
          <w:color w:val="0D0D0D"/>
          <w:sz w:val="31"/>
        </w:rPr>
        <w:t>答案</w:t>
      </w:r>
      <w:r>
        <w:rPr>
          <w:color w:val="0D0D0D"/>
          <w:sz w:val="31"/>
        </w:rPr>
        <w:t>：√</w:t>
      </w:r>
    </w:p>
    <w:p>
      <w:pPr>
        <w:pStyle w:val="BodyText"/>
        <w:spacing w:before="12" w:line="247" w:lineRule="auto"/>
        <w:ind w:right="2484"/>
      </w:pPr>
      <w:r>
        <w:rPr>
          <w:b/>
          <w:color w:val="0D0D0D"/>
        </w:rPr>
        <w:t>解析</w:t>
      </w:r>
      <w:r>
        <w:rPr>
          <w:color w:val="0D0D0D"/>
          <w:spacing w:val="-13"/>
        </w:rPr>
        <w:t xml:space="preserve">：存货周转率是从存货变现速度的角度来评价企业的销售能力及存货适量程度的。存货  </w:t>
      </w:r>
      <w:r>
        <w:rPr>
          <w:color w:val="0D0D0D"/>
          <w:spacing w:val="-17"/>
        </w:rPr>
        <w:t>周转次数越多，反映存货变现速度越快，说明企业销售能力越强，营运资金占用在存货上的 量小；反之，存货周转次数越小，反映企业存货变现速度慢，说明企业销售能力弱，存货积</w:t>
      </w:r>
      <w:r>
        <w:rPr>
          <w:color w:val="0D0D0D"/>
        </w:rPr>
        <w:t>压，营运资金沉淀于存货的量大。</w:t>
      </w:r>
    </w:p>
    <w:p>
      <w:pPr>
        <w:pStyle w:val="BodyText"/>
        <w:spacing w:line="395" w:lineRule="exact"/>
      </w:pPr>
      <w:r>
        <w:rPr>
          <w:color w:val="0D0D0D"/>
        </w:rPr>
        <w:t>8、企业的资产负债比率越高，说明企业的偿债能力越快，周转额越大，资金占用水平越低。</w:t>
      </w:r>
    </w:p>
    <w:p>
      <w:pPr>
        <w:pStyle w:val="BodyText"/>
        <w:tabs>
          <w:tab w:val="left" w:pos="3964"/>
        </w:tabs>
        <w:spacing w:before="10"/>
      </w:pPr>
      <w:r>
        <w:rPr>
          <w:color w:val="0D0D0D"/>
        </w:rPr>
        <w:t>（</w:t>
        <w:tab/>
        <w:t>）</w:t>
      </w:r>
    </w:p>
    <w:p>
      <w:pPr>
        <w:spacing w:before="13"/>
        <w:ind w:left="2855" w:right="0" w:firstLine="0"/>
        <w:jc w:val="left"/>
        <w:rPr>
          <w:sz w:val="31"/>
        </w:rPr>
      </w:pPr>
      <w:r>
        <w:rPr>
          <w:b/>
          <w:color w:val="0D0D0D"/>
          <w:sz w:val="31"/>
        </w:rPr>
        <w:t>答案</w:t>
      </w:r>
      <w:r>
        <w:rPr>
          <w:color w:val="0D0D0D"/>
          <w:sz w:val="31"/>
        </w:rPr>
        <w:t>：×</w:t>
      </w:r>
    </w:p>
    <w:p>
      <w:pPr>
        <w:pStyle w:val="BodyText"/>
        <w:spacing w:before="10" w:line="247" w:lineRule="auto"/>
        <w:ind w:right="2648" w:firstLine="154"/>
        <w:jc w:val="both"/>
      </w:pPr>
      <w:r>
        <w:rPr>
          <w:b/>
          <w:color w:val="0D0D0D"/>
        </w:rPr>
        <w:t>解析</w:t>
      </w:r>
      <w:r>
        <w:rPr>
          <w:color w:val="0D0D0D"/>
          <w:spacing w:val="-1"/>
        </w:rPr>
        <w:t>：资产负债率是企业负债总额对资产总额的比率。它表明企业资产总额中，债权人提</w:t>
      </w:r>
      <w:r>
        <w:rPr>
          <w:color w:val="0D0D0D"/>
          <w:spacing w:val="-12"/>
        </w:rPr>
        <w:t>供资金所占的比重，以及企业资产对债权人权益的保障程度。这一比率越小，表明企业的长期偿债能力越强。</w:t>
      </w:r>
    </w:p>
    <w:p>
      <w:pPr>
        <w:pStyle w:val="BodyText"/>
        <w:spacing w:before="1" w:line="244" w:lineRule="auto"/>
        <w:ind w:right="2643"/>
        <w:jc w:val="both"/>
      </w:pPr>
      <w:r>
        <w:rPr>
          <w:color w:val="0D0D0D"/>
        </w:rPr>
        <w:t>9</w:t>
      </w:r>
      <w:r>
        <w:rPr>
          <w:color w:val="0D0D0D"/>
          <w:spacing w:val="-1"/>
        </w:rPr>
        <w:t>、采用因素分析法时，当有若干因素对分析对象发生影响作用时，应假定其他各个因素都</w:t>
      </w:r>
      <w:r>
        <w:rPr>
          <w:color w:val="0D0D0D"/>
        </w:rPr>
        <w:t>无变化，顺序确定每一个因素单独变化所产生的影响</w:t>
      </w:r>
      <w:r>
        <w:rPr>
          <w:color w:val="0D0D0D"/>
          <w:spacing w:val="-194"/>
        </w:rPr>
        <w:t>。</w:t>
      </w:r>
      <w:r>
        <w:rPr>
          <w:color w:val="0D0D0D"/>
        </w:rPr>
        <w:t>（ ）</w:t>
      </w:r>
    </w:p>
    <w:p>
      <w:pPr>
        <w:spacing w:before="7"/>
        <w:ind w:left="2855" w:right="0" w:firstLine="0"/>
        <w:jc w:val="left"/>
        <w:rPr>
          <w:sz w:val="31"/>
        </w:rPr>
      </w:pPr>
      <w:r>
        <w:rPr>
          <w:b/>
          <w:color w:val="0D0D0D"/>
          <w:sz w:val="31"/>
        </w:rPr>
        <w:t>答案</w:t>
      </w:r>
      <w:r>
        <w:rPr>
          <w:color w:val="0D0D0D"/>
          <w:sz w:val="31"/>
        </w:rPr>
        <w:t>：√</w:t>
      </w:r>
    </w:p>
    <w:p>
      <w:pPr>
        <w:pStyle w:val="BodyText"/>
        <w:spacing w:before="9" w:line="247" w:lineRule="auto"/>
        <w:ind w:right="2484" w:firstLine="154"/>
      </w:pPr>
      <w:r>
        <w:rPr>
          <w:b/>
          <w:color w:val="0D0D0D"/>
        </w:rPr>
        <w:t>解析</w:t>
      </w:r>
      <w:r>
        <w:rPr>
          <w:color w:val="0D0D0D"/>
        </w:rPr>
        <w:t xml:space="preserve">：分析法是用来确定几个相互联系的因素对分析对象综合财务指标或经济指标的影响 </w:t>
      </w:r>
      <w:r>
        <w:rPr>
          <w:color w:val="0D0D0D"/>
          <w:spacing w:val="-1"/>
        </w:rPr>
        <w:t xml:space="preserve">程度的一种分析方法。采用这种的出发点在于，当有若干因素对分析对象发生影响作用时， </w:t>
      </w:r>
      <w:r>
        <w:rPr>
          <w:color w:val="0D0D0D"/>
        </w:rPr>
        <w:t>假定其他各个因素都无变化，顺序确定每一个单独变化所产生的影响</w:t>
      </w:r>
    </w:p>
    <w:p>
      <w:pPr>
        <w:pStyle w:val="BodyText"/>
        <w:spacing w:line="394" w:lineRule="exact"/>
      </w:pPr>
      <w:r>
        <w:rPr>
          <w:color w:val="0D0D0D"/>
        </w:rPr>
        <w:t>10、企业的债权人关心的是资本的保值和增值的状况，并对企业投资的回报率极为关注。</w:t>
      </w:r>
    </w:p>
    <w:p>
      <w:pPr>
        <w:pStyle w:val="BodyText"/>
        <w:tabs>
          <w:tab w:val="left" w:pos="3964"/>
        </w:tabs>
        <w:spacing w:before="14"/>
      </w:pPr>
      <w:r>
        <w:rPr>
          <w:color w:val="0D0D0D"/>
        </w:rPr>
        <w:t>（</w:t>
        <w:tab/>
        <w:t>）</w:t>
      </w:r>
    </w:p>
    <w:p>
      <w:pPr>
        <w:spacing w:before="9"/>
        <w:ind w:left="2855" w:right="0" w:firstLine="0"/>
        <w:jc w:val="left"/>
        <w:rPr>
          <w:sz w:val="31"/>
        </w:rPr>
      </w:pPr>
      <w:r>
        <w:rPr>
          <w:b/>
          <w:color w:val="0D0D0D"/>
          <w:sz w:val="31"/>
        </w:rPr>
        <w:t>答案</w:t>
      </w:r>
      <w:r>
        <w:rPr>
          <w:color w:val="0D0D0D"/>
          <w:sz w:val="31"/>
        </w:rPr>
        <w:t>：×</w:t>
      </w:r>
    </w:p>
    <w:p>
      <w:pPr>
        <w:pStyle w:val="BodyText"/>
        <w:spacing w:before="13" w:line="247" w:lineRule="auto"/>
        <w:ind w:right="2526" w:firstLine="154"/>
      </w:pPr>
      <w:r>
        <w:rPr>
          <w:b/>
          <w:color w:val="0D0D0D"/>
        </w:rPr>
        <w:t>解析</w:t>
      </w:r>
      <w:r>
        <w:rPr>
          <w:color w:val="0D0D0D"/>
          <w:spacing w:val="-14"/>
        </w:rPr>
        <w:t xml:space="preserve">：企业所有者关心其资本的保值和增值状况，即对企业投资的回报率极为关注。因此， </w:t>
      </w:r>
      <w:r>
        <w:rPr>
          <w:color w:val="0D0D0D"/>
          <w:spacing w:val="-10"/>
        </w:rPr>
        <w:t>他们非常重视企业盈利能力分析。而企业债权人因为不能参与企业剩余收益分享，决定了债 权人必须对其投资的安全性首先予以关注。因此，他们更重视企业偿债能力分析。</w:t>
      </w:r>
    </w:p>
    <w:p>
      <w:pPr>
        <w:pStyle w:val="BodyText"/>
        <w:tabs>
          <w:tab w:val="left" w:pos="6639"/>
        </w:tabs>
        <w:spacing w:line="247" w:lineRule="auto"/>
        <w:ind w:right="2672"/>
      </w:pPr>
      <w:r>
        <w:rPr>
          <w:color w:val="0D0D0D"/>
        </w:rPr>
        <w:t>11</w:t>
      </w:r>
      <w:r>
        <w:rPr>
          <w:color w:val="0D0D0D"/>
          <w:spacing w:val="-51"/>
        </w:rPr>
        <w:t>、</w:t>
      </w:r>
      <w:r>
        <w:rPr>
          <w:color w:val="0D0D0D"/>
        </w:rPr>
        <w:t>财务分析既是已完成的财务活动的总结</w:t>
      </w:r>
      <w:r>
        <w:rPr>
          <w:color w:val="0D0D0D"/>
          <w:spacing w:val="-75"/>
        </w:rPr>
        <w:t>，</w:t>
      </w:r>
      <w:r>
        <w:rPr>
          <w:color w:val="0D0D0D"/>
        </w:rPr>
        <w:t>又是财务预测的前提</w:t>
      </w:r>
      <w:r>
        <w:rPr>
          <w:color w:val="0D0D0D"/>
          <w:spacing w:val="-61"/>
        </w:rPr>
        <w:t>，</w:t>
      </w:r>
      <w:r>
        <w:rPr>
          <w:color w:val="0D0D0D"/>
        </w:rPr>
        <w:t>在财务管理的循环中</w:t>
      </w:r>
      <w:r>
        <w:rPr>
          <w:color w:val="0D0D0D"/>
          <w:spacing w:val="-17"/>
        </w:rPr>
        <w:t>起</w:t>
      </w:r>
      <w:r>
        <w:rPr>
          <w:color w:val="0D0D0D"/>
        </w:rPr>
        <w:t>着承上启下的作用</w:t>
      </w:r>
      <w:r>
        <w:rPr>
          <w:color w:val="0D0D0D"/>
          <w:spacing w:val="-173"/>
        </w:rPr>
        <w:t>。</w:t>
      </w:r>
      <w:r>
        <w:rPr>
          <w:color w:val="0D0D0D"/>
        </w:rPr>
        <w:t>（</w:t>
        <w:tab/>
        <w:t>）</w:t>
      </w:r>
    </w:p>
    <w:p>
      <w:pPr>
        <w:spacing w:before="0" w:line="396" w:lineRule="exact"/>
        <w:ind w:left="2855" w:right="0" w:firstLine="0"/>
        <w:jc w:val="left"/>
        <w:rPr>
          <w:sz w:val="31"/>
        </w:rPr>
      </w:pPr>
      <w:r>
        <w:rPr>
          <w:b/>
          <w:color w:val="0D0D0D"/>
          <w:sz w:val="31"/>
        </w:rPr>
        <w:t>答案</w:t>
      </w:r>
      <w:r>
        <w:rPr>
          <w:color w:val="0D0D0D"/>
          <w:sz w:val="31"/>
        </w:rPr>
        <w:t>：√</w:t>
      </w:r>
    </w:p>
    <w:p>
      <w:pPr>
        <w:pStyle w:val="BodyText"/>
        <w:spacing w:before="11" w:line="244" w:lineRule="auto"/>
        <w:ind w:right="2688" w:firstLine="154"/>
      </w:pPr>
      <w:r>
        <w:rPr>
          <w:b/>
          <w:color w:val="0D0D0D"/>
        </w:rPr>
        <w:t>解析</w:t>
      </w:r>
      <w:r>
        <w:rPr>
          <w:color w:val="0D0D0D"/>
          <w:spacing w:val="-10"/>
        </w:rPr>
        <w:t>： 财务分析的目的是：对企业过去的财务状况和经营成果进行总结性分析和评价；对</w:t>
      </w:r>
      <w:r>
        <w:rPr>
          <w:color w:val="0D0D0D"/>
        </w:rPr>
        <w:t>企业当前财务运作进行调整和控制；预测未来企业财务运作的方向及其影响。</w:t>
      </w:r>
    </w:p>
    <w:p>
      <w:pPr>
        <w:pStyle w:val="Heading2"/>
        <w:spacing w:before="7"/>
      </w:pPr>
      <w:r>
        <w:rPr>
          <w:color w:val="0D0D0D"/>
        </w:rPr>
        <w:t>四、计算题</w:t>
      </w:r>
    </w:p>
    <w:p>
      <w:pPr>
        <w:pStyle w:val="BodyText"/>
        <w:spacing w:before="9"/>
      </w:pPr>
      <w:r>
        <w:rPr>
          <w:color w:val="0D0D0D"/>
        </w:rPr>
        <w:t>1、某公司××年度简化的资产负债表如下：</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13"/>
        </w:rPr>
      </w:pPr>
    </w:p>
    <w:tbl>
      <w:tblPr>
        <w:tblStyle w:val="TableNormal0"/>
        <w:tblW w:w="0" w:type="auto"/>
        <w:jc w:val="left"/>
        <w:tblInd w:w="5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40"/>
        <w:gridCol w:w="1660"/>
        <w:gridCol w:w="4349"/>
        <w:gridCol w:w="914"/>
      </w:tblGrid>
      <w:tr>
        <w:tblPrEx>
          <w:tblW w:w="0" w:type="auto"/>
          <w:jc w:val="left"/>
          <w:tblInd w:w="5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73"/>
          <w:jc w:val="left"/>
        </w:trPr>
        <w:tc>
          <w:tcPr>
            <w:tcW w:w="2340" w:type="dxa"/>
          </w:tcPr>
          <w:p>
            <w:pPr>
              <w:pStyle w:val="TableParagraph"/>
              <w:spacing w:line="359" w:lineRule="exact"/>
              <w:ind w:left="50"/>
              <w:rPr>
                <w:sz w:val="31"/>
              </w:rPr>
            </w:pPr>
            <w:r>
              <w:rPr>
                <w:color w:val="0D0D0D"/>
                <w:sz w:val="31"/>
              </w:rPr>
              <w:t>资产</w:t>
            </w:r>
          </w:p>
          <w:p>
            <w:pPr>
              <w:pStyle w:val="TableParagraph"/>
              <w:spacing w:before="212"/>
              <w:ind w:left="366"/>
              <w:rPr>
                <w:sz w:val="31"/>
              </w:rPr>
            </w:pPr>
            <w:r>
              <w:rPr>
                <w:color w:val="0D0D0D"/>
                <w:sz w:val="31"/>
              </w:rPr>
              <w:t>货币资金</w:t>
            </w:r>
          </w:p>
        </w:tc>
        <w:tc>
          <w:tcPr>
            <w:tcW w:w="1660" w:type="dxa"/>
          </w:tcPr>
          <w:p>
            <w:pPr>
              <w:pStyle w:val="TableParagraph"/>
              <w:spacing w:before="7"/>
              <w:rPr>
                <w:sz w:val="44"/>
              </w:rPr>
            </w:pPr>
          </w:p>
          <w:p>
            <w:pPr>
              <w:pStyle w:val="TableParagraph"/>
              <w:ind w:left="689" w:right="620"/>
              <w:jc w:val="center"/>
              <w:rPr>
                <w:sz w:val="31"/>
              </w:rPr>
            </w:pPr>
            <w:r>
              <w:rPr>
                <w:color w:val="0D0D0D"/>
                <w:sz w:val="31"/>
              </w:rPr>
              <w:t>50</w:t>
            </w:r>
          </w:p>
        </w:tc>
        <w:tc>
          <w:tcPr>
            <w:tcW w:w="4349" w:type="dxa"/>
          </w:tcPr>
          <w:p>
            <w:pPr>
              <w:pStyle w:val="TableParagraph"/>
              <w:spacing w:line="359" w:lineRule="exact"/>
              <w:ind w:left="637"/>
              <w:rPr>
                <w:sz w:val="31"/>
              </w:rPr>
            </w:pPr>
            <w:r>
              <w:rPr>
                <w:color w:val="0D0D0D"/>
                <w:sz w:val="31"/>
              </w:rPr>
              <w:t>负债及所有者权益</w:t>
            </w:r>
          </w:p>
          <w:p>
            <w:pPr>
              <w:pStyle w:val="TableParagraph"/>
              <w:spacing w:before="212"/>
              <w:ind w:left="951"/>
              <w:rPr>
                <w:sz w:val="31"/>
              </w:rPr>
            </w:pPr>
            <w:r>
              <w:rPr>
                <w:color w:val="0D0D0D"/>
                <w:sz w:val="31"/>
              </w:rPr>
              <w:t>应付账款</w:t>
            </w:r>
          </w:p>
        </w:tc>
        <w:tc>
          <w:tcPr>
            <w:tcW w:w="914" w:type="dxa"/>
          </w:tcPr>
          <w:p>
            <w:pPr>
              <w:pStyle w:val="TableParagraph"/>
              <w:spacing w:before="7"/>
              <w:rPr>
                <w:sz w:val="44"/>
              </w:rPr>
            </w:pPr>
          </w:p>
          <w:p>
            <w:pPr>
              <w:pStyle w:val="TableParagraph"/>
              <w:ind w:right="50"/>
              <w:jc w:val="right"/>
              <w:rPr>
                <w:sz w:val="31"/>
              </w:rPr>
            </w:pPr>
            <w:r>
              <w:rPr>
                <w:color w:val="0D0D0D"/>
                <w:sz w:val="31"/>
              </w:rPr>
              <w:t>100</w:t>
            </w:r>
          </w:p>
        </w:tc>
      </w:tr>
      <w:tr>
        <w:tblPrEx>
          <w:tblW w:w="0" w:type="auto"/>
          <w:jc w:val="left"/>
          <w:tblInd w:w="5250" w:type="dxa"/>
          <w:tblLayout w:type="fixed"/>
          <w:tblCellMar>
            <w:top w:w="0" w:type="dxa"/>
            <w:left w:w="0" w:type="dxa"/>
            <w:bottom w:w="0" w:type="dxa"/>
            <w:right w:w="0" w:type="dxa"/>
          </w:tblCellMar>
          <w:tblLook w:val="01E0"/>
        </w:tblPrEx>
        <w:trPr>
          <w:trHeight w:val="1220"/>
          <w:jc w:val="left"/>
        </w:trPr>
        <w:tc>
          <w:tcPr>
            <w:tcW w:w="2340" w:type="dxa"/>
          </w:tcPr>
          <w:p>
            <w:pPr>
              <w:pStyle w:val="TableParagraph"/>
              <w:spacing w:before="110"/>
              <w:ind w:left="366"/>
              <w:rPr>
                <w:sz w:val="31"/>
              </w:rPr>
            </w:pPr>
            <w:r>
              <w:rPr>
                <w:color w:val="0D0D0D"/>
                <w:sz w:val="31"/>
              </w:rPr>
              <w:t>应收账款</w:t>
            </w:r>
          </w:p>
          <w:p>
            <w:pPr>
              <w:pStyle w:val="TableParagraph"/>
              <w:spacing w:before="211"/>
              <w:ind w:left="366"/>
              <w:rPr>
                <w:sz w:val="31"/>
              </w:rPr>
            </w:pPr>
            <w:r>
              <w:rPr>
                <w:color w:val="0D0D0D"/>
                <w:sz w:val="31"/>
              </w:rPr>
              <w:t>存货</w:t>
            </w:r>
          </w:p>
        </w:tc>
        <w:tc>
          <w:tcPr>
            <w:tcW w:w="1660" w:type="dxa"/>
          </w:tcPr>
          <w:p>
            <w:pPr>
              <w:pStyle w:val="TableParagraph"/>
              <w:rPr>
                <w:rFonts w:ascii="Times New Roman"/>
                <w:sz w:val="30"/>
              </w:rPr>
            </w:pPr>
          </w:p>
        </w:tc>
        <w:tc>
          <w:tcPr>
            <w:tcW w:w="4349" w:type="dxa"/>
          </w:tcPr>
          <w:p>
            <w:pPr>
              <w:pStyle w:val="TableParagraph"/>
              <w:spacing w:before="110"/>
              <w:ind w:left="951"/>
              <w:rPr>
                <w:sz w:val="31"/>
              </w:rPr>
            </w:pPr>
            <w:r>
              <w:rPr>
                <w:color w:val="0D0D0D"/>
                <w:sz w:val="31"/>
              </w:rPr>
              <w:t>长期负债</w:t>
            </w:r>
          </w:p>
          <w:p>
            <w:pPr>
              <w:pStyle w:val="TableParagraph"/>
              <w:spacing w:before="211"/>
              <w:ind w:left="796"/>
              <w:rPr>
                <w:sz w:val="31"/>
              </w:rPr>
            </w:pPr>
            <w:r>
              <w:rPr>
                <w:color w:val="0D0D0D"/>
                <w:sz w:val="31"/>
              </w:rPr>
              <w:t>实收资本</w:t>
            </w:r>
          </w:p>
        </w:tc>
        <w:tc>
          <w:tcPr>
            <w:tcW w:w="914" w:type="dxa"/>
          </w:tcPr>
          <w:p>
            <w:pPr>
              <w:pStyle w:val="TableParagraph"/>
              <w:rPr>
                <w:sz w:val="32"/>
              </w:rPr>
            </w:pPr>
          </w:p>
          <w:p>
            <w:pPr>
              <w:pStyle w:val="TableParagraph"/>
              <w:rPr>
                <w:sz w:val="24"/>
              </w:rPr>
            </w:pPr>
          </w:p>
          <w:p>
            <w:pPr>
              <w:pStyle w:val="TableParagraph"/>
              <w:ind w:right="46"/>
              <w:jc w:val="right"/>
              <w:rPr>
                <w:sz w:val="31"/>
              </w:rPr>
            </w:pPr>
            <w:r>
              <w:rPr>
                <w:color w:val="0D0D0D"/>
                <w:sz w:val="31"/>
              </w:rPr>
              <w:t>100</w:t>
            </w:r>
          </w:p>
        </w:tc>
      </w:tr>
      <w:tr>
        <w:tblPrEx>
          <w:tblW w:w="0" w:type="auto"/>
          <w:jc w:val="left"/>
          <w:tblInd w:w="5250" w:type="dxa"/>
          <w:tblLayout w:type="fixed"/>
          <w:tblCellMar>
            <w:top w:w="0" w:type="dxa"/>
            <w:left w:w="0" w:type="dxa"/>
            <w:bottom w:w="0" w:type="dxa"/>
            <w:right w:w="0" w:type="dxa"/>
          </w:tblCellMar>
          <w:tblLook w:val="01E0"/>
        </w:tblPrEx>
        <w:trPr>
          <w:trHeight w:val="611"/>
          <w:jc w:val="left"/>
        </w:trPr>
        <w:tc>
          <w:tcPr>
            <w:tcW w:w="2340" w:type="dxa"/>
          </w:tcPr>
          <w:p>
            <w:pPr>
              <w:pStyle w:val="TableParagraph"/>
              <w:spacing w:before="110"/>
              <w:ind w:left="366"/>
              <w:rPr>
                <w:sz w:val="31"/>
              </w:rPr>
            </w:pPr>
            <w:r>
              <w:rPr>
                <w:color w:val="0D0D0D"/>
                <w:sz w:val="31"/>
              </w:rPr>
              <w:t>固定资产</w:t>
            </w:r>
          </w:p>
        </w:tc>
        <w:tc>
          <w:tcPr>
            <w:tcW w:w="1660" w:type="dxa"/>
          </w:tcPr>
          <w:p>
            <w:pPr>
              <w:pStyle w:val="TableParagraph"/>
              <w:rPr>
                <w:rFonts w:ascii="Times New Roman"/>
                <w:sz w:val="30"/>
              </w:rPr>
            </w:pPr>
          </w:p>
        </w:tc>
        <w:tc>
          <w:tcPr>
            <w:tcW w:w="4349" w:type="dxa"/>
          </w:tcPr>
          <w:p>
            <w:pPr>
              <w:pStyle w:val="TableParagraph"/>
              <w:spacing w:before="110"/>
              <w:ind w:left="796"/>
              <w:rPr>
                <w:sz w:val="31"/>
              </w:rPr>
            </w:pPr>
            <w:r>
              <w:rPr>
                <w:color w:val="0D0D0D"/>
                <w:sz w:val="31"/>
              </w:rPr>
              <w:t>留存收益</w:t>
            </w:r>
          </w:p>
        </w:tc>
        <w:tc>
          <w:tcPr>
            <w:tcW w:w="914" w:type="dxa"/>
          </w:tcPr>
          <w:p>
            <w:pPr>
              <w:pStyle w:val="TableParagraph"/>
              <w:spacing w:before="110"/>
              <w:ind w:right="46"/>
              <w:jc w:val="right"/>
              <w:rPr>
                <w:sz w:val="31"/>
              </w:rPr>
            </w:pPr>
            <w:r>
              <w:rPr>
                <w:color w:val="0D0D0D"/>
                <w:sz w:val="31"/>
              </w:rPr>
              <w:t>100</w:t>
            </w:r>
          </w:p>
        </w:tc>
      </w:tr>
      <w:tr>
        <w:tblPrEx>
          <w:tblW w:w="0" w:type="auto"/>
          <w:jc w:val="left"/>
          <w:tblInd w:w="5250" w:type="dxa"/>
          <w:tblLayout w:type="fixed"/>
          <w:tblCellMar>
            <w:top w:w="0" w:type="dxa"/>
            <w:left w:w="0" w:type="dxa"/>
            <w:bottom w:w="0" w:type="dxa"/>
            <w:right w:w="0" w:type="dxa"/>
          </w:tblCellMar>
          <w:tblLook w:val="01E0"/>
        </w:tblPrEx>
        <w:trPr>
          <w:trHeight w:val="464"/>
          <w:jc w:val="left"/>
        </w:trPr>
        <w:tc>
          <w:tcPr>
            <w:tcW w:w="2340" w:type="dxa"/>
          </w:tcPr>
          <w:p>
            <w:pPr>
              <w:pStyle w:val="TableParagraph"/>
              <w:spacing w:before="110" w:line="335" w:lineRule="exact"/>
              <w:ind w:left="366"/>
              <w:rPr>
                <w:sz w:val="31"/>
              </w:rPr>
            </w:pPr>
            <w:r>
              <w:rPr>
                <w:color w:val="0D0D0D"/>
                <w:sz w:val="31"/>
              </w:rPr>
              <w:t>资产合计</w:t>
            </w:r>
          </w:p>
        </w:tc>
        <w:tc>
          <w:tcPr>
            <w:tcW w:w="1660" w:type="dxa"/>
          </w:tcPr>
          <w:p>
            <w:pPr>
              <w:pStyle w:val="TableParagraph"/>
              <w:rPr>
                <w:rFonts w:ascii="Times New Roman"/>
                <w:sz w:val="30"/>
              </w:rPr>
            </w:pPr>
          </w:p>
        </w:tc>
        <w:tc>
          <w:tcPr>
            <w:tcW w:w="4349" w:type="dxa"/>
          </w:tcPr>
          <w:p>
            <w:pPr>
              <w:pStyle w:val="TableParagraph"/>
              <w:spacing w:before="110" w:line="335" w:lineRule="exact"/>
              <w:ind w:left="796"/>
              <w:rPr>
                <w:sz w:val="31"/>
              </w:rPr>
            </w:pPr>
            <w:r>
              <w:rPr>
                <w:color w:val="0D0D0D"/>
                <w:sz w:val="31"/>
              </w:rPr>
              <w:t>负债及所有者权益合计</w:t>
            </w:r>
          </w:p>
        </w:tc>
        <w:tc>
          <w:tcPr>
            <w:tcW w:w="914" w:type="dxa"/>
          </w:tcPr>
          <w:p>
            <w:pPr>
              <w:pStyle w:val="TableParagraph"/>
              <w:rPr>
                <w:rFonts w:ascii="Times New Roman"/>
                <w:sz w:val="30"/>
              </w:rPr>
            </w:pPr>
          </w:p>
        </w:tc>
      </w:tr>
    </w:tbl>
    <w:p>
      <w:pPr>
        <w:pStyle w:val="BodyText"/>
        <w:ind w:left="0"/>
        <w:rPr>
          <w:sz w:val="20"/>
        </w:rPr>
      </w:pPr>
    </w:p>
    <w:p>
      <w:pPr>
        <w:pStyle w:val="BodyText"/>
        <w:spacing w:before="4"/>
        <w:ind w:left="0"/>
        <w:rPr>
          <w:sz w:val="14"/>
        </w:rPr>
      </w:pPr>
    </w:p>
    <w:p>
      <w:pPr>
        <w:pStyle w:val="BodyText"/>
        <w:spacing w:before="62"/>
        <w:ind w:left="3237"/>
      </w:pPr>
      <w:r>
        <w:drawing>
          <wp:anchor distT="0" distB="0" distL="0" distR="0" simplePos="0" relativeHeight="251662336" behindDoc="1" locked="0" layoutInCell="1" allowOverlap="1">
            <wp:simplePos x="0" y="0"/>
            <wp:positionH relativeFrom="page">
              <wp:posOffset>3241675</wp:posOffset>
            </wp:positionH>
            <wp:positionV relativeFrom="paragraph">
              <wp:posOffset>-2590673</wp:posOffset>
            </wp:positionV>
            <wp:extent cx="6372045" cy="2356294"/>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53" cstate="print"/>
                    <a:stretch>
                      <a:fillRect/>
                    </a:stretch>
                  </pic:blipFill>
                  <pic:spPr>
                    <a:xfrm>
                      <a:off x="0" y="0"/>
                      <a:ext cx="6372045" cy="2356294"/>
                    </a:xfrm>
                    <a:prstGeom prst="rect">
                      <a:avLst/>
                    </a:prstGeom>
                  </pic:spPr>
                </pic:pic>
              </a:graphicData>
            </a:graphic>
          </wp:anchor>
        </w:drawing>
      </w:r>
      <w:r>
        <w:rPr>
          <w:color w:val="0D0D0D"/>
        </w:rPr>
        <w:t>其他有关财务指标如下：</w:t>
      </w:r>
    </w:p>
    <w:p>
      <w:pPr>
        <w:pStyle w:val="ListParagraph"/>
        <w:numPr>
          <w:ilvl w:val="1"/>
          <w:numId w:val="36"/>
        </w:numPr>
        <w:tabs>
          <w:tab w:val="left" w:pos="4034"/>
        </w:tabs>
        <w:spacing w:before="14" w:after="0" w:line="240" w:lineRule="auto"/>
        <w:ind w:left="4033" w:right="0" w:hanging="794"/>
        <w:jc w:val="left"/>
        <w:rPr>
          <w:sz w:val="31"/>
        </w:rPr>
      </w:pPr>
      <w:r>
        <w:rPr>
          <w:color w:val="0D0D0D"/>
          <w:spacing w:val="-1"/>
          <w:sz w:val="31"/>
        </w:rPr>
        <w:t>长期负债与所有者权益之比为：</w:t>
      </w:r>
      <w:r>
        <w:rPr>
          <w:color w:val="0D0D0D"/>
          <w:spacing w:val="-7"/>
          <w:sz w:val="31"/>
        </w:rPr>
        <w:t>0.5</w:t>
      </w:r>
    </w:p>
    <w:p>
      <w:pPr>
        <w:pStyle w:val="ListParagraph"/>
        <w:numPr>
          <w:ilvl w:val="1"/>
          <w:numId w:val="36"/>
        </w:numPr>
        <w:tabs>
          <w:tab w:val="left" w:pos="4034"/>
        </w:tabs>
        <w:spacing w:before="9" w:after="0" w:line="240" w:lineRule="auto"/>
        <w:ind w:left="4033" w:right="0" w:hanging="794"/>
        <w:jc w:val="left"/>
        <w:rPr>
          <w:sz w:val="31"/>
        </w:rPr>
      </w:pPr>
      <w:r>
        <w:rPr>
          <w:color w:val="0D0D0D"/>
          <w:spacing w:val="-15"/>
          <w:sz w:val="31"/>
        </w:rPr>
        <w:t xml:space="preserve">销售毛利率 </w:t>
      </w:r>
      <w:r>
        <w:rPr>
          <w:color w:val="0D0D0D"/>
          <w:sz w:val="31"/>
        </w:rPr>
        <w:t>10%</w:t>
      </w:r>
    </w:p>
    <w:p>
      <w:pPr>
        <w:spacing w:after="0" w:line="240" w:lineRule="auto"/>
        <w:jc w:val="left"/>
        <w:rPr>
          <w:sz w:val="31"/>
        </w:rPr>
        <w:sectPr>
          <w:headerReference w:type="default" r:id="rId54"/>
          <w:footerReference w:type="default" r:id="rId55"/>
          <w:pgSz w:w="17860" w:h="25260"/>
          <w:pgMar w:top="1720" w:right="0" w:bottom="1940" w:left="0" w:header="1129" w:footer="1732"/>
          <w:pgNumType w:start="9"/>
          <w:cols w:space="708"/>
        </w:sectPr>
      </w:pPr>
    </w:p>
    <w:p>
      <w:pPr>
        <w:pStyle w:val="BodyText"/>
        <w:spacing w:before="3"/>
        <w:ind w:left="0"/>
        <w:rPr>
          <w:sz w:val="8"/>
        </w:rPr>
      </w:pPr>
    </w:p>
    <w:p>
      <w:pPr>
        <w:pStyle w:val="ListParagraph"/>
        <w:numPr>
          <w:ilvl w:val="1"/>
          <w:numId w:val="34"/>
        </w:numPr>
        <w:tabs>
          <w:tab w:val="left" w:pos="4034"/>
        </w:tabs>
        <w:spacing w:before="63" w:after="0" w:line="240" w:lineRule="auto"/>
        <w:ind w:left="4033" w:right="0" w:hanging="794"/>
        <w:jc w:val="left"/>
        <w:rPr>
          <w:sz w:val="31"/>
        </w:rPr>
      </w:pPr>
      <w:r>
        <w:rPr>
          <w:color w:val="0D0D0D"/>
          <w:sz w:val="31"/>
        </w:rPr>
        <w:t>存货周转率（存货按年末数计算）</w:t>
      </w:r>
      <w:r>
        <w:rPr>
          <w:color w:val="0D0D0D"/>
          <w:spacing w:val="-8"/>
          <w:sz w:val="31"/>
        </w:rPr>
        <w:t>为：</w:t>
      </w:r>
      <w:r>
        <w:rPr>
          <w:color w:val="0D0D0D"/>
          <w:spacing w:val="-16"/>
          <w:sz w:val="31"/>
        </w:rPr>
        <w:t>9</w:t>
      </w:r>
      <w:r>
        <w:rPr>
          <w:color w:val="0D0D0D"/>
          <w:spacing w:val="-39"/>
          <w:sz w:val="31"/>
        </w:rPr>
        <w:t xml:space="preserve"> 次</w:t>
      </w:r>
    </w:p>
    <w:p>
      <w:pPr>
        <w:pStyle w:val="ListParagraph"/>
        <w:numPr>
          <w:ilvl w:val="1"/>
          <w:numId w:val="34"/>
        </w:numPr>
        <w:tabs>
          <w:tab w:val="left" w:pos="4034"/>
        </w:tabs>
        <w:spacing w:before="10" w:after="0" w:line="240" w:lineRule="auto"/>
        <w:ind w:left="4033" w:right="0" w:hanging="794"/>
        <w:jc w:val="left"/>
        <w:rPr>
          <w:sz w:val="31"/>
        </w:rPr>
      </w:pPr>
      <w:r>
        <w:rPr>
          <w:color w:val="0D0D0D"/>
          <w:sz w:val="31"/>
        </w:rPr>
        <w:t>平均收现期（</w:t>
      </w:r>
      <w:r>
        <w:rPr>
          <w:color w:val="0D0D0D"/>
          <w:spacing w:val="2"/>
          <w:sz w:val="31"/>
        </w:rPr>
        <w:t>应收账款按年末数计算，一年按</w:t>
      </w:r>
      <w:r>
        <w:rPr>
          <w:color w:val="0D0D0D"/>
          <w:sz w:val="31"/>
        </w:rPr>
        <w:t>360</w:t>
      </w:r>
      <w:r>
        <w:rPr>
          <w:color w:val="0D0D0D"/>
          <w:spacing w:val="-19"/>
          <w:sz w:val="31"/>
        </w:rPr>
        <w:t xml:space="preserve"> 天计算</w:t>
      </w:r>
      <w:r>
        <w:rPr>
          <w:color w:val="0D0D0D"/>
          <w:sz w:val="31"/>
        </w:rPr>
        <w:t>）</w:t>
      </w:r>
      <w:r>
        <w:rPr>
          <w:color w:val="0D0D0D"/>
          <w:spacing w:val="-2"/>
          <w:sz w:val="31"/>
        </w:rPr>
        <w:t>为：</w:t>
      </w:r>
      <w:r>
        <w:rPr>
          <w:color w:val="0D0D0D"/>
          <w:spacing w:val="-4"/>
          <w:sz w:val="31"/>
        </w:rPr>
        <w:t>18</w:t>
      </w:r>
      <w:r>
        <w:rPr>
          <w:color w:val="0D0D0D"/>
          <w:spacing w:val="-38"/>
          <w:sz w:val="31"/>
        </w:rPr>
        <w:t xml:space="preserve"> 天</w:t>
      </w:r>
    </w:p>
    <w:p>
      <w:pPr>
        <w:pStyle w:val="ListParagraph"/>
        <w:numPr>
          <w:ilvl w:val="1"/>
          <w:numId w:val="34"/>
        </w:numPr>
        <w:tabs>
          <w:tab w:val="left" w:pos="4034"/>
        </w:tabs>
        <w:spacing w:before="13" w:after="0" w:line="240" w:lineRule="auto"/>
        <w:ind w:left="4033" w:right="0" w:hanging="794"/>
        <w:jc w:val="left"/>
        <w:rPr>
          <w:sz w:val="31"/>
        </w:rPr>
      </w:pPr>
      <w:r>
        <w:rPr>
          <w:color w:val="0D0D0D"/>
          <w:sz w:val="31"/>
        </w:rPr>
        <w:t>总资产周转率（总资产按年末数计算）</w:t>
      </w:r>
      <w:r>
        <w:rPr>
          <w:color w:val="0D0D0D"/>
          <w:spacing w:val="-5"/>
          <w:sz w:val="31"/>
        </w:rPr>
        <w:t>为：</w:t>
      </w:r>
      <w:r>
        <w:rPr>
          <w:color w:val="0D0D0D"/>
          <w:spacing w:val="-9"/>
          <w:sz w:val="31"/>
        </w:rPr>
        <w:t>2.5</w:t>
      </w:r>
      <w:r>
        <w:rPr>
          <w:color w:val="0D0D0D"/>
          <w:spacing w:val="-40"/>
          <w:sz w:val="31"/>
        </w:rPr>
        <w:t xml:space="preserve"> 次</w:t>
      </w:r>
    </w:p>
    <w:p>
      <w:pPr>
        <w:pStyle w:val="BodyText"/>
        <w:spacing w:before="10" w:line="247" w:lineRule="auto"/>
        <w:ind w:left="3240" w:right="2578"/>
      </w:pPr>
      <w:r>
        <w:rPr>
          <w:color w:val="0D0D0D"/>
        </w:rPr>
        <w:t>要求：利用上述资料，在答题卷填充该公司资产负债表的空白部分，并列示所填数据的计算过程。</w:t>
      </w:r>
    </w:p>
    <w:p>
      <w:pPr>
        <w:pStyle w:val="BodyText"/>
        <w:spacing w:line="396" w:lineRule="exact"/>
        <w:ind w:left="3319"/>
      </w:pPr>
      <w:r>
        <w:drawing>
          <wp:anchor distT="0" distB="0" distL="0" distR="0" simplePos="0" relativeHeight="251663360" behindDoc="1" locked="0" layoutInCell="1" allowOverlap="1">
            <wp:simplePos x="0" y="0"/>
            <wp:positionH relativeFrom="page">
              <wp:posOffset>3073400</wp:posOffset>
            </wp:positionH>
            <wp:positionV relativeFrom="paragraph">
              <wp:posOffset>230247</wp:posOffset>
            </wp:positionV>
            <wp:extent cx="6553200" cy="23495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56" cstate="print"/>
                    <a:stretch>
                      <a:fillRect/>
                    </a:stretch>
                  </pic:blipFill>
                  <pic:spPr>
                    <a:xfrm>
                      <a:off x="0" y="0"/>
                      <a:ext cx="6553200" cy="2349500"/>
                    </a:xfrm>
                    <a:prstGeom prst="rect">
                      <a:avLst/>
                    </a:prstGeom>
                  </pic:spPr>
                </pic:pic>
              </a:graphicData>
            </a:graphic>
          </wp:anchor>
        </w:drawing>
      </w:r>
      <w:r>
        <w:rPr>
          <w:color w:val="0D0D0D"/>
        </w:rPr>
        <w:t>答案：</w:t>
      </w:r>
    </w:p>
    <w:p>
      <w:pPr>
        <w:pStyle w:val="BodyText"/>
        <w:spacing w:before="8"/>
        <w:ind w:left="0"/>
        <w:rPr>
          <w:sz w:val="7"/>
        </w:rPr>
      </w:pPr>
    </w:p>
    <w:tbl>
      <w:tblPr>
        <w:tblStyle w:val="TableNormal1"/>
        <w:tblW w:w="0" w:type="auto"/>
        <w:jc w:val="left"/>
        <w:tblInd w:w="54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91"/>
        <w:gridCol w:w="943"/>
        <w:gridCol w:w="1348"/>
        <w:gridCol w:w="4369"/>
        <w:gridCol w:w="736"/>
      </w:tblGrid>
      <w:tr>
        <w:tblPrEx>
          <w:tblW w:w="0" w:type="auto"/>
          <w:jc w:val="left"/>
          <w:tblInd w:w="54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74"/>
          <w:jc w:val="left"/>
        </w:trPr>
        <w:tc>
          <w:tcPr>
            <w:tcW w:w="1391" w:type="dxa"/>
          </w:tcPr>
          <w:p>
            <w:pPr>
              <w:pStyle w:val="TableParagraph"/>
              <w:spacing w:before="10"/>
              <w:rPr>
                <w:sz w:val="44"/>
              </w:rPr>
            </w:pPr>
          </w:p>
          <w:p>
            <w:pPr>
              <w:pStyle w:val="TableParagraph"/>
              <w:ind w:left="50"/>
              <w:rPr>
                <w:sz w:val="31"/>
              </w:rPr>
            </w:pPr>
            <w:r>
              <w:rPr>
                <w:color w:val="0D0D0D"/>
                <w:sz w:val="31"/>
              </w:rPr>
              <w:t>货币资金</w:t>
            </w:r>
          </w:p>
        </w:tc>
        <w:tc>
          <w:tcPr>
            <w:tcW w:w="943" w:type="dxa"/>
          </w:tcPr>
          <w:p>
            <w:pPr>
              <w:pStyle w:val="TableParagraph"/>
              <w:spacing w:line="359" w:lineRule="exact"/>
              <w:ind w:left="74"/>
              <w:rPr>
                <w:sz w:val="31"/>
              </w:rPr>
            </w:pPr>
            <w:r>
              <w:rPr>
                <w:color w:val="0D0D0D"/>
                <w:sz w:val="31"/>
              </w:rPr>
              <w:t>资产</w:t>
            </w:r>
          </w:p>
        </w:tc>
        <w:tc>
          <w:tcPr>
            <w:tcW w:w="1348" w:type="dxa"/>
          </w:tcPr>
          <w:p>
            <w:pPr>
              <w:pStyle w:val="TableParagraph"/>
              <w:spacing w:before="10"/>
              <w:rPr>
                <w:sz w:val="44"/>
              </w:rPr>
            </w:pPr>
          </w:p>
          <w:p>
            <w:pPr>
              <w:pStyle w:val="TableParagraph"/>
              <w:ind w:right="635"/>
              <w:jc w:val="right"/>
              <w:rPr>
                <w:sz w:val="31"/>
              </w:rPr>
            </w:pPr>
            <w:r>
              <w:rPr>
                <w:color w:val="0D0D0D"/>
                <w:sz w:val="31"/>
              </w:rPr>
              <w:t>50</w:t>
            </w:r>
          </w:p>
        </w:tc>
        <w:tc>
          <w:tcPr>
            <w:tcW w:w="4369" w:type="dxa"/>
          </w:tcPr>
          <w:p>
            <w:pPr>
              <w:pStyle w:val="TableParagraph"/>
              <w:spacing w:line="359" w:lineRule="exact"/>
              <w:ind w:left="1632"/>
              <w:rPr>
                <w:sz w:val="31"/>
              </w:rPr>
            </w:pPr>
            <w:r>
              <w:rPr>
                <w:color w:val="0D0D0D"/>
                <w:sz w:val="31"/>
              </w:rPr>
              <w:t>负债及所有者权益</w:t>
            </w:r>
          </w:p>
          <w:p>
            <w:pPr>
              <w:pStyle w:val="TableParagraph"/>
              <w:spacing w:before="215"/>
              <w:ind w:left="793"/>
              <w:rPr>
                <w:sz w:val="31"/>
              </w:rPr>
            </w:pPr>
            <w:r>
              <w:rPr>
                <w:color w:val="0D0D0D"/>
                <w:sz w:val="31"/>
              </w:rPr>
              <w:t>应付账款</w:t>
            </w:r>
          </w:p>
        </w:tc>
        <w:tc>
          <w:tcPr>
            <w:tcW w:w="736" w:type="dxa"/>
          </w:tcPr>
          <w:p>
            <w:pPr>
              <w:pStyle w:val="TableParagraph"/>
              <w:spacing w:before="10"/>
              <w:rPr>
                <w:sz w:val="44"/>
              </w:rPr>
            </w:pPr>
          </w:p>
          <w:p>
            <w:pPr>
              <w:pStyle w:val="TableParagraph"/>
              <w:ind w:right="49"/>
              <w:jc w:val="right"/>
              <w:rPr>
                <w:sz w:val="31"/>
              </w:rPr>
            </w:pPr>
            <w:r>
              <w:rPr>
                <w:color w:val="0D0D0D"/>
                <w:sz w:val="31"/>
              </w:rPr>
              <w:t>100</w:t>
            </w:r>
          </w:p>
        </w:tc>
      </w:tr>
      <w:tr>
        <w:tblPrEx>
          <w:tblW w:w="0" w:type="auto"/>
          <w:jc w:val="left"/>
          <w:tblInd w:w="5455" w:type="dxa"/>
          <w:tblLayout w:type="fixed"/>
          <w:tblCellMar>
            <w:top w:w="0" w:type="dxa"/>
            <w:left w:w="0" w:type="dxa"/>
            <w:bottom w:w="0" w:type="dxa"/>
            <w:right w:w="0" w:type="dxa"/>
          </w:tblCellMar>
          <w:tblLook w:val="01E0"/>
        </w:tblPrEx>
        <w:trPr>
          <w:trHeight w:val="610"/>
          <w:jc w:val="left"/>
        </w:trPr>
        <w:tc>
          <w:tcPr>
            <w:tcW w:w="1391" w:type="dxa"/>
          </w:tcPr>
          <w:p>
            <w:pPr>
              <w:pStyle w:val="TableParagraph"/>
              <w:spacing w:before="108"/>
              <w:ind w:left="50"/>
              <w:rPr>
                <w:sz w:val="31"/>
              </w:rPr>
            </w:pPr>
            <w:r>
              <w:rPr>
                <w:color w:val="0D0D0D"/>
                <w:sz w:val="31"/>
              </w:rPr>
              <w:t>应收账款</w:t>
            </w:r>
          </w:p>
        </w:tc>
        <w:tc>
          <w:tcPr>
            <w:tcW w:w="943" w:type="dxa"/>
          </w:tcPr>
          <w:p>
            <w:pPr>
              <w:pStyle w:val="TableParagraph"/>
              <w:rPr>
                <w:rFonts w:ascii="Times New Roman"/>
                <w:sz w:val="30"/>
              </w:rPr>
            </w:pPr>
          </w:p>
        </w:tc>
        <w:tc>
          <w:tcPr>
            <w:tcW w:w="1348" w:type="dxa"/>
          </w:tcPr>
          <w:p>
            <w:pPr>
              <w:pStyle w:val="TableParagraph"/>
              <w:spacing w:before="108"/>
              <w:ind w:right="635"/>
              <w:jc w:val="right"/>
              <w:rPr>
                <w:sz w:val="31"/>
              </w:rPr>
            </w:pPr>
            <w:r>
              <w:rPr>
                <w:color w:val="0D0D0D"/>
                <w:sz w:val="31"/>
              </w:rPr>
              <w:t>50</w:t>
            </w:r>
          </w:p>
        </w:tc>
        <w:tc>
          <w:tcPr>
            <w:tcW w:w="4369" w:type="dxa"/>
          </w:tcPr>
          <w:p>
            <w:pPr>
              <w:pStyle w:val="TableParagraph"/>
              <w:spacing w:before="108"/>
              <w:ind w:left="793"/>
              <w:rPr>
                <w:sz w:val="31"/>
              </w:rPr>
            </w:pPr>
            <w:r>
              <w:rPr>
                <w:color w:val="0D0D0D"/>
                <w:sz w:val="31"/>
              </w:rPr>
              <w:t>长期负债</w:t>
            </w:r>
          </w:p>
        </w:tc>
        <w:tc>
          <w:tcPr>
            <w:tcW w:w="736" w:type="dxa"/>
          </w:tcPr>
          <w:p>
            <w:pPr>
              <w:pStyle w:val="TableParagraph"/>
              <w:spacing w:before="108"/>
              <w:ind w:right="54"/>
              <w:jc w:val="right"/>
              <w:rPr>
                <w:sz w:val="31"/>
              </w:rPr>
            </w:pPr>
            <w:r>
              <w:rPr>
                <w:color w:val="0D0D0D"/>
                <w:sz w:val="31"/>
              </w:rPr>
              <w:t>100</w:t>
            </w:r>
          </w:p>
        </w:tc>
      </w:tr>
      <w:tr>
        <w:tblPrEx>
          <w:tblW w:w="0" w:type="auto"/>
          <w:jc w:val="left"/>
          <w:tblInd w:w="5455" w:type="dxa"/>
          <w:tblLayout w:type="fixed"/>
          <w:tblCellMar>
            <w:top w:w="0" w:type="dxa"/>
            <w:left w:w="0" w:type="dxa"/>
            <w:bottom w:w="0" w:type="dxa"/>
            <w:right w:w="0" w:type="dxa"/>
          </w:tblCellMar>
          <w:tblLook w:val="01E0"/>
        </w:tblPrEx>
        <w:trPr>
          <w:trHeight w:val="610"/>
          <w:jc w:val="left"/>
        </w:trPr>
        <w:tc>
          <w:tcPr>
            <w:tcW w:w="1391" w:type="dxa"/>
          </w:tcPr>
          <w:p>
            <w:pPr>
              <w:pStyle w:val="TableParagraph"/>
              <w:spacing w:before="110"/>
              <w:ind w:left="50"/>
              <w:rPr>
                <w:sz w:val="31"/>
              </w:rPr>
            </w:pPr>
            <w:r>
              <w:rPr>
                <w:color w:val="0D0D0D"/>
                <w:sz w:val="31"/>
              </w:rPr>
              <w:t>存货</w:t>
            </w:r>
          </w:p>
        </w:tc>
        <w:tc>
          <w:tcPr>
            <w:tcW w:w="943" w:type="dxa"/>
          </w:tcPr>
          <w:p>
            <w:pPr>
              <w:pStyle w:val="TableParagraph"/>
              <w:rPr>
                <w:rFonts w:ascii="Times New Roman"/>
                <w:sz w:val="30"/>
              </w:rPr>
            </w:pPr>
          </w:p>
        </w:tc>
        <w:tc>
          <w:tcPr>
            <w:tcW w:w="1348" w:type="dxa"/>
          </w:tcPr>
          <w:p>
            <w:pPr>
              <w:pStyle w:val="TableParagraph"/>
              <w:spacing w:before="110"/>
              <w:ind w:right="635"/>
              <w:jc w:val="right"/>
              <w:rPr>
                <w:sz w:val="31"/>
              </w:rPr>
            </w:pPr>
            <w:r>
              <w:rPr>
                <w:color w:val="0D0D0D"/>
                <w:sz w:val="31"/>
              </w:rPr>
              <w:t>100</w:t>
            </w:r>
          </w:p>
        </w:tc>
        <w:tc>
          <w:tcPr>
            <w:tcW w:w="4369" w:type="dxa"/>
          </w:tcPr>
          <w:p>
            <w:pPr>
              <w:pStyle w:val="TableParagraph"/>
              <w:spacing w:before="110"/>
              <w:ind w:left="639"/>
              <w:rPr>
                <w:sz w:val="31"/>
              </w:rPr>
            </w:pPr>
            <w:r>
              <w:rPr>
                <w:color w:val="0D0D0D"/>
                <w:sz w:val="31"/>
              </w:rPr>
              <w:t>实收资本</w:t>
            </w:r>
          </w:p>
        </w:tc>
        <w:tc>
          <w:tcPr>
            <w:tcW w:w="736" w:type="dxa"/>
          </w:tcPr>
          <w:p>
            <w:pPr>
              <w:pStyle w:val="TableParagraph"/>
              <w:spacing w:before="110"/>
              <w:ind w:right="45"/>
              <w:jc w:val="right"/>
              <w:rPr>
                <w:sz w:val="31"/>
              </w:rPr>
            </w:pPr>
            <w:r>
              <w:rPr>
                <w:color w:val="0D0D0D"/>
                <w:sz w:val="31"/>
              </w:rPr>
              <w:t>100</w:t>
            </w:r>
          </w:p>
        </w:tc>
      </w:tr>
      <w:tr>
        <w:tblPrEx>
          <w:tblW w:w="0" w:type="auto"/>
          <w:jc w:val="left"/>
          <w:tblInd w:w="5455" w:type="dxa"/>
          <w:tblLayout w:type="fixed"/>
          <w:tblCellMar>
            <w:top w:w="0" w:type="dxa"/>
            <w:left w:w="0" w:type="dxa"/>
            <w:bottom w:w="0" w:type="dxa"/>
            <w:right w:w="0" w:type="dxa"/>
          </w:tblCellMar>
          <w:tblLook w:val="01E0"/>
        </w:tblPrEx>
        <w:trPr>
          <w:trHeight w:val="610"/>
          <w:jc w:val="left"/>
        </w:trPr>
        <w:tc>
          <w:tcPr>
            <w:tcW w:w="1391" w:type="dxa"/>
          </w:tcPr>
          <w:p>
            <w:pPr>
              <w:pStyle w:val="TableParagraph"/>
              <w:spacing w:before="108"/>
              <w:ind w:left="50"/>
              <w:rPr>
                <w:sz w:val="31"/>
              </w:rPr>
            </w:pPr>
            <w:r>
              <w:rPr>
                <w:color w:val="0D0D0D"/>
                <w:sz w:val="31"/>
              </w:rPr>
              <w:t>固定资产</w:t>
            </w:r>
          </w:p>
        </w:tc>
        <w:tc>
          <w:tcPr>
            <w:tcW w:w="943" w:type="dxa"/>
          </w:tcPr>
          <w:p>
            <w:pPr>
              <w:pStyle w:val="TableParagraph"/>
              <w:rPr>
                <w:rFonts w:ascii="Times New Roman"/>
                <w:sz w:val="30"/>
              </w:rPr>
            </w:pPr>
          </w:p>
        </w:tc>
        <w:tc>
          <w:tcPr>
            <w:tcW w:w="1348" w:type="dxa"/>
          </w:tcPr>
          <w:p>
            <w:pPr>
              <w:pStyle w:val="TableParagraph"/>
              <w:spacing w:before="108"/>
              <w:ind w:right="635"/>
              <w:jc w:val="right"/>
              <w:rPr>
                <w:sz w:val="31"/>
              </w:rPr>
            </w:pPr>
            <w:r>
              <w:rPr>
                <w:color w:val="0D0D0D"/>
                <w:sz w:val="31"/>
              </w:rPr>
              <w:t>200</w:t>
            </w:r>
          </w:p>
        </w:tc>
        <w:tc>
          <w:tcPr>
            <w:tcW w:w="4369" w:type="dxa"/>
          </w:tcPr>
          <w:p>
            <w:pPr>
              <w:pStyle w:val="TableParagraph"/>
              <w:spacing w:before="108"/>
              <w:ind w:left="639"/>
              <w:rPr>
                <w:sz w:val="31"/>
              </w:rPr>
            </w:pPr>
            <w:r>
              <w:rPr>
                <w:color w:val="0D0D0D"/>
                <w:sz w:val="31"/>
              </w:rPr>
              <w:t>留存收益</w:t>
            </w:r>
          </w:p>
        </w:tc>
        <w:tc>
          <w:tcPr>
            <w:tcW w:w="736" w:type="dxa"/>
          </w:tcPr>
          <w:p>
            <w:pPr>
              <w:pStyle w:val="TableParagraph"/>
              <w:spacing w:before="108"/>
              <w:ind w:right="45"/>
              <w:jc w:val="right"/>
              <w:rPr>
                <w:sz w:val="31"/>
              </w:rPr>
            </w:pPr>
            <w:r>
              <w:rPr>
                <w:color w:val="0D0D0D"/>
                <w:sz w:val="31"/>
              </w:rPr>
              <w:t>100</w:t>
            </w:r>
          </w:p>
        </w:tc>
      </w:tr>
      <w:tr>
        <w:tblPrEx>
          <w:tblW w:w="0" w:type="auto"/>
          <w:jc w:val="left"/>
          <w:tblInd w:w="5455" w:type="dxa"/>
          <w:tblLayout w:type="fixed"/>
          <w:tblCellMar>
            <w:top w:w="0" w:type="dxa"/>
            <w:left w:w="0" w:type="dxa"/>
            <w:bottom w:w="0" w:type="dxa"/>
            <w:right w:w="0" w:type="dxa"/>
          </w:tblCellMar>
          <w:tblLook w:val="01E0"/>
        </w:tblPrEx>
        <w:trPr>
          <w:trHeight w:val="464"/>
          <w:jc w:val="left"/>
        </w:trPr>
        <w:tc>
          <w:tcPr>
            <w:tcW w:w="1391" w:type="dxa"/>
          </w:tcPr>
          <w:p>
            <w:pPr>
              <w:pStyle w:val="TableParagraph"/>
              <w:spacing w:before="110" w:line="335" w:lineRule="exact"/>
              <w:ind w:left="50"/>
              <w:rPr>
                <w:sz w:val="31"/>
              </w:rPr>
            </w:pPr>
            <w:r>
              <w:rPr>
                <w:color w:val="0D0D0D"/>
                <w:sz w:val="31"/>
              </w:rPr>
              <w:t>资产合计</w:t>
            </w:r>
          </w:p>
        </w:tc>
        <w:tc>
          <w:tcPr>
            <w:tcW w:w="943" w:type="dxa"/>
          </w:tcPr>
          <w:p>
            <w:pPr>
              <w:pStyle w:val="TableParagraph"/>
              <w:rPr>
                <w:rFonts w:ascii="Times New Roman"/>
                <w:sz w:val="30"/>
              </w:rPr>
            </w:pPr>
          </w:p>
        </w:tc>
        <w:tc>
          <w:tcPr>
            <w:tcW w:w="1348" w:type="dxa"/>
          </w:tcPr>
          <w:p>
            <w:pPr>
              <w:pStyle w:val="TableParagraph"/>
              <w:spacing w:before="110" w:line="335" w:lineRule="exact"/>
              <w:ind w:right="635"/>
              <w:jc w:val="right"/>
              <w:rPr>
                <w:sz w:val="31"/>
              </w:rPr>
            </w:pPr>
            <w:r>
              <w:rPr>
                <w:color w:val="0D0D0D"/>
                <w:sz w:val="31"/>
              </w:rPr>
              <w:t>400</w:t>
            </w:r>
          </w:p>
        </w:tc>
        <w:tc>
          <w:tcPr>
            <w:tcW w:w="4369" w:type="dxa"/>
          </w:tcPr>
          <w:p>
            <w:pPr>
              <w:pStyle w:val="TableParagraph"/>
              <w:spacing w:before="110" w:line="335" w:lineRule="exact"/>
              <w:ind w:left="639"/>
              <w:rPr>
                <w:sz w:val="31"/>
              </w:rPr>
            </w:pPr>
            <w:r>
              <w:rPr>
                <w:color w:val="0D0D0D"/>
                <w:sz w:val="31"/>
              </w:rPr>
              <w:t>负债及所有者权益合计</w:t>
            </w:r>
          </w:p>
        </w:tc>
        <w:tc>
          <w:tcPr>
            <w:tcW w:w="736" w:type="dxa"/>
          </w:tcPr>
          <w:p>
            <w:pPr>
              <w:pStyle w:val="TableParagraph"/>
              <w:spacing w:before="110" w:line="335" w:lineRule="exact"/>
              <w:ind w:right="45"/>
              <w:jc w:val="right"/>
              <w:rPr>
                <w:sz w:val="31"/>
              </w:rPr>
            </w:pPr>
            <w:r>
              <w:rPr>
                <w:color w:val="0D0D0D"/>
                <w:sz w:val="31"/>
              </w:rPr>
              <w:t>400</w:t>
            </w:r>
          </w:p>
        </w:tc>
      </w:tr>
    </w:tbl>
    <w:p>
      <w:pPr>
        <w:pStyle w:val="BodyText"/>
        <w:ind w:left="0"/>
        <w:rPr>
          <w:sz w:val="32"/>
        </w:rPr>
      </w:pPr>
    </w:p>
    <w:p>
      <w:pPr>
        <w:pStyle w:val="BodyText"/>
        <w:spacing w:before="222"/>
        <w:ind w:left="3489"/>
      </w:pPr>
      <w:r>
        <w:rPr>
          <w:color w:val="0D0D0D"/>
          <w:spacing w:val="-34"/>
          <w:w w:val="102"/>
        </w:rPr>
        <w:t>计算过程：</w:t>
      </w:r>
      <w:r>
        <w:rPr>
          <w:color w:val="0D0D0D"/>
          <w:spacing w:val="-1"/>
          <w:w w:val="102"/>
        </w:rPr>
        <w:t>（</w:t>
      </w:r>
      <w:r>
        <w:rPr>
          <w:color w:val="0D0D0D"/>
          <w:w w:val="102"/>
        </w:rPr>
        <w:t>1）所有者权益</w:t>
      </w:r>
      <w:r>
        <w:rPr>
          <w:color w:val="0D0D0D"/>
          <w:spacing w:val="-10"/>
          <w:w w:val="102"/>
        </w:rPr>
        <w:t>＝</w:t>
      </w:r>
      <w:r>
        <w:rPr>
          <w:color w:val="0D0D0D"/>
          <w:w w:val="102"/>
        </w:rPr>
        <w:t>100+10</w:t>
      </w:r>
      <w:r>
        <w:rPr>
          <w:color w:val="0D0D0D"/>
          <w:spacing w:val="-8"/>
          <w:w w:val="102"/>
        </w:rPr>
        <w:t>0</w:t>
      </w:r>
      <w:r>
        <w:rPr>
          <w:color w:val="0D0D0D"/>
          <w:w w:val="102"/>
        </w:rPr>
        <w:t>＝20</w:t>
      </w:r>
      <w:r>
        <w:rPr>
          <w:color w:val="0D0D0D"/>
          <w:spacing w:val="-3"/>
          <w:w w:val="102"/>
        </w:rPr>
        <w:t>0</w:t>
      </w:r>
      <w:r>
        <w:rPr>
          <w:color w:val="0D0D0D"/>
          <w:w w:val="102"/>
        </w:rPr>
        <w:t>（万元）</w:t>
      </w:r>
    </w:p>
    <w:p>
      <w:pPr>
        <w:pStyle w:val="BodyText"/>
        <w:spacing w:before="9"/>
        <w:ind w:left="5696"/>
      </w:pPr>
      <w:r>
        <w:rPr>
          <w:color w:val="0D0D0D"/>
        </w:rPr>
        <w:t>长期负债＝200×0.5＝100（万元）</w:t>
      </w:r>
    </w:p>
    <w:p>
      <w:pPr>
        <w:pStyle w:val="BodyText"/>
        <w:spacing w:before="13"/>
        <w:ind w:left="4907"/>
      </w:pPr>
      <w:r>
        <w:rPr>
          <w:color w:val="0D0D0D"/>
        </w:rPr>
        <w:t>（2）负债和所有者权益合计＝200+（100+100）＝400（万元）</w:t>
      </w:r>
    </w:p>
    <w:p>
      <w:pPr>
        <w:pStyle w:val="ListParagraph"/>
        <w:numPr>
          <w:ilvl w:val="2"/>
          <w:numId w:val="34"/>
        </w:numPr>
        <w:tabs>
          <w:tab w:val="left" w:pos="5697"/>
        </w:tabs>
        <w:spacing w:before="10" w:after="0" w:line="240" w:lineRule="auto"/>
        <w:ind w:left="5696" w:right="0" w:hanging="790"/>
        <w:jc w:val="left"/>
        <w:rPr>
          <w:sz w:val="31"/>
        </w:rPr>
      </w:pPr>
      <w:r>
        <w:rPr>
          <w:color w:val="0D0D0D"/>
          <w:sz w:val="31"/>
        </w:rPr>
        <w:t>资产合计＝</w:t>
      </w:r>
      <w:r>
        <w:rPr>
          <w:color w:val="0D0D0D"/>
          <w:spacing w:val="-4"/>
          <w:sz w:val="31"/>
        </w:rPr>
        <w:t>负债+所有者权益</w:t>
      </w:r>
      <w:r>
        <w:rPr>
          <w:color w:val="0D0D0D"/>
          <w:spacing w:val="-3"/>
          <w:sz w:val="31"/>
        </w:rPr>
        <w:t>＝400（</w:t>
      </w:r>
      <w:r>
        <w:rPr>
          <w:color w:val="0D0D0D"/>
          <w:sz w:val="31"/>
        </w:rPr>
        <w:t>万元）</w:t>
      </w:r>
    </w:p>
    <w:p>
      <w:pPr>
        <w:pStyle w:val="ListParagraph"/>
        <w:numPr>
          <w:ilvl w:val="2"/>
          <w:numId w:val="34"/>
        </w:numPr>
        <w:tabs>
          <w:tab w:val="left" w:pos="5697"/>
        </w:tabs>
        <w:spacing w:before="13" w:after="0" w:line="240" w:lineRule="auto"/>
        <w:ind w:left="5696" w:right="0" w:hanging="790"/>
        <w:jc w:val="left"/>
        <w:rPr>
          <w:sz w:val="31"/>
        </w:rPr>
      </w:pPr>
      <w:r>
        <w:rPr>
          <w:color w:val="0D0D0D"/>
          <w:sz w:val="31"/>
        </w:rPr>
        <w:t>销售收入÷资产总额</w:t>
      </w:r>
      <w:r>
        <w:rPr>
          <w:color w:val="0D0D0D"/>
          <w:spacing w:val="-5"/>
          <w:sz w:val="31"/>
        </w:rPr>
        <w:t>＝2.5</w:t>
      </w:r>
    </w:p>
    <w:p>
      <w:pPr>
        <w:pStyle w:val="BodyText"/>
        <w:spacing w:before="10"/>
        <w:ind w:left="5696"/>
      </w:pPr>
      <w:r>
        <w:rPr>
          <w:color w:val="0D0D0D"/>
        </w:rPr>
        <w:t>销售收入＝400×2.5＝1000（万元）</w:t>
      </w:r>
    </w:p>
    <w:p>
      <w:pPr>
        <w:pStyle w:val="BodyText"/>
        <w:spacing w:before="13"/>
        <w:ind w:left="5696"/>
      </w:pPr>
      <w:r>
        <w:rPr>
          <w:color w:val="0D0D0D"/>
        </w:rPr>
        <w:t>销售成本＝（1－销售毛利率）×销售收入＝（1－10%）×1000＝900</w:t>
      </w:r>
    </w:p>
    <w:p>
      <w:pPr>
        <w:spacing w:after="0"/>
        <w:sectPr>
          <w:headerReference w:type="default" r:id="rId57"/>
          <w:footerReference w:type="default" r:id="rId58"/>
          <w:pgSz w:w="17860" w:h="25260"/>
          <w:pgMar w:top="1720" w:right="0" w:bottom="1940" w:left="0" w:header="1129" w:footer="1732"/>
          <w:pgNumType w:start="10"/>
          <w:cols w:space="708"/>
        </w:sectPr>
      </w:pPr>
    </w:p>
    <w:p>
      <w:pPr>
        <w:pStyle w:val="BodyText"/>
        <w:spacing w:before="10"/>
      </w:pPr>
      <w:r>
        <w:rPr>
          <w:color w:val="0D0D0D"/>
        </w:rPr>
        <w:t>（万元）</w:t>
      </w: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spacing w:before="5"/>
        <w:ind w:left="0"/>
        <w:rPr>
          <w:sz w:val="32"/>
        </w:rPr>
      </w:pPr>
    </w:p>
    <w:p>
      <w:pPr>
        <w:pStyle w:val="BodyText"/>
      </w:pPr>
      <w:r>
        <w:rPr>
          <w:color w:val="0D0D0D"/>
        </w:rPr>
        <w:t>＝200（万元）</w:t>
      </w:r>
    </w:p>
    <w:p>
      <w:pPr>
        <w:pStyle w:val="BodyText"/>
        <w:spacing w:before="10"/>
        <w:ind w:left="0"/>
        <w:rPr>
          <w:sz w:val="32"/>
        </w:rPr>
      </w:pPr>
      <w:r>
        <w:br w:type="column"/>
      </w:r>
    </w:p>
    <w:p>
      <w:pPr>
        <w:pStyle w:val="BodyText"/>
        <w:spacing w:line="244" w:lineRule="auto"/>
        <w:ind w:left="741" w:right="7747" w:firstLine="159"/>
      </w:pPr>
      <w:r>
        <w:rPr>
          <w:color w:val="0D0D0D"/>
        </w:rPr>
        <w:t>销售成本÷存货＝9＝900÷存货存货＝900÷9＝100（万元）</w:t>
      </w:r>
    </w:p>
    <w:p>
      <w:pPr>
        <w:pStyle w:val="BodyText"/>
        <w:spacing w:before="7" w:line="247" w:lineRule="auto"/>
        <w:ind w:left="900" w:right="3807" w:hanging="790"/>
      </w:pPr>
      <w:r>
        <w:rPr>
          <w:color w:val="0D0D0D"/>
        </w:rPr>
        <w:t>（5）应收账款×360 天÷销售收入＝18＝应收账款×360 天÷1000 应收账款＝1000×18 ÷360 天＝50（万元）</w:t>
      </w:r>
    </w:p>
    <w:p>
      <w:pPr>
        <w:pStyle w:val="ListParagraph"/>
        <w:numPr>
          <w:ilvl w:val="1"/>
          <w:numId w:val="34"/>
        </w:numPr>
        <w:tabs>
          <w:tab w:val="left" w:pos="901"/>
        </w:tabs>
        <w:spacing w:before="0" w:after="0" w:line="397" w:lineRule="exact"/>
        <w:ind w:left="900" w:right="0" w:hanging="790"/>
        <w:jc w:val="left"/>
        <w:rPr>
          <w:sz w:val="31"/>
        </w:rPr>
      </w:pPr>
      <w:r>
        <w:rPr>
          <w:color w:val="0D0D0D"/>
          <w:sz w:val="31"/>
        </w:rPr>
        <w:t>固定资产＝资产合计－货币资金－应收账款－存货</w:t>
      </w:r>
      <w:r>
        <w:rPr>
          <w:color w:val="0D0D0D"/>
          <w:spacing w:val="-3"/>
          <w:sz w:val="31"/>
        </w:rPr>
        <w:t>＝400-50-50-100</w:t>
      </w:r>
    </w:p>
    <w:p>
      <w:pPr>
        <w:spacing w:after="0" w:line="397" w:lineRule="exact"/>
        <w:jc w:val="left"/>
        <w:rPr>
          <w:sz w:val="31"/>
        </w:rPr>
        <w:sectPr>
          <w:headerReference w:type="default" r:id="rId59"/>
          <w:footerReference w:type="default" r:id="rId60"/>
          <w:type w:val="continuous"/>
          <w:pgSz w:w="17860" w:h="25260"/>
          <w:pgMar w:top="1720" w:right="0" w:bottom="1940" w:left="0" w:header="708" w:footer="708"/>
          <w:pgNumType w:start="11"/>
          <w:cols w:num="2" w:space="708" w:equalWidth="0">
            <w:col w:w="4757" w:space="40"/>
            <w:col w:w="13063" w:space="0"/>
          </w:cols>
        </w:sectPr>
      </w:pPr>
    </w:p>
    <w:p>
      <w:pPr>
        <w:pStyle w:val="BodyText"/>
        <w:spacing w:before="13"/>
        <w:ind w:left="3017"/>
      </w:pPr>
      <w:r>
        <w:drawing>
          <wp:anchor distT="0" distB="0" distL="0" distR="0" simplePos="0" relativeHeight="251664384" behindDoc="1" locked="0" layoutInCell="1" allowOverlap="1">
            <wp:simplePos x="0" y="0"/>
            <wp:positionH relativeFrom="page">
              <wp:posOffset>3073400</wp:posOffset>
            </wp:positionH>
            <wp:positionV relativeFrom="paragraph">
              <wp:posOffset>494157</wp:posOffset>
            </wp:positionV>
            <wp:extent cx="6663499" cy="4889944"/>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61" cstate="print"/>
                    <a:stretch>
                      <a:fillRect/>
                    </a:stretch>
                  </pic:blipFill>
                  <pic:spPr>
                    <a:xfrm>
                      <a:off x="0" y="0"/>
                      <a:ext cx="6663499" cy="4889944"/>
                    </a:xfrm>
                    <a:prstGeom prst="rect">
                      <a:avLst/>
                    </a:prstGeom>
                  </pic:spPr>
                </pic:pic>
              </a:graphicData>
            </a:graphic>
          </wp:anchor>
        </w:drawing>
      </w:r>
      <w:r>
        <w:rPr>
          <w:color w:val="0D0D0D"/>
        </w:rPr>
        <w:t>2、ABC 公司近三年的主要财务数据和财务比率如下：</w:t>
      </w:r>
    </w:p>
    <w:p>
      <w:pPr>
        <w:pStyle w:val="BodyText"/>
        <w:ind w:left="0"/>
        <w:rPr>
          <w:sz w:val="20"/>
        </w:rPr>
      </w:pPr>
    </w:p>
    <w:p>
      <w:pPr>
        <w:pStyle w:val="BodyText"/>
        <w:spacing w:before="5"/>
        <w:ind w:left="0"/>
        <w:rPr>
          <w:sz w:val="19"/>
        </w:rPr>
      </w:pPr>
    </w:p>
    <w:tbl>
      <w:tblPr>
        <w:tblStyle w:val="TableNormal1"/>
        <w:tblW w:w="0" w:type="auto"/>
        <w:jc w:val="left"/>
        <w:tblInd w:w="4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32"/>
        <w:gridCol w:w="2108"/>
        <w:gridCol w:w="2625"/>
        <w:gridCol w:w="2178"/>
      </w:tblGrid>
      <w:tr>
        <w:tblPrEx>
          <w:tblW w:w="0" w:type="auto"/>
          <w:jc w:val="left"/>
          <w:tblInd w:w="4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9"/>
          <w:jc w:val="left"/>
        </w:trPr>
        <w:tc>
          <w:tcPr>
            <w:tcW w:w="3332" w:type="dxa"/>
          </w:tcPr>
          <w:p>
            <w:pPr>
              <w:pStyle w:val="TableParagraph"/>
              <w:spacing w:before="7"/>
              <w:rPr>
                <w:sz w:val="33"/>
              </w:rPr>
            </w:pPr>
          </w:p>
          <w:p>
            <w:pPr>
              <w:pStyle w:val="TableParagraph"/>
              <w:ind w:left="723"/>
              <w:rPr>
                <w:sz w:val="31"/>
              </w:rPr>
            </w:pPr>
            <w:r>
              <w:rPr>
                <w:color w:val="0D0D0D"/>
                <w:sz w:val="31"/>
              </w:rPr>
              <w:t>指标名称</w:t>
            </w:r>
          </w:p>
        </w:tc>
        <w:tc>
          <w:tcPr>
            <w:tcW w:w="2108" w:type="dxa"/>
          </w:tcPr>
          <w:p>
            <w:pPr>
              <w:pStyle w:val="TableParagraph"/>
              <w:spacing w:line="359" w:lineRule="exact"/>
              <w:ind w:left="725" w:right="568"/>
              <w:jc w:val="center"/>
              <w:rPr>
                <w:sz w:val="31"/>
              </w:rPr>
            </w:pPr>
            <w:r>
              <w:rPr>
                <w:color w:val="0D0D0D"/>
                <w:sz w:val="31"/>
              </w:rPr>
              <w:t>19×1</w:t>
            </w:r>
          </w:p>
          <w:p>
            <w:pPr>
              <w:pStyle w:val="TableParagraph"/>
              <w:spacing w:before="71"/>
              <w:ind w:left="156"/>
              <w:jc w:val="center"/>
              <w:rPr>
                <w:sz w:val="31"/>
              </w:rPr>
            </w:pPr>
            <w:r>
              <w:rPr>
                <w:color w:val="0D0D0D"/>
                <w:w w:val="102"/>
                <w:sz w:val="31"/>
              </w:rPr>
              <w:t>年</w:t>
            </w:r>
          </w:p>
        </w:tc>
        <w:tc>
          <w:tcPr>
            <w:tcW w:w="2625" w:type="dxa"/>
          </w:tcPr>
          <w:p>
            <w:pPr>
              <w:pStyle w:val="TableParagraph"/>
              <w:spacing w:before="7"/>
              <w:rPr>
                <w:sz w:val="33"/>
              </w:rPr>
            </w:pPr>
          </w:p>
          <w:p>
            <w:pPr>
              <w:pStyle w:val="TableParagraph"/>
              <w:ind w:left="522"/>
              <w:rPr>
                <w:sz w:val="31"/>
              </w:rPr>
            </w:pPr>
            <w:r>
              <w:rPr>
                <w:color w:val="0D0D0D"/>
                <w:sz w:val="31"/>
              </w:rPr>
              <w:t>19×2 年</w:t>
            </w:r>
          </w:p>
        </w:tc>
        <w:tc>
          <w:tcPr>
            <w:tcW w:w="2178" w:type="dxa"/>
          </w:tcPr>
          <w:p>
            <w:pPr>
              <w:pStyle w:val="TableParagraph"/>
              <w:spacing w:before="7"/>
              <w:rPr>
                <w:sz w:val="33"/>
              </w:rPr>
            </w:pPr>
          </w:p>
          <w:p>
            <w:pPr>
              <w:pStyle w:val="TableParagraph"/>
              <w:ind w:left="818"/>
              <w:rPr>
                <w:sz w:val="31"/>
              </w:rPr>
            </w:pPr>
            <w:r>
              <w:rPr>
                <w:color w:val="0D0D0D"/>
                <w:sz w:val="31"/>
              </w:rPr>
              <w:t>19×3 年</w:t>
            </w:r>
          </w:p>
        </w:tc>
      </w:tr>
      <w:tr>
        <w:tblPrEx>
          <w:tblW w:w="0" w:type="auto"/>
          <w:jc w:val="left"/>
          <w:tblInd w:w="4980" w:type="dxa"/>
          <w:tblLayout w:type="fixed"/>
          <w:tblCellMar>
            <w:top w:w="0" w:type="dxa"/>
            <w:left w:w="0" w:type="dxa"/>
            <w:bottom w:w="0" w:type="dxa"/>
            <w:right w:w="0" w:type="dxa"/>
          </w:tblCellMar>
          <w:tblLook w:val="01E0"/>
        </w:tblPrEx>
        <w:trPr>
          <w:trHeight w:val="523"/>
          <w:jc w:val="left"/>
        </w:trPr>
        <w:tc>
          <w:tcPr>
            <w:tcW w:w="3332" w:type="dxa"/>
          </w:tcPr>
          <w:p>
            <w:pPr>
              <w:pStyle w:val="TableParagraph"/>
              <w:spacing w:before="66"/>
              <w:ind w:left="50"/>
              <w:rPr>
                <w:sz w:val="31"/>
              </w:rPr>
            </w:pPr>
            <w:r>
              <w:rPr>
                <w:color w:val="0D0D0D"/>
                <w:sz w:val="31"/>
              </w:rPr>
              <w:t>销售额（万元）</w:t>
            </w:r>
          </w:p>
        </w:tc>
        <w:tc>
          <w:tcPr>
            <w:tcW w:w="2108" w:type="dxa"/>
          </w:tcPr>
          <w:p>
            <w:pPr>
              <w:pStyle w:val="TableParagraph"/>
              <w:spacing w:before="66"/>
              <w:ind w:right="519"/>
              <w:jc w:val="right"/>
              <w:rPr>
                <w:sz w:val="31"/>
              </w:rPr>
            </w:pPr>
            <w:r>
              <w:rPr>
                <w:color w:val="0D0D0D"/>
                <w:sz w:val="31"/>
              </w:rPr>
              <w:t>4000</w:t>
            </w:r>
          </w:p>
        </w:tc>
        <w:tc>
          <w:tcPr>
            <w:tcW w:w="2625" w:type="dxa"/>
          </w:tcPr>
          <w:p>
            <w:pPr>
              <w:pStyle w:val="TableParagraph"/>
              <w:spacing w:before="66"/>
              <w:ind w:right="815"/>
              <w:jc w:val="right"/>
              <w:rPr>
                <w:sz w:val="31"/>
              </w:rPr>
            </w:pPr>
            <w:r>
              <w:rPr>
                <w:color w:val="0D0D0D"/>
                <w:sz w:val="31"/>
              </w:rPr>
              <w:t>4300</w:t>
            </w:r>
          </w:p>
        </w:tc>
        <w:tc>
          <w:tcPr>
            <w:tcW w:w="2178" w:type="dxa"/>
          </w:tcPr>
          <w:p>
            <w:pPr>
              <w:pStyle w:val="TableParagraph"/>
              <w:spacing w:before="66"/>
              <w:ind w:right="47"/>
              <w:jc w:val="right"/>
              <w:rPr>
                <w:sz w:val="31"/>
              </w:rPr>
            </w:pPr>
            <w:r>
              <w:rPr>
                <w:color w:val="0D0D0D"/>
                <w:sz w:val="31"/>
              </w:rPr>
              <w:t>3800</w:t>
            </w:r>
          </w:p>
        </w:tc>
      </w:tr>
      <w:tr>
        <w:tblPrEx>
          <w:tblW w:w="0" w:type="auto"/>
          <w:jc w:val="left"/>
          <w:tblInd w:w="4980" w:type="dxa"/>
          <w:tblLayout w:type="fixed"/>
          <w:tblCellMar>
            <w:top w:w="0" w:type="dxa"/>
            <w:left w:w="0" w:type="dxa"/>
            <w:bottom w:w="0" w:type="dxa"/>
            <w:right w:w="0" w:type="dxa"/>
          </w:tblCellMar>
          <w:tblLook w:val="01E0"/>
        </w:tblPrEx>
        <w:trPr>
          <w:trHeight w:val="523"/>
          <w:jc w:val="left"/>
        </w:trPr>
        <w:tc>
          <w:tcPr>
            <w:tcW w:w="3332" w:type="dxa"/>
          </w:tcPr>
          <w:p>
            <w:pPr>
              <w:pStyle w:val="TableParagraph"/>
              <w:spacing w:before="65"/>
              <w:ind w:left="50"/>
              <w:rPr>
                <w:sz w:val="31"/>
              </w:rPr>
            </w:pPr>
            <w:r>
              <w:rPr>
                <w:color w:val="0D0D0D"/>
                <w:sz w:val="31"/>
              </w:rPr>
              <w:t>总资产（万元）</w:t>
            </w:r>
          </w:p>
        </w:tc>
        <w:tc>
          <w:tcPr>
            <w:tcW w:w="2108" w:type="dxa"/>
          </w:tcPr>
          <w:p>
            <w:pPr>
              <w:pStyle w:val="TableParagraph"/>
              <w:spacing w:before="65"/>
              <w:ind w:right="519"/>
              <w:jc w:val="right"/>
              <w:rPr>
                <w:sz w:val="31"/>
              </w:rPr>
            </w:pPr>
            <w:r>
              <w:rPr>
                <w:color w:val="0D0D0D"/>
                <w:sz w:val="31"/>
              </w:rPr>
              <w:t>1430</w:t>
            </w:r>
          </w:p>
        </w:tc>
        <w:tc>
          <w:tcPr>
            <w:tcW w:w="2625" w:type="dxa"/>
          </w:tcPr>
          <w:p>
            <w:pPr>
              <w:pStyle w:val="TableParagraph"/>
              <w:spacing w:before="65"/>
              <w:ind w:right="815"/>
              <w:jc w:val="right"/>
              <w:rPr>
                <w:sz w:val="31"/>
              </w:rPr>
            </w:pPr>
            <w:r>
              <w:rPr>
                <w:color w:val="0D0D0D"/>
                <w:sz w:val="31"/>
              </w:rPr>
              <w:t>1560</w:t>
            </w:r>
          </w:p>
        </w:tc>
        <w:tc>
          <w:tcPr>
            <w:tcW w:w="2178" w:type="dxa"/>
          </w:tcPr>
          <w:p>
            <w:pPr>
              <w:pStyle w:val="TableParagraph"/>
              <w:spacing w:before="65"/>
              <w:ind w:right="47"/>
              <w:jc w:val="right"/>
              <w:rPr>
                <w:sz w:val="31"/>
              </w:rPr>
            </w:pPr>
            <w:r>
              <w:rPr>
                <w:color w:val="0D0D0D"/>
                <w:sz w:val="31"/>
              </w:rPr>
              <w:t>1695</w:t>
            </w:r>
          </w:p>
        </w:tc>
      </w:tr>
      <w:tr>
        <w:tblPrEx>
          <w:tblW w:w="0" w:type="auto"/>
          <w:jc w:val="left"/>
          <w:tblInd w:w="4980" w:type="dxa"/>
          <w:tblLayout w:type="fixed"/>
          <w:tblCellMar>
            <w:top w:w="0" w:type="dxa"/>
            <w:left w:w="0" w:type="dxa"/>
            <w:bottom w:w="0" w:type="dxa"/>
            <w:right w:w="0" w:type="dxa"/>
          </w:tblCellMar>
          <w:tblLook w:val="01E0"/>
        </w:tblPrEx>
        <w:trPr>
          <w:trHeight w:val="525"/>
          <w:jc w:val="left"/>
        </w:trPr>
        <w:tc>
          <w:tcPr>
            <w:tcW w:w="3332" w:type="dxa"/>
          </w:tcPr>
          <w:p>
            <w:pPr>
              <w:pStyle w:val="TableParagraph"/>
              <w:spacing w:before="66"/>
              <w:ind w:left="50"/>
              <w:rPr>
                <w:sz w:val="31"/>
              </w:rPr>
            </w:pPr>
            <w:r>
              <w:rPr>
                <w:color w:val="0D0D0D"/>
                <w:sz w:val="31"/>
              </w:rPr>
              <w:t>普通股（万元）</w:t>
            </w:r>
          </w:p>
        </w:tc>
        <w:tc>
          <w:tcPr>
            <w:tcW w:w="2108" w:type="dxa"/>
          </w:tcPr>
          <w:p>
            <w:pPr>
              <w:pStyle w:val="TableParagraph"/>
              <w:spacing w:before="66"/>
              <w:ind w:right="521"/>
              <w:jc w:val="right"/>
              <w:rPr>
                <w:sz w:val="31"/>
              </w:rPr>
            </w:pPr>
            <w:r>
              <w:rPr>
                <w:color w:val="0D0D0D"/>
                <w:sz w:val="31"/>
              </w:rPr>
              <w:t>100</w:t>
            </w:r>
          </w:p>
        </w:tc>
        <w:tc>
          <w:tcPr>
            <w:tcW w:w="2625" w:type="dxa"/>
          </w:tcPr>
          <w:p>
            <w:pPr>
              <w:pStyle w:val="TableParagraph"/>
              <w:spacing w:before="66"/>
              <w:ind w:right="816"/>
              <w:jc w:val="right"/>
              <w:rPr>
                <w:sz w:val="31"/>
              </w:rPr>
            </w:pPr>
            <w:r>
              <w:rPr>
                <w:color w:val="0D0D0D"/>
                <w:sz w:val="31"/>
              </w:rPr>
              <w:t>100</w:t>
            </w:r>
          </w:p>
        </w:tc>
        <w:tc>
          <w:tcPr>
            <w:tcW w:w="2178" w:type="dxa"/>
          </w:tcPr>
          <w:p>
            <w:pPr>
              <w:pStyle w:val="TableParagraph"/>
              <w:spacing w:before="66"/>
              <w:ind w:right="47"/>
              <w:jc w:val="right"/>
              <w:rPr>
                <w:sz w:val="31"/>
              </w:rPr>
            </w:pPr>
            <w:r>
              <w:rPr>
                <w:color w:val="0D0D0D"/>
                <w:sz w:val="31"/>
              </w:rPr>
              <w:t>100</w:t>
            </w:r>
          </w:p>
        </w:tc>
      </w:tr>
      <w:tr>
        <w:tblPrEx>
          <w:tblW w:w="0" w:type="auto"/>
          <w:jc w:val="left"/>
          <w:tblInd w:w="4980" w:type="dxa"/>
          <w:tblLayout w:type="fixed"/>
          <w:tblCellMar>
            <w:top w:w="0" w:type="dxa"/>
            <w:left w:w="0" w:type="dxa"/>
            <w:bottom w:w="0" w:type="dxa"/>
            <w:right w:w="0" w:type="dxa"/>
          </w:tblCellMar>
          <w:tblLook w:val="01E0"/>
        </w:tblPrEx>
        <w:trPr>
          <w:trHeight w:val="525"/>
          <w:jc w:val="left"/>
        </w:trPr>
        <w:tc>
          <w:tcPr>
            <w:tcW w:w="3332" w:type="dxa"/>
          </w:tcPr>
          <w:p>
            <w:pPr>
              <w:pStyle w:val="TableParagraph"/>
              <w:spacing w:before="66"/>
              <w:ind w:left="50"/>
              <w:rPr>
                <w:sz w:val="31"/>
              </w:rPr>
            </w:pPr>
            <w:r>
              <w:rPr>
                <w:color w:val="0D0D0D"/>
                <w:sz w:val="31"/>
              </w:rPr>
              <w:t>保留盈余（万元）</w:t>
            </w:r>
          </w:p>
        </w:tc>
        <w:tc>
          <w:tcPr>
            <w:tcW w:w="2108" w:type="dxa"/>
          </w:tcPr>
          <w:p>
            <w:pPr>
              <w:pStyle w:val="TableParagraph"/>
              <w:spacing w:before="66"/>
              <w:ind w:right="521"/>
              <w:jc w:val="right"/>
              <w:rPr>
                <w:sz w:val="31"/>
              </w:rPr>
            </w:pPr>
            <w:r>
              <w:rPr>
                <w:color w:val="0D0D0D"/>
                <w:sz w:val="31"/>
              </w:rPr>
              <w:t>500</w:t>
            </w:r>
          </w:p>
        </w:tc>
        <w:tc>
          <w:tcPr>
            <w:tcW w:w="2625" w:type="dxa"/>
          </w:tcPr>
          <w:p>
            <w:pPr>
              <w:pStyle w:val="TableParagraph"/>
              <w:spacing w:before="66"/>
              <w:ind w:right="816"/>
              <w:jc w:val="right"/>
              <w:rPr>
                <w:sz w:val="31"/>
              </w:rPr>
            </w:pPr>
            <w:r>
              <w:rPr>
                <w:color w:val="0D0D0D"/>
                <w:sz w:val="31"/>
              </w:rPr>
              <w:t>550</w:t>
            </w:r>
          </w:p>
        </w:tc>
        <w:tc>
          <w:tcPr>
            <w:tcW w:w="2178" w:type="dxa"/>
          </w:tcPr>
          <w:p>
            <w:pPr>
              <w:pStyle w:val="TableParagraph"/>
              <w:spacing w:before="66"/>
              <w:ind w:right="47"/>
              <w:jc w:val="right"/>
              <w:rPr>
                <w:sz w:val="31"/>
              </w:rPr>
            </w:pPr>
            <w:r>
              <w:rPr>
                <w:color w:val="0D0D0D"/>
                <w:sz w:val="31"/>
              </w:rPr>
              <w:t>550</w:t>
            </w:r>
          </w:p>
        </w:tc>
      </w:tr>
      <w:tr>
        <w:tblPrEx>
          <w:tblW w:w="0" w:type="auto"/>
          <w:jc w:val="left"/>
          <w:tblInd w:w="4980" w:type="dxa"/>
          <w:tblLayout w:type="fixed"/>
          <w:tblCellMar>
            <w:top w:w="0" w:type="dxa"/>
            <w:left w:w="0" w:type="dxa"/>
            <w:bottom w:w="0" w:type="dxa"/>
            <w:right w:w="0" w:type="dxa"/>
          </w:tblCellMar>
          <w:tblLook w:val="01E0"/>
        </w:tblPrEx>
        <w:trPr>
          <w:trHeight w:val="526"/>
          <w:jc w:val="left"/>
        </w:trPr>
        <w:tc>
          <w:tcPr>
            <w:tcW w:w="3332" w:type="dxa"/>
          </w:tcPr>
          <w:p>
            <w:pPr>
              <w:pStyle w:val="TableParagraph"/>
              <w:spacing w:before="66"/>
              <w:ind w:left="50"/>
              <w:rPr>
                <w:sz w:val="31"/>
              </w:rPr>
            </w:pPr>
            <w:r>
              <w:rPr>
                <w:color w:val="0D0D0D"/>
                <w:sz w:val="31"/>
              </w:rPr>
              <w:t>所有者权益合计</w:t>
            </w:r>
          </w:p>
        </w:tc>
        <w:tc>
          <w:tcPr>
            <w:tcW w:w="2108" w:type="dxa"/>
          </w:tcPr>
          <w:p>
            <w:pPr>
              <w:pStyle w:val="TableParagraph"/>
              <w:spacing w:before="66"/>
              <w:ind w:right="521"/>
              <w:jc w:val="right"/>
              <w:rPr>
                <w:sz w:val="31"/>
              </w:rPr>
            </w:pPr>
            <w:r>
              <w:rPr>
                <w:color w:val="0D0D0D"/>
                <w:sz w:val="31"/>
              </w:rPr>
              <w:t>600</w:t>
            </w:r>
          </w:p>
        </w:tc>
        <w:tc>
          <w:tcPr>
            <w:tcW w:w="2625" w:type="dxa"/>
          </w:tcPr>
          <w:p>
            <w:pPr>
              <w:pStyle w:val="TableParagraph"/>
              <w:spacing w:before="66"/>
              <w:ind w:right="816"/>
              <w:jc w:val="right"/>
              <w:rPr>
                <w:sz w:val="31"/>
              </w:rPr>
            </w:pPr>
            <w:r>
              <w:rPr>
                <w:color w:val="0D0D0D"/>
                <w:sz w:val="31"/>
              </w:rPr>
              <w:t>650</w:t>
            </w:r>
          </w:p>
        </w:tc>
        <w:tc>
          <w:tcPr>
            <w:tcW w:w="2178" w:type="dxa"/>
          </w:tcPr>
          <w:p>
            <w:pPr>
              <w:pStyle w:val="TableParagraph"/>
              <w:spacing w:before="66"/>
              <w:ind w:right="47"/>
              <w:jc w:val="right"/>
              <w:rPr>
                <w:sz w:val="31"/>
              </w:rPr>
            </w:pPr>
            <w:r>
              <w:rPr>
                <w:color w:val="0D0D0D"/>
                <w:sz w:val="31"/>
              </w:rPr>
              <w:t>650</w:t>
            </w:r>
          </w:p>
        </w:tc>
      </w:tr>
      <w:tr>
        <w:tblPrEx>
          <w:tblW w:w="0" w:type="auto"/>
          <w:jc w:val="left"/>
          <w:tblInd w:w="4980" w:type="dxa"/>
          <w:tblLayout w:type="fixed"/>
          <w:tblCellMar>
            <w:top w:w="0" w:type="dxa"/>
            <w:left w:w="0" w:type="dxa"/>
            <w:bottom w:w="0" w:type="dxa"/>
            <w:right w:w="0" w:type="dxa"/>
          </w:tblCellMar>
          <w:tblLook w:val="01E0"/>
        </w:tblPrEx>
        <w:trPr>
          <w:trHeight w:val="525"/>
          <w:jc w:val="left"/>
        </w:trPr>
        <w:tc>
          <w:tcPr>
            <w:tcW w:w="3332" w:type="dxa"/>
          </w:tcPr>
          <w:p>
            <w:pPr>
              <w:pStyle w:val="TableParagraph"/>
              <w:spacing w:before="67"/>
              <w:ind w:left="50"/>
              <w:rPr>
                <w:sz w:val="31"/>
              </w:rPr>
            </w:pPr>
            <w:r>
              <w:rPr>
                <w:color w:val="0D0D0D"/>
                <w:sz w:val="31"/>
              </w:rPr>
              <w:t>流动比率</w:t>
            </w:r>
          </w:p>
        </w:tc>
        <w:tc>
          <w:tcPr>
            <w:tcW w:w="2108" w:type="dxa"/>
          </w:tcPr>
          <w:p>
            <w:pPr>
              <w:pStyle w:val="TableParagraph"/>
              <w:spacing w:before="67"/>
              <w:ind w:right="519"/>
              <w:jc w:val="right"/>
              <w:rPr>
                <w:sz w:val="31"/>
              </w:rPr>
            </w:pPr>
            <w:r>
              <w:rPr>
                <w:color w:val="0D0D0D"/>
                <w:sz w:val="31"/>
              </w:rPr>
              <w:t>1.19</w:t>
            </w:r>
          </w:p>
        </w:tc>
        <w:tc>
          <w:tcPr>
            <w:tcW w:w="2625" w:type="dxa"/>
          </w:tcPr>
          <w:p>
            <w:pPr>
              <w:pStyle w:val="TableParagraph"/>
              <w:spacing w:before="67"/>
              <w:ind w:right="815"/>
              <w:jc w:val="right"/>
              <w:rPr>
                <w:sz w:val="31"/>
              </w:rPr>
            </w:pPr>
            <w:r>
              <w:rPr>
                <w:color w:val="0D0D0D"/>
                <w:sz w:val="31"/>
              </w:rPr>
              <w:t>1.25</w:t>
            </w:r>
          </w:p>
        </w:tc>
        <w:tc>
          <w:tcPr>
            <w:tcW w:w="2178" w:type="dxa"/>
          </w:tcPr>
          <w:p>
            <w:pPr>
              <w:pStyle w:val="TableParagraph"/>
              <w:spacing w:before="67"/>
              <w:ind w:right="47"/>
              <w:jc w:val="right"/>
              <w:rPr>
                <w:sz w:val="31"/>
              </w:rPr>
            </w:pPr>
            <w:r>
              <w:rPr>
                <w:color w:val="0D0D0D"/>
                <w:sz w:val="31"/>
              </w:rPr>
              <w:t>1.20</w:t>
            </w:r>
          </w:p>
        </w:tc>
      </w:tr>
      <w:tr>
        <w:tblPrEx>
          <w:tblW w:w="0" w:type="auto"/>
          <w:jc w:val="left"/>
          <w:tblInd w:w="4980" w:type="dxa"/>
          <w:tblLayout w:type="fixed"/>
          <w:tblCellMar>
            <w:top w:w="0" w:type="dxa"/>
            <w:left w:w="0" w:type="dxa"/>
            <w:bottom w:w="0" w:type="dxa"/>
            <w:right w:w="0" w:type="dxa"/>
          </w:tblCellMar>
          <w:tblLook w:val="01E0"/>
        </w:tblPrEx>
        <w:trPr>
          <w:trHeight w:val="523"/>
          <w:jc w:val="left"/>
        </w:trPr>
        <w:tc>
          <w:tcPr>
            <w:tcW w:w="3332" w:type="dxa"/>
          </w:tcPr>
          <w:p>
            <w:pPr>
              <w:pStyle w:val="TableParagraph"/>
              <w:spacing w:before="66"/>
              <w:ind w:left="50"/>
              <w:rPr>
                <w:sz w:val="31"/>
              </w:rPr>
            </w:pPr>
            <w:r>
              <w:rPr>
                <w:color w:val="0D0D0D"/>
                <w:sz w:val="31"/>
              </w:rPr>
              <w:t>平均收现期（天）</w:t>
            </w:r>
          </w:p>
        </w:tc>
        <w:tc>
          <w:tcPr>
            <w:tcW w:w="2108" w:type="dxa"/>
          </w:tcPr>
          <w:p>
            <w:pPr>
              <w:pStyle w:val="TableParagraph"/>
              <w:spacing w:before="66"/>
              <w:ind w:right="524"/>
              <w:jc w:val="right"/>
              <w:rPr>
                <w:sz w:val="31"/>
              </w:rPr>
            </w:pPr>
            <w:r>
              <w:rPr>
                <w:color w:val="0D0D0D"/>
                <w:sz w:val="31"/>
              </w:rPr>
              <w:t>18</w:t>
            </w:r>
          </w:p>
        </w:tc>
        <w:tc>
          <w:tcPr>
            <w:tcW w:w="2625" w:type="dxa"/>
          </w:tcPr>
          <w:p>
            <w:pPr>
              <w:pStyle w:val="TableParagraph"/>
              <w:spacing w:before="66"/>
              <w:ind w:right="818"/>
              <w:jc w:val="right"/>
              <w:rPr>
                <w:sz w:val="31"/>
              </w:rPr>
            </w:pPr>
            <w:r>
              <w:rPr>
                <w:color w:val="0D0D0D"/>
                <w:sz w:val="31"/>
              </w:rPr>
              <w:t>22</w:t>
            </w:r>
          </w:p>
        </w:tc>
        <w:tc>
          <w:tcPr>
            <w:tcW w:w="2178" w:type="dxa"/>
          </w:tcPr>
          <w:p>
            <w:pPr>
              <w:pStyle w:val="TableParagraph"/>
              <w:spacing w:before="66"/>
              <w:ind w:right="52"/>
              <w:jc w:val="right"/>
              <w:rPr>
                <w:sz w:val="31"/>
              </w:rPr>
            </w:pPr>
            <w:r>
              <w:rPr>
                <w:color w:val="0D0D0D"/>
                <w:sz w:val="31"/>
              </w:rPr>
              <w:t>27</w:t>
            </w:r>
          </w:p>
        </w:tc>
      </w:tr>
      <w:tr>
        <w:tblPrEx>
          <w:tblW w:w="0" w:type="auto"/>
          <w:jc w:val="left"/>
          <w:tblInd w:w="4980" w:type="dxa"/>
          <w:tblLayout w:type="fixed"/>
          <w:tblCellMar>
            <w:top w:w="0" w:type="dxa"/>
            <w:left w:w="0" w:type="dxa"/>
            <w:bottom w:w="0" w:type="dxa"/>
            <w:right w:w="0" w:type="dxa"/>
          </w:tblCellMar>
          <w:tblLook w:val="01E0"/>
        </w:tblPrEx>
        <w:trPr>
          <w:trHeight w:val="523"/>
          <w:jc w:val="left"/>
        </w:trPr>
        <w:tc>
          <w:tcPr>
            <w:tcW w:w="3332" w:type="dxa"/>
          </w:tcPr>
          <w:p>
            <w:pPr>
              <w:pStyle w:val="TableParagraph"/>
              <w:spacing w:before="65"/>
              <w:ind w:left="50"/>
              <w:rPr>
                <w:sz w:val="31"/>
              </w:rPr>
            </w:pPr>
            <w:r>
              <w:rPr>
                <w:color w:val="0D0D0D"/>
                <w:sz w:val="31"/>
              </w:rPr>
              <w:t>存货周转率</w:t>
            </w:r>
          </w:p>
        </w:tc>
        <w:tc>
          <w:tcPr>
            <w:tcW w:w="2108" w:type="dxa"/>
          </w:tcPr>
          <w:p>
            <w:pPr>
              <w:pStyle w:val="TableParagraph"/>
              <w:spacing w:before="65"/>
              <w:ind w:right="521"/>
              <w:jc w:val="right"/>
              <w:rPr>
                <w:sz w:val="31"/>
              </w:rPr>
            </w:pPr>
            <w:r>
              <w:rPr>
                <w:color w:val="0D0D0D"/>
                <w:sz w:val="31"/>
              </w:rPr>
              <w:t>8.0</w:t>
            </w:r>
          </w:p>
        </w:tc>
        <w:tc>
          <w:tcPr>
            <w:tcW w:w="2625" w:type="dxa"/>
          </w:tcPr>
          <w:p>
            <w:pPr>
              <w:pStyle w:val="TableParagraph"/>
              <w:spacing w:before="65"/>
              <w:ind w:right="816"/>
              <w:jc w:val="right"/>
              <w:rPr>
                <w:sz w:val="31"/>
              </w:rPr>
            </w:pPr>
            <w:r>
              <w:rPr>
                <w:color w:val="0D0D0D"/>
                <w:sz w:val="31"/>
              </w:rPr>
              <w:t>7.5</w:t>
            </w:r>
          </w:p>
        </w:tc>
        <w:tc>
          <w:tcPr>
            <w:tcW w:w="2178" w:type="dxa"/>
          </w:tcPr>
          <w:p>
            <w:pPr>
              <w:pStyle w:val="TableParagraph"/>
              <w:spacing w:before="65"/>
              <w:ind w:right="47"/>
              <w:jc w:val="right"/>
              <w:rPr>
                <w:sz w:val="31"/>
              </w:rPr>
            </w:pPr>
            <w:r>
              <w:rPr>
                <w:color w:val="0D0D0D"/>
                <w:sz w:val="31"/>
              </w:rPr>
              <w:t>5.5</w:t>
            </w:r>
          </w:p>
        </w:tc>
      </w:tr>
      <w:tr>
        <w:tblPrEx>
          <w:tblW w:w="0" w:type="auto"/>
          <w:jc w:val="left"/>
          <w:tblInd w:w="4980" w:type="dxa"/>
          <w:tblLayout w:type="fixed"/>
          <w:tblCellMar>
            <w:top w:w="0" w:type="dxa"/>
            <w:left w:w="0" w:type="dxa"/>
            <w:bottom w:w="0" w:type="dxa"/>
            <w:right w:w="0" w:type="dxa"/>
          </w:tblCellMar>
          <w:tblLook w:val="01E0"/>
        </w:tblPrEx>
        <w:trPr>
          <w:trHeight w:val="503"/>
          <w:jc w:val="left"/>
        </w:trPr>
        <w:tc>
          <w:tcPr>
            <w:tcW w:w="3332" w:type="dxa"/>
          </w:tcPr>
          <w:p>
            <w:pPr>
              <w:pStyle w:val="TableParagraph"/>
              <w:spacing w:before="66"/>
              <w:ind w:left="50"/>
              <w:rPr>
                <w:sz w:val="31"/>
              </w:rPr>
            </w:pPr>
            <w:r>
              <w:rPr>
                <w:color w:val="0D0D0D"/>
                <w:sz w:val="31"/>
              </w:rPr>
              <w:t>债务/所有者权益</w:t>
            </w:r>
          </w:p>
        </w:tc>
        <w:tc>
          <w:tcPr>
            <w:tcW w:w="2108" w:type="dxa"/>
          </w:tcPr>
          <w:p>
            <w:pPr>
              <w:pStyle w:val="TableParagraph"/>
              <w:spacing w:before="66"/>
              <w:ind w:right="519"/>
              <w:jc w:val="right"/>
              <w:rPr>
                <w:sz w:val="31"/>
              </w:rPr>
            </w:pPr>
            <w:r>
              <w:rPr>
                <w:color w:val="0D0D0D"/>
                <w:sz w:val="31"/>
              </w:rPr>
              <w:t>1.38</w:t>
            </w:r>
          </w:p>
        </w:tc>
        <w:tc>
          <w:tcPr>
            <w:tcW w:w="2625" w:type="dxa"/>
          </w:tcPr>
          <w:p>
            <w:pPr>
              <w:pStyle w:val="TableParagraph"/>
              <w:spacing w:before="66"/>
              <w:ind w:right="815"/>
              <w:jc w:val="right"/>
              <w:rPr>
                <w:sz w:val="31"/>
              </w:rPr>
            </w:pPr>
            <w:r>
              <w:rPr>
                <w:color w:val="0D0D0D"/>
                <w:sz w:val="31"/>
              </w:rPr>
              <w:t>1.40</w:t>
            </w:r>
          </w:p>
        </w:tc>
        <w:tc>
          <w:tcPr>
            <w:tcW w:w="2178" w:type="dxa"/>
          </w:tcPr>
          <w:p>
            <w:pPr>
              <w:pStyle w:val="TableParagraph"/>
              <w:spacing w:before="66"/>
              <w:ind w:right="47"/>
              <w:jc w:val="right"/>
              <w:rPr>
                <w:sz w:val="31"/>
              </w:rPr>
            </w:pPr>
            <w:r>
              <w:rPr>
                <w:color w:val="0D0D0D"/>
                <w:sz w:val="31"/>
              </w:rPr>
              <w:t>1.61</w:t>
            </w:r>
          </w:p>
        </w:tc>
      </w:tr>
      <w:tr>
        <w:tblPrEx>
          <w:tblW w:w="0" w:type="auto"/>
          <w:jc w:val="left"/>
          <w:tblInd w:w="4980" w:type="dxa"/>
          <w:tblLayout w:type="fixed"/>
          <w:tblCellMar>
            <w:top w:w="0" w:type="dxa"/>
            <w:left w:w="0" w:type="dxa"/>
            <w:bottom w:w="0" w:type="dxa"/>
            <w:right w:w="0" w:type="dxa"/>
          </w:tblCellMar>
          <w:tblLook w:val="01E0"/>
        </w:tblPrEx>
        <w:trPr>
          <w:trHeight w:val="972"/>
          <w:jc w:val="left"/>
        </w:trPr>
        <w:tc>
          <w:tcPr>
            <w:tcW w:w="3332" w:type="dxa"/>
          </w:tcPr>
          <w:p>
            <w:pPr>
              <w:pStyle w:val="TableParagraph"/>
              <w:spacing w:before="45"/>
              <w:ind w:left="50"/>
              <w:rPr>
                <w:sz w:val="31"/>
              </w:rPr>
            </w:pPr>
            <w:r>
              <w:rPr>
                <w:color w:val="0D0D0D"/>
                <w:sz w:val="31"/>
              </w:rPr>
              <w:t>长期债务 / 所有者</w:t>
            </w:r>
          </w:p>
          <w:p>
            <w:pPr>
              <w:pStyle w:val="TableParagraph"/>
              <w:spacing w:before="71"/>
              <w:ind w:left="50"/>
              <w:rPr>
                <w:sz w:val="31"/>
              </w:rPr>
            </w:pPr>
            <w:r>
              <w:rPr>
                <w:color w:val="0D0D0D"/>
                <w:sz w:val="31"/>
              </w:rPr>
              <w:t>权益</w:t>
            </w:r>
          </w:p>
        </w:tc>
        <w:tc>
          <w:tcPr>
            <w:tcW w:w="2108" w:type="dxa"/>
          </w:tcPr>
          <w:p>
            <w:pPr>
              <w:pStyle w:val="TableParagraph"/>
              <w:rPr>
                <w:sz w:val="40"/>
              </w:rPr>
            </w:pPr>
          </w:p>
          <w:p>
            <w:pPr>
              <w:pStyle w:val="TableParagraph"/>
              <w:ind w:right="521"/>
              <w:jc w:val="right"/>
              <w:rPr>
                <w:sz w:val="31"/>
              </w:rPr>
            </w:pPr>
            <w:r>
              <w:rPr>
                <w:color w:val="0D0D0D"/>
                <w:sz w:val="31"/>
              </w:rPr>
              <w:t>0.5</w:t>
            </w:r>
          </w:p>
        </w:tc>
        <w:tc>
          <w:tcPr>
            <w:tcW w:w="2625" w:type="dxa"/>
          </w:tcPr>
          <w:p>
            <w:pPr>
              <w:pStyle w:val="TableParagraph"/>
              <w:rPr>
                <w:sz w:val="40"/>
              </w:rPr>
            </w:pPr>
          </w:p>
          <w:p>
            <w:pPr>
              <w:pStyle w:val="TableParagraph"/>
              <w:ind w:right="815"/>
              <w:jc w:val="right"/>
              <w:rPr>
                <w:sz w:val="31"/>
              </w:rPr>
            </w:pPr>
            <w:r>
              <w:rPr>
                <w:color w:val="0D0D0D"/>
                <w:sz w:val="31"/>
              </w:rPr>
              <w:t>0.46</w:t>
            </w:r>
          </w:p>
        </w:tc>
        <w:tc>
          <w:tcPr>
            <w:tcW w:w="2178" w:type="dxa"/>
          </w:tcPr>
          <w:p>
            <w:pPr>
              <w:pStyle w:val="TableParagraph"/>
              <w:rPr>
                <w:sz w:val="40"/>
              </w:rPr>
            </w:pPr>
          </w:p>
          <w:p>
            <w:pPr>
              <w:pStyle w:val="TableParagraph"/>
              <w:ind w:right="47"/>
              <w:jc w:val="right"/>
              <w:rPr>
                <w:sz w:val="31"/>
              </w:rPr>
            </w:pPr>
            <w:r>
              <w:rPr>
                <w:color w:val="0D0D0D"/>
                <w:sz w:val="31"/>
              </w:rPr>
              <w:t>0.46</w:t>
            </w:r>
          </w:p>
        </w:tc>
      </w:tr>
      <w:tr>
        <w:tblPrEx>
          <w:tblW w:w="0" w:type="auto"/>
          <w:jc w:val="left"/>
          <w:tblInd w:w="4980" w:type="dxa"/>
          <w:tblLayout w:type="fixed"/>
          <w:tblCellMar>
            <w:top w:w="0" w:type="dxa"/>
            <w:left w:w="0" w:type="dxa"/>
            <w:bottom w:w="0" w:type="dxa"/>
            <w:right w:w="0" w:type="dxa"/>
          </w:tblCellMar>
          <w:tblLook w:val="01E0"/>
        </w:tblPrEx>
        <w:trPr>
          <w:trHeight w:val="525"/>
          <w:jc w:val="left"/>
        </w:trPr>
        <w:tc>
          <w:tcPr>
            <w:tcW w:w="3332" w:type="dxa"/>
          </w:tcPr>
          <w:p>
            <w:pPr>
              <w:pStyle w:val="TableParagraph"/>
              <w:spacing w:before="66"/>
              <w:ind w:left="50"/>
              <w:rPr>
                <w:sz w:val="31"/>
              </w:rPr>
            </w:pPr>
            <w:r>
              <w:rPr>
                <w:color w:val="0D0D0D"/>
                <w:sz w:val="31"/>
              </w:rPr>
              <w:t>销售毛利率（%）</w:t>
            </w:r>
          </w:p>
        </w:tc>
        <w:tc>
          <w:tcPr>
            <w:tcW w:w="2108" w:type="dxa"/>
          </w:tcPr>
          <w:p>
            <w:pPr>
              <w:pStyle w:val="TableParagraph"/>
              <w:spacing w:before="66"/>
              <w:ind w:right="519"/>
              <w:jc w:val="right"/>
              <w:rPr>
                <w:sz w:val="31"/>
              </w:rPr>
            </w:pPr>
            <w:r>
              <w:rPr>
                <w:color w:val="0D0D0D"/>
                <w:sz w:val="31"/>
              </w:rPr>
              <w:t>20.0</w:t>
            </w:r>
          </w:p>
        </w:tc>
        <w:tc>
          <w:tcPr>
            <w:tcW w:w="2625" w:type="dxa"/>
          </w:tcPr>
          <w:p>
            <w:pPr>
              <w:pStyle w:val="TableParagraph"/>
              <w:spacing w:before="66"/>
              <w:ind w:right="815"/>
              <w:jc w:val="right"/>
              <w:rPr>
                <w:sz w:val="31"/>
              </w:rPr>
            </w:pPr>
            <w:r>
              <w:rPr>
                <w:color w:val="0D0D0D"/>
                <w:sz w:val="31"/>
              </w:rPr>
              <w:t>16.3</w:t>
            </w:r>
          </w:p>
        </w:tc>
        <w:tc>
          <w:tcPr>
            <w:tcW w:w="2178" w:type="dxa"/>
          </w:tcPr>
          <w:p>
            <w:pPr>
              <w:pStyle w:val="TableParagraph"/>
              <w:spacing w:before="66"/>
              <w:ind w:right="47"/>
              <w:jc w:val="right"/>
              <w:rPr>
                <w:sz w:val="31"/>
              </w:rPr>
            </w:pPr>
            <w:r>
              <w:rPr>
                <w:color w:val="0D0D0D"/>
                <w:sz w:val="31"/>
              </w:rPr>
              <w:t>13.2</w:t>
            </w:r>
          </w:p>
        </w:tc>
      </w:tr>
      <w:tr>
        <w:tblPrEx>
          <w:tblW w:w="0" w:type="auto"/>
          <w:jc w:val="left"/>
          <w:tblInd w:w="4980" w:type="dxa"/>
          <w:tblLayout w:type="fixed"/>
          <w:tblCellMar>
            <w:top w:w="0" w:type="dxa"/>
            <w:left w:w="0" w:type="dxa"/>
            <w:bottom w:w="0" w:type="dxa"/>
            <w:right w:w="0" w:type="dxa"/>
          </w:tblCellMar>
          <w:tblLook w:val="01E0"/>
        </w:tblPrEx>
        <w:trPr>
          <w:trHeight w:val="421"/>
          <w:jc w:val="left"/>
        </w:trPr>
        <w:tc>
          <w:tcPr>
            <w:tcW w:w="3332" w:type="dxa"/>
          </w:tcPr>
          <w:p>
            <w:pPr>
              <w:pStyle w:val="TableParagraph"/>
              <w:spacing w:before="66" w:line="335" w:lineRule="exact"/>
              <w:ind w:left="50"/>
              <w:rPr>
                <w:sz w:val="31"/>
              </w:rPr>
            </w:pPr>
            <w:r>
              <w:rPr>
                <w:color w:val="0D0D0D"/>
                <w:sz w:val="31"/>
              </w:rPr>
              <w:t>销售净利率（%）</w:t>
            </w:r>
          </w:p>
        </w:tc>
        <w:tc>
          <w:tcPr>
            <w:tcW w:w="2108" w:type="dxa"/>
          </w:tcPr>
          <w:p>
            <w:pPr>
              <w:pStyle w:val="TableParagraph"/>
              <w:spacing w:before="66" w:line="335" w:lineRule="exact"/>
              <w:ind w:right="521"/>
              <w:jc w:val="right"/>
              <w:rPr>
                <w:sz w:val="31"/>
              </w:rPr>
            </w:pPr>
            <w:r>
              <w:rPr>
                <w:color w:val="0D0D0D"/>
                <w:sz w:val="31"/>
              </w:rPr>
              <w:t>7.5</w:t>
            </w:r>
          </w:p>
        </w:tc>
        <w:tc>
          <w:tcPr>
            <w:tcW w:w="2625" w:type="dxa"/>
          </w:tcPr>
          <w:p>
            <w:pPr>
              <w:pStyle w:val="TableParagraph"/>
              <w:spacing w:before="66" w:line="335" w:lineRule="exact"/>
              <w:ind w:right="816"/>
              <w:jc w:val="right"/>
              <w:rPr>
                <w:sz w:val="31"/>
              </w:rPr>
            </w:pPr>
            <w:r>
              <w:rPr>
                <w:color w:val="0D0D0D"/>
                <w:sz w:val="31"/>
              </w:rPr>
              <w:t>4.7</w:t>
            </w:r>
          </w:p>
        </w:tc>
        <w:tc>
          <w:tcPr>
            <w:tcW w:w="2178" w:type="dxa"/>
          </w:tcPr>
          <w:p>
            <w:pPr>
              <w:pStyle w:val="TableParagraph"/>
              <w:spacing w:before="66" w:line="335" w:lineRule="exact"/>
              <w:ind w:right="47"/>
              <w:jc w:val="right"/>
              <w:rPr>
                <w:sz w:val="31"/>
              </w:rPr>
            </w:pPr>
            <w:r>
              <w:rPr>
                <w:color w:val="0D0D0D"/>
                <w:sz w:val="31"/>
              </w:rPr>
              <w:t>2.6</w:t>
            </w:r>
          </w:p>
        </w:tc>
      </w:tr>
    </w:tbl>
    <w:p>
      <w:pPr>
        <w:spacing w:after="0" w:line="335" w:lineRule="exact"/>
        <w:jc w:val="right"/>
        <w:rPr>
          <w:sz w:val="31"/>
        </w:rPr>
        <w:sectPr>
          <w:headerReference w:type="default" r:id="rId62"/>
          <w:footerReference w:type="default" r:id="rId63"/>
          <w:type w:val="continuous"/>
          <w:pgSz w:w="17860" w:h="25260"/>
          <w:pgMar w:top="1720" w:right="0" w:bottom="1940" w:left="0" w:header="708" w:footer="708"/>
          <w:pgNumType w:start="12"/>
          <w:cols w:space="708"/>
        </w:sectPr>
      </w:pPr>
    </w:p>
    <w:p>
      <w:pPr>
        <w:pStyle w:val="BodyText"/>
        <w:spacing w:before="1"/>
        <w:ind w:left="0"/>
        <w:rPr>
          <w:sz w:val="23"/>
        </w:rPr>
      </w:pPr>
    </w:p>
    <w:tbl>
      <w:tblPr>
        <w:tblStyle w:val="TableNormal2"/>
        <w:tblW w:w="0" w:type="auto"/>
        <w:jc w:val="left"/>
        <w:tblInd w:w="4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09"/>
        <w:gridCol w:w="2258"/>
        <w:gridCol w:w="2638"/>
        <w:gridCol w:w="1840"/>
      </w:tblGrid>
      <w:tr>
        <w:tblPrEx>
          <w:tblW w:w="0" w:type="auto"/>
          <w:jc w:val="left"/>
          <w:tblInd w:w="4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3509" w:type="dxa"/>
          </w:tcPr>
          <w:p>
            <w:pPr>
              <w:pStyle w:val="TableParagraph"/>
              <w:spacing w:line="359" w:lineRule="exact"/>
              <w:ind w:left="50"/>
              <w:rPr>
                <w:sz w:val="31"/>
              </w:rPr>
            </w:pPr>
            <w:r>
              <w:rPr>
                <w:color w:val="0D0D0D"/>
                <w:sz w:val="31"/>
              </w:rPr>
              <w:t>总资产周转率</w:t>
            </w:r>
          </w:p>
        </w:tc>
        <w:tc>
          <w:tcPr>
            <w:tcW w:w="2258" w:type="dxa"/>
          </w:tcPr>
          <w:p>
            <w:pPr>
              <w:pStyle w:val="TableParagraph"/>
              <w:spacing w:line="359" w:lineRule="exact"/>
              <w:ind w:right="846"/>
              <w:jc w:val="right"/>
              <w:rPr>
                <w:sz w:val="31"/>
              </w:rPr>
            </w:pPr>
            <w:r>
              <w:rPr>
                <w:color w:val="0D0D0D"/>
                <w:sz w:val="31"/>
              </w:rPr>
              <w:t>2.80</w:t>
            </w:r>
          </w:p>
        </w:tc>
        <w:tc>
          <w:tcPr>
            <w:tcW w:w="2638" w:type="dxa"/>
          </w:tcPr>
          <w:p>
            <w:pPr>
              <w:pStyle w:val="TableParagraph"/>
              <w:spacing w:line="359" w:lineRule="exact"/>
              <w:ind w:right="1155"/>
              <w:jc w:val="right"/>
              <w:rPr>
                <w:sz w:val="31"/>
              </w:rPr>
            </w:pPr>
            <w:r>
              <w:rPr>
                <w:color w:val="0D0D0D"/>
                <w:sz w:val="31"/>
              </w:rPr>
              <w:t>2.76</w:t>
            </w:r>
          </w:p>
        </w:tc>
        <w:tc>
          <w:tcPr>
            <w:tcW w:w="1840" w:type="dxa"/>
          </w:tcPr>
          <w:p>
            <w:pPr>
              <w:pStyle w:val="TableParagraph"/>
              <w:spacing w:line="359" w:lineRule="exact"/>
              <w:ind w:right="49"/>
              <w:jc w:val="right"/>
              <w:rPr>
                <w:sz w:val="31"/>
              </w:rPr>
            </w:pPr>
            <w:r>
              <w:rPr>
                <w:color w:val="0D0D0D"/>
                <w:sz w:val="31"/>
              </w:rPr>
              <w:t>2.24</w:t>
            </w:r>
          </w:p>
        </w:tc>
      </w:tr>
      <w:tr>
        <w:tblPrEx>
          <w:tblW w:w="0" w:type="auto"/>
          <w:jc w:val="left"/>
          <w:tblInd w:w="4980" w:type="dxa"/>
          <w:tblLayout w:type="fixed"/>
          <w:tblCellMar>
            <w:top w:w="0" w:type="dxa"/>
            <w:left w:w="0" w:type="dxa"/>
            <w:bottom w:w="0" w:type="dxa"/>
            <w:right w:w="0" w:type="dxa"/>
          </w:tblCellMar>
          <w:tblLook w:val="01E0"/>
        </w:tblPrEx>
        <w:trPr>
          <w:trHeight w:val="421"/>
          <w:jc w:val="left"/>
        </w:trPr>
        <w:tc>
          <w:tcPr>
            <w:tcW w:w="3509" w:type="dxa"/>
          </w:tcPr>
          <w:p>
            <w:pPr>
              <w:pStyle w:val="TableParagraph"/>
              <w:spacing w:before="67" w:line="335" w:lineRule="exact"/>
              <w:ind w:left="50"/>
              <w:rPr>
                <w:sz w:val="31"/>
              </w:rPr>
            </w:pPr>
            <w:r>
              <w:rPr>
                <w:color w:val="0D0D0D"/>
                <w:sz w:val="31"/>
              </w:rPr>
              <w:t>总资产净利率（%）</w:t>
            </w:r>
          </w:p>
        </w:tc>
        <w:tc>
          <w:tcPr>
            <w:tcW w:w="2258" w:type="dxa"/>
          </w:tcPr>
          <w:p>
            <w:pPr>
              <w:pStyle w:val="TableParagraph"/>
              <w:spacing w:before="67" w:line="335" w:lineRule="exact"/>
              <w:ind w:right="851"/>
              <w:jc w:val="right"/>
              <w:rPr>
                <w:sz w:val="31"/>
              </w:rPr>
            </w:pPr>
            <w:r>
              <w:rPr>
                <w:color w:val="0D0D0D"/>
                <w:sz w:val="31"/>
              </w:rPr>
              <w:t>21</w:t>
            </w:r>
          </w:p>
        </w:tc>
        <w:tc>
          <w:tcPr>
            <w:tcW w:w="2638" w:type="dxa"/>
          </w:tcPr>
          <w:p>
            <w:pPr>
              <w:pStyle w:val="TableParagraph"/>
              <w:spacing w:before="67" w:line="335" w:lineRule="exact"/>
              <w:ind w:right="1158"/>
              <w:jc w:val="right"/>
              <w:rPr>
                <w:sz w:val="31"/>
              </w:rPr>
            </w:pPr>
            <w:r>
              <w:rPr>
                <w:color w:val="0D0D0D"/>
                <w:sz w:val="31"/>
              </w:rPr>
              <w:t>13</w:t>
            </w:r>
          </w:p>
        </w:tc>
        <w:tc>
          <w:tcPr>
            <w:tcW w:w="1840" w:type="dxa"/>
          </w:tcPr>
          <w:p>
            <w:pPr>
              <w:pStyle w:val="TableParagraph"/>
              <w:spacing w:before="67" w:line="335" w:lineRule="exact"/>
              <w:ind w:right="54"/>
              <w:jc w:val="right"/>
              <w:rPr>
                <w:sz w:val="31"/>
              </w:rPr>
            </w:pPr>
            <w:r>
              <w:rPr>
                <w:color w:val="0D0D0D"/>
                <w:w w:val="102"/>
                <w:sz w:val="31"/>
              </w:rPr>
              <w:t>6</w:t>
            </w:r>
          </w:p>
        </w:tc>
      </w:tr>
    </w:tbl>
    <w:p>
      <w:pPr>
        <w:pStyle w:val="BodyText"/>
        <w:ind w:left="0"/>
        <w:rPr>
          <w:sz w:val="20"/>
        </w:rPr>
      </w:pPr>
    </w:p>
    <w:p>
      <w:pPr>
        <w:pStyle w:val="BodyText"/>
        <w:spacing w:before="4"/>
        <w:ind w:left="0"/>
        <w:rPr>
          <w:sz w:val="14"/>
        </w:rPr>
      </w:pPr>
    </w:p>
    <w:p>
      <w:pPr>
        <w:pStyle w:val="BodyText"/>
        <w:spacing w:before="62" w:line="247" w:lineRule="auto"/>
        <w:ind w:left="3330" w:right="6608"/>
      </w:pPr>
      <w:r>
        <w:drawing>
          <wp:anchor distT="0" distB="0" distL="0" distR="0" simplePos="0" relativeHeight="251666432" behindDoc="1" locked="0" layoutInCell="1" allowOverlap="1">
            <wp:simplePos x="0" y="0"/>
            <wp:positionH relativeFrom="page">
              <wp:posOffset>3073400</wp:posOffset>
            </wp:positionH>
            <wp:positionV relativeFrom="paragraph">
              <wp:posOffset>-927480</wp:posOffset>
            </wp:positionV>
            <wp:extent cx="6663499" cy="696753"/>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64" cstate="print"/>
                    <a:stretch>
                      <a:fillRect/>
                    </a:stretch>
                  </pic:blipFill>
                  <pic:spPr>
                    <a:xfrm>
                      <a:off x="0" y="0"/>
                      <a:ext cx="6663499" cy="696753"/>
                    </a:xfrm>
                    <a:prstGeom prst="rect">
                      <a:avLst/>
                    </a:prstGeom>
                  </pic:spPr>
                </pic:pic>
              </a:graphicData>
            </a:graphic>
          </wp:anchor>
        </w:drawing>
      </w:r>
      <w:r>
        <w:rPr>
          <w:color w:val="0D0D0D"/>
        </w:rPr>
        <w:t>假设该公司没有营业外收支和投资收益；所得税率不变。要求：</w:t>
      </w:r>
    </w:p>
    <w:p>
      <w:pPr>
        <w:pStyle w:val="ListParagraph"/>
        <w:numPr>
          <w:ilvl w:val="0"/>
          <w:numId w:val="37"/>
        </w:numPr>
        <w:tabs>
          <w:tab w:val="left" w:pos="4754"/>
        </w:tabs>
        <w:spacing w:before="0" w:after="0" w:line="396" w:lineRule="exact"/>
        <w:ind w:left="4753" w:right="0" w:hanging="790"/>
        <w:jc w:val="left"/>
        <w:rPr>
          <w:sz w:val="31"/>
        </w:rPr>
      </w:pPr>
      <w:r>
        <w:rPr>
          <w:color w:val="0D0D0D"/>
          <w:sz w:val="31"/>
        </w:rPr>
        <w:t>分析说明该公司运用资产获利能力的变化及其原因；</w:t>
      </w:r>
    </w:p>
    <w:p>
      <w:pPr>
        <w:pStyle w:val="ListParagraph"/>
        <w:numPr>
          <w:ilvl w:val="0"/>
          <w:numId w:val="37"/>
        </w:numPr>
        <w:tabs>
          <w:tab w:val="left" w:pos="4754"/>
        </w:tabs>
        <w:spacing w:before="14" w:after="0" w:line="240" w:lineRule="auto"/>
        <w:ind w:left="4753" w:right="0" w:hanging="790"/>
        <w:jc w:val="left"/>
        <w:rPr>
          <w:sz w:val="31"/>
        </w:rPr>
      </w:pPr>
      <w:r>
        <w:rPr>
          <w:color w:val="0D0D0D"/>
          <w:sz w:val="31"/>
        </w:rPr>
        <w:t>分析说明该公司资产、负债和所有者权益的变化及其原因；</w:t>
      </w:r>
    </w:p>
    <w:p>
      <w:pPr>
        <w:pStyle w:val="ListParagraph"/>
        <w:numPr>
          <w:ilvl w:val="0"/>
          <w:numId w:val="37"/>
        </w:numPr>
        <w:tabs>
          <w:tab w:val="left" w:pos="4754"/>
        </w:tabs>
        <w:spacing w:before="9" w:after="0" w:line="247" w:lineRule="auto"/>
        <w:ind w:left="2700" w:right="2685" w:firstLine="1263"/>
        <w:jc w:val="left"/>
        <w:rPr>
          <w:sz w:val="31"/>
        </w:rPr>
      </w:pPr>
      <w:r>
        <w:rPr>
          <w:color w:val="0D0D0D"/>
          <w:spacing w:val="3"/>
          <w:sz w:val="31"/>
        </w:rPr>
        <w:t>假如你是该公司的财务经理，在</w:t>
      </w:r>
      <w:r>
        <w:rPr>
          <w:color w:val="0D0D0D"/>
          <w:sz w:val="31"/>
        </w:rPr>
        <w:t>19×4 年应从哪些方面改善公司的财务状况和经营业绩。</w:t>
      </w:r>
    </w:p>
    <w:p>
      <w:pPr>
        <w:spacing w:before="0" w:line="396" w:lineRule="exact"/>
        <w:ind w:left="3172" w:right="0" w:firstLine="0"/>
        <w:jc w:val="left"/>
        <w:rPr>
          <w:sz w:val="31"/>
        </w:rPr>
      </w:pPr>
      <w:r>
        <w:rPr>
          <w:b/>
          <w:color w:val="0D0D0D"/>
          <w:sz w:val="31"/>
        </w:rPr>
        <w:t>答案</w:t>
      </w:r>
      <w:r>
        <w:rPr>
          <w:color w:val="0D0D0D"/>
          <w:sz w:val="31"/>
        </w:rPr>
        <w:t>：</w:t>
      </w:r>
    </w:p>
    <w:p>
      <w:pPr>
        <w:pStyle w:val="BodyText"/>
        <w:spacing w:before="13"/>
        <w:ind w:left="3017"/>
      </w:pPr>
      <w:r>
        <w:rPr>
          <w:color w:val="0D0D0D"/>
        </w:rPr>
        <w:t>（1）</w:t>
      </w:r>
    </w:p>
    <w:p>
      <w:pPr>
        <w:pStyle w:val="ListParagraph"/>
        <w:numPr>
          <w:ilvl w:val="0"/>
          <w:numId w:val="32"/>
        </w:numPr>
        <w:tabs>
          <w:tab w:val="left" w:pos="3807"/>
        </w:tabs>
        <w:spacing w:before="10" w:after="0" w:line="247" w:lineRule="auto"/>
        <w:ind w:left="2700" w:right="2648" w:firstLine="633"/>
        <w:jc w:val="left"/>
        <w:rPr>
          <w:sz w:val="31"/>
        </w:rPr>
      </w:pPr>
      <w:r>
        <w:rPr>
          <w:color w:val="0D0D0D"/>
          <w:spacing w:val="-1"/>
          <w:sz w:val="31"/>
        </w:rPr>
        <w:t>该公司总资产净利率在平稳下降，说明其运用资产获利的能力在降低，其原因是资</w:t>
      </w:r>
      <w:r>
        <w:rPr>
          <w:color w:val="0D0D0D"/>
          <w:sz w:val="31"/>
        </w:rPr>
        <w:t>产周转率和销售净利率都在下降。</w:t>
      </w:r>
    </w:p>
    <w:p>
      <w:pPr>
        <w:pStyle w:val="ListParagraph"/>
        <w:numPr>
          <w:ilvl w:val="0"/>
          <w:numId w:val="32"/>
        </w:numPr>
        <w:tabs>
          <w:tab w:val="left" w:pos="3807"/>
        </w:tabs>
        <w:spacing w:before="0" w:after="0" w:line="240" w:lineRule="auto"/>
        <w:ind w:left="3806" w:right="0" w:hanging="473"/>
        <w:jc w:val="left"/>
        <w:rPr>
          <w:sz w:val="31"/>
        </w:rPr>
      </w:pPr>
      <w:r>
        <w:rPr>
          <w:color w:val="0D0D0D"/>
          <w:sz w:val="31"/>
        </w:rPr>
        <w:t>总资产周转率下降的原因是平均收现期延长和存货周转率下降。</w:t>
      </w:r>
    </w:p>
    <w:p>
      <w:pPr>
        <w:pStyle w:val="ListParagraph"/>
        <w:numPr>
          <w:ilvl w:val="0"/>
          <w:numId w:val="32"/>
        </w:numPr>
        <w:tabs>
          <w:tab w:val="left" w:pos="3811"/>
        </w:tabs>
        <w:spacing w:before="13" w:after="0" w:line="244" w:lineRule="auto"/>
        <w:ind w:left="2700" w:right="2517" w:firstLine="633"/>
        <w:jc w:val="left"/>
        <w:rPr>
          <w:sz w:val="31"/>
        </w:rPr>
      </w:pPr>
      <w:r>
        <w:rPr>
          <w:color w:val="0D0D0D"/>
          <w:spacing w:val="-6"/>
          <w:sz w:val="31"/>
        </w:rPr>
        <w:t xml:space="preserve">销售净利率下降的原因是销售毛利率在下降；尽管在 </w:t>
      </w:r>
      <w:r>
        <w:rPr>
          <w:color w:val="0D0D0D"/>
          <w:sz w:val="31"/>
        </w:rPr>
        <w:t>19×3</w:t>
      </w:r>
      <w:r>
        <w:rPr>
          <w:color w:val="0D0D0D"/>
          <w:spacing w:val="-2"/>
          <w:sz w:val="31"/>
        </w:rPr>
        <w:t xml:space="preserve"> 年大力压缩了期间费用，</w:t>
      </w:r>
      <w:r>
        <w:rPr>
          <w:color w:val="0D0D0D"/>
          <w:sz w:val="31"/>
        </w:rPr>
        <w:t>仍未能改变这种趋势。</w:t>
      </w:r>
    </w:p>
    <w:p>
      <w:pPr>
        <w:pStyle w:val="BodyText"/>
        <w:spacing w:before="7"/>
        <w:ind w:left="3017"/>
      </w:pPr>
      <w:r>
        <w:rPr>
          <w:color w:val="0D0D0D"/>
        </w:rPr>
        <w:t>（2）</w:t>
      </w:r>
    </w:p>
    <w:p>
      <w:pPr>
        <w:pStyle w:val="ListParagraph"/>
        <w:numPr>
          <w:ilvl w:val="0"/>
          <w:numId w:val="31"/>
        </w:numPr>
        <w:tabs>
          <w:tab w:val="left" w:pos="3652"/>
        </w:tabs>
        <w:spacing w:before="10" w:after="0" w:line="240" w:lineRule="auto"/>
        <w:ind w:left="3652" w:right="0" w:hanging="476"/>
        <w:jc w:val="left"/>
        <w:rPr>
          <w:sz w:val="31"/>
        </w:rPr>
      </w:pPr>
      <w:r>
        <w:rPr>
          <w:color w:val="0D0D0D"/>
          <w:sz w:val="31"/>
        </w:rPr>
        <w:t>该公司总资产在增加，主要原因是存货和应收账款占用增加。</w:t>
      </w:r>
    </w:p>
    <w:p>
      <w:pPr>
        <w:pStyle w:val="ListParagraph"/>
        <w:numPr>
          <w:ilvl w:val="0"/>
          <w:numId w:val="31"/>
        </w:numPr>
        <w:tabs>
          <w:tab w:val="left" w:pos="3652"/>
        </w:tabs>
        <w:spacing w:before="9" w:after="0" w:line="247" w:lineRule="auto"/>
        <w:ind w:left="2700" w:right="2578" w:firstLine="475"/>
        <w:jc w:val="left"/>
        <w:rPr>
          <w:sz w:val="31"/>
        </w:rPr>
      </w:pPr>
      <w:r>
        <w:rPr>
          <w:color w:val="0D0D0D"/>
          <w:spacing w:val="-5"/>
          <w:sz w:val="31"/>
        </w:rPr>
        <w:t xml:space="preserve">负债是筹资的主要来源，其中主要是流动负债，所有者权益增加很少，大部分盈余  </w:t>
      </w:r>
      <w:r>
        <w:rPr>
          <w:color w:val="0D0D0D"/>
          <w:spacing w:val="-4"/>
          <w:sz w:val="31"/>
        </w:rPr>
        <w:t>都用于发放股利。</w:t>
      </w:r>
    </w:p>
    <w:p>
      <w:pPr>
        <w:pStyle w:val="ListParagraph"/>
        <w:numPr>
          <w:ilvl w:val="0"/>
          <w:numId w:val="30"/>
        </w:numPr>
        <w:tabs>
          <w:tab w:val="left" w:pos="3811"/>
        </w:tabs>
        <w:spacing w:before="0" w:after="0" w:line="247" w:lineRule="auto"/>
        <w:ind w:left="2700" w:right="2666" w:firstLine="316"/>
        <w:jc w:val="left"/>
        <w:rPr>
          <w:sz w:val="31"/>
        </w:rPr>
      </w:pPr>
      <w:r>
        <w:rPr>
          <w:color w:val="0D0D0D"/>
          <w:spacing w:val="-4"/>
          <w:sz w:val="31"/>
        </w:rPr>
        <w:t>A、扩大销售；</w:t>
      </w:r>
      <w:r>
        <w:rPr>
          <w:color w:val="0D0D0D"/>
          <w:spacing w:val="-20"/>
          <w:sz w:val="31"/>
        </w:rPr>
        <w:t>B</w:t>
      </w:r>
      <w:r>
        <w:rPr>
          <w:color w:val="0D0D0D"/>
          <w:spacing w:val="-4"/>
          <w:sz w:val="31"/>
        </w:rPr>
        <w:t>、降低存货；</w:t>
      </w:r>
      <w:r>
        <w:rPr>
          <w:color w:val="0D0D0D"/>
          <w:spacing w:val="-20"/>
          <w:sz w:val="31"/>
        </w:rPr>
        <w:t>C</w:t>
      </w:r>
      <w:r>
        <w:rPr>
          <w:color w:val="0D0D0D"/>
          <w:spacing w:val="-3"/>
          <w:sz w:val="31"/>
        </w:rPr>
        <w:t>、降低应收账款；</w:t>
      </w:r>
      <w:r>
        <w:rPr>
          <w:color w:val="0D0D0D"/>
          <w:spacing w:val="-22"/>
          <w:sz w:val="31"/>
        </w:rPr>
        <w:t>D</w:t>
      </w:r>
      <w:r>
        <w:rPr>
          <w:color w:val="0D0D0D"/>
          <w:spacing w:val="-3"/>
          <w:sz w:val="31"/>
        </w:rPr>
        <w:t>、增加收益留存；</w:t>
      </w:r>
      <w:r>
        <w:rPr>
          <w:color w:val="0D0D0D"/>
          <w:spacing w:val="-22"/>
          <w:sz w:val="31"/>
        </w:rPr>
        <w:t>E</w:t>
      </w:r>
      <w:r>
        <w:rPr>
          <w:color w:val="0D0D0D"/>
          <w:spacing w:val="-3"/>
          <w:sz w:val="31"/>
        </w:rPr>
        <w:t>、降低进货成</w:t>
      </w:r>
      <w:r>
        <w:rPr>
          <w:color w:val="0D0D0D"/>
          <w:sz w:val="31"/>
        </w:rPr>
        <w:t>本。</w:t>
      </w:r>
    </w:p>
    <w:p>
      <w:pPr>
        <w:pStyle w:val="BodyText"/>
        <w:spacing w:line="247" w:lineRule="auto"/>
        <w:ind w:left="3017" w:right="5494" w:hanging="317"/>
      </w:pPr>
      <w:r>
        <w:drawing>
          <wp:anchor distT="0" distB="0" distL="0" distR="0" simplePos="0" relativeHeight="251665408" behindDoc="1" locked="0" layoutInCell="1" allowOverlap="1">
            <wp:simplePos x="0" y="0"/>
            <wp:positionH relativeFrom="page">
              <wp:posOffset>3241675</wp:posOffset>
            </wp:positionH>
            <wp:positionV relativeFrom="paragraph">
              <wp:posOffset>745997</wp:posOffset>
            </wp:positionV>
            <wp:extent cx="6397455" cy="4357878"/>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65" cstate="print"/>
                    <a:stretch>
                      <a:fillRect/>
                    </a:stretch>
                  </pic:blipFill>
                  <pic:spPr>
                    <a:xfrm>
                      <a:off x="0" y="0"/>
                      <a:ext cx="6397455" cy="4357878"/>
                    </a:xfrm>
                    <a:prstGeom prst="rect">
                      <a:avLst/>
                    </a:prstGeom>
                  </pic:spPr>
                </pic:pic>
              </a:graphicData>
            </a:graphic>
          </wp:anchor>
        </w:drawing>
      </w:r>
      <w:r>
        <w:rPr>
          <w:color w:val="0D0D0D"/>
        </w:rPr>
        <w:t>3</w:t>
      </w:r>
      <w:r>
        <w:rPr>
          <w:color w:val="0D0D0D"/>
          <w:spacing w:val="-1"/>
        </w:rPr>
        <w:t xml:space="preserve">、采用财务比率综合评分法对中恒公司的财务状况进行综合财务分析 </w:t>
      </w:r>
      <w:r>
        <w:rPr>
          <w:color w:val="0D0D0D"/>
          <w:spacing w:val="-2"/>
        </w:rPr>
        <w:t>[资料]选定的财务比率的评分值与标准值见下表。</w:t>
      </w:r>
    </w:p>
    <w:p>
      <w:pPr>
        <w:pStyle w:val="BodyText"/>
        <w:ind w:left="0"/>
        <w:rPr>
          <w:sz w:val="20"/>
        </w:rPr>
      </w:pPr>
    </w:p>
    <w:p>
      <w:pPr>
        <w:pStyle w:val="BodyText"/>
        <w:spacing w:before="5"/>
        <w:ind w:left="0"/>
        <w:rPr>
          <w:sz w:val="18"/>
        </w:rPr>
      </w:pPr>
    </w:p>
    <w:tbl>
      <w:tblPr>
        <w:tblStyle w:val="TableNormal2"/>
        <w:tblW w:w="0" w:type="auto"/>
        <w:jc w:val="left"/>
        <w:tblInd w:w="55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25"/>
        <w:gridCol w:w="2080"/>
        <w:gridCol w:w="2531"/>
        <w:gridCol w:w="2144"/>
      </w:tblGrid>
      <w:tr>
        <w:tblPrEx>
          <w:tblW w:w="0" w:type="auto"/>
          <w:jc w:val="left"/>
          <w:tblInd w:w="55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2725" w:type="dxa"/>
          </w:tcPr>
          <w:p>
            <w:pPr>
              <w:pStyle w:val="TableParagraph"/>
              <w:spacing w:line="359" w:lineRule="exact"/>
              <w:ind w:left="50"/>
              <w:rPr>
                <w:sz w:val="31"/>
              </w:rPr>
            </w:pPr>
            <w:r>
              <w:rPr>
                <w:color w:val="0D0D0D"/>
                <w:sz w:val="31"/>
              </w:rPr>
              <w:t>财务比率</w:t>
            </w:r>
          </w:p>
        </w:tc>
        <w:tc>
          <w:tcPr>
            <w:tcW w:w="2080" w:type="dxa"/>
          </w:tcPr>
          <w:p>
            <w:pPr>
              <w:pStyle w:val="TableParagraph"/>
              <w:spacing w:line="359" w:lineRule="exact"/>
              <w:ind w:right="436"/>
              <w:jc w:val="right"/>
              <w:rPr>
                <w:sz w:val="31"/>
              </w:rPr>
            </w:pPr>
            <w:r>
              <w:rPr>
                <w:color w:val="0D0D0D"/>
                <w:sz w:val="31"/>
              </w:rPr>
              <w:t>评分值 1</w:t>
            </w:r>
          </w:p>
        </w:tc>
        <w:tc>
          <w:tcPr>
            <w:tcW w:w="2531" w:type="dxa"/>
          </w:tcPr>
          <w:p>
            <w:pPr>
              <w:pStyle w:val="TableParagraph"/>
              <w:spacing w:line="359" w:lineRule="exact"/>
              <w:ind w:left="437"/>
              <w:rPr>
                <w:sz w:val="31"/>
              </w:rPr>
            </w:pPr>
            <w:r>
              <w:rPr>
                <w:color w:val="0D0D0D"/>
                <w:sz w:val="31"/>
              </w:rPr>
              <w:t>上/下限 2</w:t>
            </w:r>
          </w:p>
        </w:tc>
        <w:tc>
          <w:tcPr>
            <w:tcW w:w="2144" w:type="dxa"/>
          </w:tcPr>
          <w:p>
            <w:pPr>
              <w:pStyle w:val="TableParagraph"/>
              <w:spacing w:line="359" w:lineRule="exact"/>
              <w:ind w:left="514"/>
              <w:rPr>
                <w:sz w:val="31"/>
              </w:rPr>
            </w:pPr>
            <w:r>
              <w:rPr>
                <w:color w:val="0D0D0D"/>
                <w:sz w:val="31"/>
              </w:rPr>
              <w:t>标准值 3</w:t>
            </w:r>
          </w:p>
        </w:tc>
      </w:tr>
      <w:tr>
        <w:tblPrEx>
          <w:tblW w:w="0" w:type="auto"/>
          <w:jc w:val="left"/>
          <w:tblInd w:w="5566" w:type="dxa"/>
          <w:tblLayout w:type="fixed"/>
          <w:tblCellMar>
            <w:top w:w="0" w:type="dxa"/>
            <w:left w:w="0" w:type="dxa"/>
            <w:bottom w:w="0" w:type="dxa"/>
            <w:right w:w="0" w:type="dxa"/>
          </w:tblCellMar>
          <w:tblLook w:val="01E0"/>
        </w:tblPrEx>
        <w:trPr>
          <w:trHeight w:val="545"/>
          <w:jc w:val="left"/>
        </w:trPr>
        <w:tc>
          <w:tcPr>
            <w:tcW w:w="2725" w:type="dxa"/>
          </w:tcPr>
          <w:p>
            <w:pPr>
              <w:pStyle w:val="TableParagraph"/>
              <w:spacing w:before="67"/>
              <w:ind w:left="50"/>
              <w:rPr>
                <w:sz w:val="31"/>
              </w:rPr>
            </w:pPr>
            <w:r>
              <w:rPr>
                <w:color w:val="0D0D0D"/>
                <w:sz w:val="31"/>
              </w:rPr>
              <w:t>流动比率</w:t>
            </w:r>
          </w:p>
        </w:tc>
        <w:tc>
          <w:tcPr>
            <w:tcW w:w="2080" w:type="dxa"/>
          </w:tcPr>
          <w:p>
            <w:pPr>
              <w:pStyle w:val="TableParagraph"/>
              <w:spacing w:before="106"/>
              <w:ind w:left="326"/>
              <w:jc w:val="center"/>
              <w:rPr>
                <w:sz w:val="31"/>
              </w:rPr>
            </w:pPr>
            <w:r>
              <w:rPr>
                <w:color w:val="0D0D0D"/>
                <w:w w:val="102"/>
                <w:sz w:val="31"/>
              </w:rPr>
              <w:t>8</w:t>
            </w:r>
          </w:p>
        </w:tc>
        <w:tc>
          <w:tcPr>
            <w:tcW w:w="2531" w:type="dxa"/>
          </w:tcPr>
          <w:p>
            <w:pPr>
              <w:pStyle w:val="TableParagraph"/>
              <w:spacing w:before="106"/>
              <w:ind w:left="1269"/>
              <w:rPr>
                <w:sz w:val="31"/>
              </w:rPr>
            </w:pPr>
            <w:r>
              <w:rPr>
                <w:color w:val="0D0D0D"/>
                <w:sz w:val="31"/>
              </w:rPr>
              <w:t>20/5</w:t>
            </w:r>
          </w:p>
        </w:tc>
        <w:tc>
          <w:tcPr>
            <w:tcW w:w="2144" w:type="dxa"/>
          </w:tcPr>
          <w:p>
            <w:pPr>
              <w:pStyle w:val="TableParagraph"/>
              <w:rPr>
                <w:rFonts w:ascii="Times New Roman"/>
                <w:sz w:val="30"/>
              </w:rPr>
            </w:pPr>
          </w:p>
        </w:tc>
      </w:tr>
      <w:tr>
        <w:tblPrEx>
          <w:tblW w:w="0" w:type="auto"/>
          <w:jc w:val="left"/>
          <w:tblInd w:w="5566" w:type="dxa"/>
          <w:tblLayout w:type="fixed"/>
          <w:tblCellMar>
            <w:top w:w="0" w:type="dxa"/>
            <w:left w:w="0" w:type="dxa"/>
            <w:bottom w:w="0" w:type="dxa"/>
            <w:right w:w="0" w:type="dxa"/>
          </w:tblCellMar>
          <w:tblLook w:val="01E0"/>
        </w:tblPrEx>
        <w:trPr>
          <w:trHeight w:val="523"/>
          <w:jc w:val="left"/>
        </w:trPr>
        <w:tc>
          <w:tcPr>
            <w:tcW w:w="2725" w:type="dxa"/>
          </w:tcPr>
          <w:p>
            <w:pPr>
              <w:pStyle w:val="TableParagraph"/>
              <w:spacing w:before="47"/>
              <w:ind w:left="50"/>
              <w:rPr>
                <w:sz w:val="31"/>
              </w:rPr>
            </w:pPr>
            <w:r>
              <w:rPr>
                <w:color w:val="0D0D0D"/>
                <w:sz w:val="31"/>
              </w:rPr>
              <w:t>速动比率</w:t>
            </w:r>
          </w:p>
        </w:tc>
        <w:tc>
          <w:tcPr>
            <w:tcW w:w="2080" w:type="dxa"/>
          </w:tcPr>
          <w:p>
            <w:pPr>
              <w:pStyle w:val="TableParagraph"/>
              <w:spacing w:before="86"/>
              <w:ind w:left="326"/>
              <w:jc w:val="center"/>
              <w:rPr>
                <w:sz w:val="31"/>
              </w:rPr>
            </w:pPr>
            <w:r>
              <w:rPr>
                <w:color w:val="0D0D0D"/>
                <w:w w:val="102"/>
                <w:sz w:val="31"/>
              </w:rPr>
              <w:t>8</w:t>
            </w:r>
          </w:p>
        </w:tc>
        <w:tc>
          <w:tcPr>
            <w:tcW w:w="2531" w:type="dxa"/>
          </w:tcPr>
          <w:p>
            <w:pPr>
              <w:pStyle w:val="TableParagraph"/>
              <w:spacing w:before="86"/>
              <w:ind w:left="1269"/>
              <w:rPr>
                <w:sz w:val="31"/>
              </w:rPr>
            </w:pPr>
            <w:r>
              <w:rPr>
                <w:color w:val="0D0D0D"/>
                <w:sz w:val="31"/>
              </w:rPr>
              <w:t>20/5</w:t>
            </w:r>
          </w:p>
        </w:tc>
        <w:tc>
          <w:tcPr>
            <w:tcW w:w="2144" w:type="dxa"/>
          </w:tcPr>
          <w:p>
            <w:pPr>
              <w:pStyle w:val="TableParagraph"/>
              <w:spacing w:before="86"/>
              <w:ind w:right="126"/>
              <w:jc w:val="right"/>
              <w:rPr>
                <w:sz w:val="31"/>
              </w:rPr>
            </w:pPr>
            <w:r>
              <w:rPr>
                <w:color w:val="0D0D0D"/>
                <w:sz w:val="31"/>
              </w:rPr>
              <w:t>1.2</w:t>
            </w:r>
          </w:p>
        </w:tc>
      </w:tr>
      <w:tr>
        <w:tblPrEx>
          <w:tblW w:w="0" w:type="auto"/>
          <w:jc w:val="left"/>
          <w:tblInd w:w="5566" w:type="dxa"/>
          <w:tblLayout w:type="fixed"/>
          <w:tblCellMar>
            <w:top w:w="0" w:type="dxa"/>
            <w:left w:w="0" w:type="dxa"/>
            <w:bottom w:w="0" w:type="dxa"/>
            <w:right w:w="0" w:type="dxa"/>
          </w:tblCellMar>
          <w:tblLook w:val="01E0"/>
        </w:tblPrEx>
        <w:trPr>
          <w:trHeight w:val="525"/>
          <w:jc w:val="left"/>
        </w:trPr>
        <w:tc>
          <w:tcPr>
            <w:tcW w:w="2725" w:type="dxa"/>
          </w:tcPr>
          <w:p>
            <w:pPr>
              <w:pStyle w:val="TableParagraph"/>
              <w:spacing w:before="45"/>
              <w:ind w:left="50"/>
              <w:rPr>
                <w:sz w:val="31"/>
              </w:rPr>
            </w:pPr>
            <w:r>
              <w:rPr>
                <w:color w:val="0D0D0D"/>
                <w:sz w:val="31"/>
              </w:rPr>
              <w:t>现金流量比率</w:t>
            </w:r>
          </w:p>
        </w:tc>
        <w:tc>
          <w:tcPr>
            <w:tcW w:w="2080" w:type="dxa"/>
          </w:tcPr>
          <w:p>
            <w:pPr>
              <w:pStyle w:val="TableParagraph"/>
              <w:spacing w:before="88"/>
              <w:ind w:left="326"/>
              <w:jc w:val="center"/>
              <w:rPr>
                <w:sz w:val="31"/>
              </w:rPr>
            </w:pPr>
            <w:r>
              <w:rPr>
                <w:color w:val="0D0D0D"/>
                <w:w w:val="102"/>
                <w:sz w:val="31"/>
              </w:rPr>
              <w:t>6</w:t>
            </w:r>
          </w:p>
        </w:tc>
        <w:tc>
          <w:tcPr>
            <w:tcW w:w="2531" w:type="dxa"/>
          </w:tcPr>
          <w:p>
            <w:pPr>
              <w:pStyle w:val="TableParagraph"/>
              <w:spacing w:before="88"/>
              <w:ind w:left="1269"/>
              <w:rPr>
                <w:sz w:val="31"/>
              </w:rPr>
            </w:pPr>
            <w:r>
              <w:rPr>
                <w:color w:val="0D0D0D"/>
                <w:sz w:val="31"/>
              </w:rPr>
              <w:t>15/4</w:t>
            </w:r>
          </w:p>
        </w:tc>
        <w:tc>
          <w:tcPr>
            <w:tcW w:w="2144" w:type="dxa"/>
          </w:tcPr>
          <w:p>
            <w:pPr>
              <w:pStyle w:val="TableParagraph"/>
              <w:spacing w:before="88"/>
              <w:ind w:right="47"/>
              <w:jc w:val="right"/>
              <w:rPr>
                <w:sz w:val="31"/>
              </w:rPr>
            </w:pPr>
            <w:r>
              <w:rPr>
                <w:color w:val="0D0D0D"/>
                <w:sz w:val="31"/>
              </w:rPr>
              <w:t>1.55</w:t>
            </w:r>
          </w:p>
        </w:tc>
      </w:tr>
      <w:tr>
        <w:tblPrEx>
          <w:tblW w:w="0" w:type="auto"/>
          <w:jc w:val="left"/>
          <w:tblInd w:w="5566" w:type="dxa"/>
          <w:tblLayout w:type="fixed"/>
          <w:tblCellMar>
            <w:top w:w="0" w:type="dxa"/>
            <w:left w:w="0" w:type="dxa"/>
            <w:bottom w:w="0" w:type="dxa"/>
            <w:right w:w="0" w:type="dxa"/>
          </w:tblCellMar>
          <w:tblLook w:val="01E0"/>
        </w:tblPrEx>
        <w:trPr>
          <w:trHeight w:val="525"/>
          <w:jc w:val="left"/>
        </w:trPr>
        <w:tc>
          <w:tcPr>
            <w:tcW w:w="2725" w:type="dxa"/>
          </w:tcPr>
          <w:p>
            <w:pPr>
              <w:pStyle w:val="TableParagraph"/>
              <w:spacing w:before="45"/>
              <w:ind w:left="50"/>
              <w:rPr>
                <w:sz w:val="31"/>
              </w:rPr>
            </w:pPr>
            <w:r>
              <w:rPr>
                <w:color w:val="0D0D0D"/>
                <w:sz w:val="31"/>
              </w:rPr>
              <w:t>资产/负债</w:t>
            </w:r>
          </w:p>
        </w:tc>
        <w:tc>
          <w:tcPr>
            <w:tcW w:w="2080" w:type="dxa"/>
          </w:tcPr>
          <w:p>
            <w:pPr>
              <w:pStyle w:val="TableParagraph"/>
              <w:spacing w:before="88"/>
              <w:ind w:left="963" w:right="702"/>
              <w:jc w:val="center"/>
              <w:rPr>
                <w:sz w:val="31"/>
              </w:rPr>
            </w:pPr>
            <w:r>
              <w:rPr>
                <w:color w:val="0D0D0D"/>
                <w:sz w:val="31"/>
              </w:rPr>
              <w:t>10</w:t>
            </w:r>
          </w:p>
        </w:tc>
        <w:tc>
          <w:tcPr>
            <w:tcW w:w="2531" w:type="dxa"/>
          </w:tcPr>
          <w:p>
            <w:pPr>
              <w:pStyle w:val="TableParagraph"/>
              <w:spacing w:before="88"/>
              <w:ind w:left="1280"/>
              <w:rPr>
                <w:sz w:val="31"/>
              </w:rPr>
            </w:pPr>
            <w:r>
              <w:rPr>
                <w:color w:val="0D0D0D"/>
                <w:sz w:val="31"/>
              </w:rPr>
              <w:t>20/5</w:t>
            </w:r>
          </w:p>
        </w:tc>
        <w:tc>
          <w:tcPr>
            <w:tcW w:w="2144" w:type="dxa"/>
          </w:tcPr>
          <w:p>
            <w:pPr>
              <w:pStyle w:val="TableParagraph"/>
              <w:spacing w:before="88"/>
              <w:ind w:right="195"/>
              <w:jc w:val="right"/>
              <w:rPr>
                <w:sz w:val="31"/>
              </w:rPr>
            </w:pPr>
            <w:r>
              <w:rPr>
                <w:color w:val="0D0D0D"/>
                <w:sz w:val="31"/>
              </w:rPr>
              <w:t>2.10</w:t>
            </w:r>
          </w:p>
        </w:tc>
      </w:tr>
      <w:tr>
        <w:tblPrEx>
          <w:tblW w:w="0" w:type="auto"/>
          <w:jc w:val="left"/>
          <w:tblInd w:w="5566" w:type="dxa"/>
          <w:tblLayout w:type="fixed"/>
          <w:tblCellMar>
            <w:top w:w="0" w:type="dxa"/>
            <w:left w:w="0" w:type="dxa"/>
            <w:bottom w:w="0" w:type="dxa"/>
            <w:right w:w="0" w:type="dxa"/>
          </w:tblCellMar>
          <w:tblLook w:val="01E0"/>
        </w:tblPrEx>
        <w:trPr>
          <w:trHeight w:val="525"/>
          <w:jc w:val="left"/>
        </w:trPr>
        <w:tc>
          <w:tcPr>
            <w:tcW w:w="2725" w:type="dxa"/>
          </w:tcPr>
          <w:p>
            <w:pPr>
              <w:pStyle w:val="TableParagraph"/>
              <w:spacing w:before="45"/>
              <w:ind w:left="50"/>
              <w:rPr>
                <w:sz w:val="31"/>
              </w:rPr>
            </w:pPr>
            <w:r>
              <w:rPr>
                <w:color w:val="0D0D0D"/>
                <w:sz w:val="31"/>
              </w:rPr>
              <w:t>存货周转率</w:t>
            </w:r>
          </w:p>
        </w:tc>
        <w:tc>
          <w:tcPr>
            <w:tcW w:w="2080" w:type="dxa"/>
          </w:tcPr>
          <w:p>
            <w:pPr>
              <w:pStyle w:val="TableParagraph"/>
              <w:spacing w:before="88"/>
              <w:ind w:left="995" w:right="669"/>
              <w:jc w:val="center"/>
              <w:rPr>
                <w:sz w:val="31"/>
              </w:rPr>
            </w:pPr>
            <w:r>
              <w:rPr>
                <w:color w:val="0D0D0D"/>
                <w:sz w:val="31"/>
              </w:rPr>
              <w:t>10</w:t>
            </w:r>
          </w:p>
        </w:tc>
        <w:tc>
          <w:tcPr>
            <w:tcW w:w="2531" w:type="dxa"/>
          </w:tcPr>
          <w:p>
            <w:pPr>
              <w:pStyle w:val="TableParagraph"/>
              <w:spacing w:before="88"/>
              <w:ind w:left="1255"/>
              <w:rPr>
                <w:sz w:val="31"/>
              </w:rPr>
            </w:pPr>
            <w:r>
              <w:rPr>
                <w:color w:val="0D0D0D"/>
                <w:sz w:val="31"/>
              </w:rPr>
              <w:t>20/5</w:t>
            </w:r>
          </w:p>
        </w:tc>
        <w:tc>
          <w:tcPr>
            <w:tcW w:w="2144" w:type="dxa"/>
          </w:tcPr>
          <w:p>
            <w:pPr>
              <w:pStyle w:val="TableParagraph"/>
              <w:spacing w:before="88"/>
              <w:ind w:right="58"/>
              <w:jc w:val="right"/>
              <w:rPr>
                <w:sz w:val="31"/>
              </w:rPr>
            </w:pPr>
            <w:r>
              <w:rPr>
                <w:color w:val="0D0D0D"/>
                <w:sz w:val="31"/>
              </w:rPr>
              <w:t>8.66</w:t>
            </w:r>
          </w:p>
        </w:tc>
      </w:tr>
      <w:tr>
        <w:tblPrEx>
          <w:tblW w:w="0" w:type="auto"/>
          <w:jc w:val="left"/>
          <w:tblInd w:w="5566" w:type="dxa"/>
          <w:tblLayout w:type="fixed"/>
          <w:tblCellMar>
            <w:top w:w="0" w:type="dxa"/>
            <w:left w:w="0" w:type="dxa"/>
            <w:bottom w:w="0" w:type="dxa"/>
            <w:right w:w="0" w:type="dxa"/>
          </w:tblCellMar>
          <w:tblLook w:val="01E0"/>
        </w:tblPrEx>
        <w:trPr>
          <w:trHeight w:val="525"/>
          <w:jc w:val="left"/>
        </w:trPr>
        <w:tc>
          <w:tcPr>
            <w:tcW w:w="2725" w:type="dxa"/>
          </w:tcPr>
          <w:p>
            <w:pPr>
              <w:pStyle w:val="TableParagraph"/>
              <w:spacing w:before="45"/>
              <w:ind w:left="50"/>
              <w:rPr>
                <w:sz w:val="31"/>
              </w:rPr>
            </w:pPr>
            <w:r>
              <w:rPr>
                <w:color w:val="0D0D0D"/>
                <w:sz w:val="31"/>
              </w:rPr>
              <w:t>应收账款周转率</w:t>
            </w:r>
          </w:p>
        </w:tc>
        <w:tc>
          <w:tcPr>
            <w:tcW w:w="2080" w:type="dxa"/>
          </w:tcPr>
          <w:p>
            <w:pPr>
              <w:pStyle w:val="TableParagraph"/>
              <w:spacing w:before="88"/>
              <w:ind w:left="326"/>
              <w:jc w:val="center"/>
              <w:rPr>
                <w:sz w:val="31"/>
              </w:rPr>
            </w:pPr>
            <w:r>
              <w:rPr>
                <w:color w:val="0D0D0D"/>
                <w:w w:val="102"/>
                <w:sz w:val="31"/>
              </w:rPr>
              <w:t>8</w:t>
            </w:r>
          </w:p>
        </w:tc>
        <w:tc>
          <w:tcPr>
            <w:tcW w:w="2531" w:type="dxa"/>
          </w:tcPr>
          <w:p>
            <w:pPr>
              <w:pStyle w:val="TableParagraph"/>
              <w:spacing w:before="88"/>
              <w:ind w:left="1269"/>
              <w:rPr>
                <w:sz w:val="31"/>
              </w:rPr>
            </w:pPr>
            <w:r>
              <w:rPr>
                <w:color w:val="0D0D0D"/>
                <w:sz w:val="31"/>
              </w:rPr>
              <w:t>20/4</w:t>
            </w:r>
          </w:p>
        </w:tc>
        <w:tc>
          <w:tcPr>
            <w:tcW w:w="2144" w:type="dxa"/>
          </w:tcPr>
          <w:p>
            <w:pPr>
              <w:pStyle w:val="TableParagraph"/>
              <w:spacing w:before="88"/>
              <w:ind w:right="126"/>
              <w:jc w:val="right"/>
              <w:rPr>
                <w:sz w:val="31"/>
              </w:rPr>
            </w:pPr>
            <w:r>
              <w:rPr>
                <w:color w:val="0D0D0D"/>
                <w:sz w:val="31"/>
              </w:rPr>
              <w:t>17.65</w:t>
            </w:r>
          </w:p>
        </w:tc>
      </w:tr>
      <w:tr>
        <w:tblPrEx>
          <w:tblW w:w="0" w:type="auto"/>
          <w:jc w:val="left"/>
          <w:tblInd w:w="5566" w:type="dxa"/>
          <w:tblLayout w:type="fixed"/>
          <w:tblCellMar>
            <w:top w:w="0" w:type="dxa"/>
            <w:left w:w="0" w:type="dxa"/>
            <w:bottom w:w="0" w:type="dxa"/>
            <w:right w:w="0" w:type="dxa"/>
          </w:tblCellMar>
          <w:tblLook w:val="01E0"/>
        </w:tblPrEx>
        <w:trPr>
          <w:trHeight w:val="523"/>
          <w:jc w:val="left"/>
        </w:trPr>
        <w:tc>
          <w:tcPr>
            <w:tcW w:w="2725" w:type="dxa"/>
          </w:tcPr>
          <w:p>
            <w:pPr>
              <w:pStyle w:val="TableParagraph"/>
              <w:spacing w:before="45"/>
              <w:ind w:left="50"/>
              <w:rPr>
                <w:sz w:val="31"/>
              </w:rPr>
            </w:pPr>
            <w:r>
              <w:rPr>
                <w:color w:val="0D0D0D"/>
                <w:sz w:val="31"/>
              </w:rPr>
              <w:t>总资产周转率</w:t>
            </w:r>
          </w:p>
        </w:tc>
        <w:tc>
          <w:tcPr>
            <w:tcW w:w="2080" w:type="dxa"/>
          </w:tcPr>
          <w:p>
            <w:pPr>
              <w:pStyle w:val="TableParagraph"/>
              <w:spacing w:before="84"/>
              <w:ind w:left="995" w:right="669"/>
              <w:jc w:val="center"/>
              <w:rPr>
                <w:sz w:val="31"/>
              </w:rPr>
            </w:pPr>
            <w:r>
              <w:rPr>
                <w:color w:val="0D0D0D"/>
                <w:sz w:val="31"/>
              </w:rPr>
              <w:t>10</w:t>
            </w:r>
          </w:p>
        </w:tc>
        <w:tc>
          <w:tcPr>
            <w:tcW w:w="2531" w:type="dxa"/>
          </w:tcPr>
          <w:p>
            <w:pPr>
              <w:pStyle w:val="TableParagraph"/>
              <w:spacing w:before="84"/>
              <w:ind w:left="1255"/>
              <w:rPr>
                <w:sz w:val="31"/>
              </w:rPr>
            </w:pPr>
            <w:r>
              <w:rPr>
                <w:color w:val="0D0D0D"/>
                <w:sz w:val="31"/>
              </w:rPr>
              <w:t>20/5</w:t>
            </w:r>
          </w:p>
        </w:tc>
        <w:tc>
          <w:tcPr>
            <w:tcW w:w="2144" w:type="dxa"/>
          </w:tcPr>
          <w:p>
            <w:pPr>
              <w:pStyle w:val="TableParagraph"/>
              <w:spacing w:before="84"/>
              <w:ind w:right="58"/>
              <w:jc w:val="right"/>
              <w:rPr>
                <w:sz w:val="31"/>
              </w:rPr>
            </w:pPr>
            <w:r>
              <w:rPr>
                <w:color w:val="0D0D0D"/>
                <w:sz w:val="31"/>
              </w:rPr>
              <w:t>2.76</w:t>
            </w:r>
          </w:p>
        </w:tc>
      </w:tr>
      <w:tr>
        <w:tblPrEx>
          <w:tblW w:w="0" w:type="auto"/>
          <w:jc w:val="left"/>
          <w:tblInd w:w="5566" w:type="dxa"/>
          <w:tblLayout w:type="fixed"/>
          <w:tblCellMar>
            <w:top w:w="0" w:type="dxa"/>
            <w:left w:w="0" w:type="dxa"/>
            <w:bottom w:w="0" w:type="dxa"/>
            <w:right w:w="0" w:type="dxa"/>
          </w:tblCellMar>
          <w:tblLook w:val="01E0"/>
        </w:tblPrEx>
        <w:trPr>
          <w:trHeight w:val="523"/>
          <w:jc w:val="left"/>
        </w:trPr>
        <w:tc>
          <w:tcPr>
            <w:tcW w:w="2725" w:type="dxa"/>
          </w:tcPr>
          <w:p>
            <w:pPr>
              <w:pStyle w:val="TableParagraph"/>
              <w:spacing w:before="47"/>
              <w:ind w:left="50"/>
              <w:rPr>
                <w:sz w:val="31"/>
              </w:rPr>
            </w:pPr>
            <w:r>
              <w:rPr>
                <w:color w:val="0D0D0D"/>
                <w:sz w:val="31"/>
              </w:rPr>
              <w:t>资产报酬率</w:t>
            </w:r>
          </w:p>
        </w:tc>
        <w:tc>
          <w:tcPr>
            <w:tcW w:w="2080" w:type="dxa"/>
          </w:tcPr>
          <w:p>
            <w:pPr>
              <w:pStyle w:val="TableParagraph"/>
              <w:spacing w:before="86"/>
              <w:ind w:right="554"/>
              <w:jc w:val="right"/>
              <w:rPr>
                <w:sz w:val="31"/>
              </w:rPr>
            </w:pPr>
            <w:r>
              <w:rPr>
                <w:color w:val="0D0D0D"/>
                <w:sz w:val="31"/>
              </w:rPr>
              <w:t>20/5</w:t>
            </w:r>
          </w:p>
        </w:tc>
        <w:tc>
          <w:tcPr>
            <w:tcW w:w="2531" w:type="dxa"/>
          </w:tcPr>
          <w:p>
            <w:pPr>
              <w:pStyle w:val="TableParagraph"/>
              <w:spacing w:before="86"/>
              <w:ind w:left="1067"/>
              <w:rPr>
                <w:sz w:val="31"/>
              </w:rPr>
            </w:pPr>
            <w:r>
              <w:rPr>
                <w:color w:val="0D0D0D"/>
                <w:sz w:val="31"/>
              </w:rPr>
              <w:t>38.97%</w:t>
            </w:r>
          </w:p>
        </w:tc>
        <w:tc>
          <w:tcPr>
            <w:tcW w:w="2144" w:type="dxa"/>
          </w:tcPr>
          <w:p>
            <w:pPr>
              <w:pStyle w:val="TableParagraph"/>
              <w:spacing w:before="86"/>
              <w:ind w:right="195"/>
              <w:jc w:val="right"/>
              <w:rPr>
                <w:sz w:val="31"/>
              </w:rPr>
            </w:pPr>
            <w:r>
              <w:rPr>
                <w:color w:val="0D0D0D"/>
                <w:sz w:val="31"/>
              </w:rPr>
              <w:t>38.97%</w:t>
            </w:r>
          </w:p>
        </w:tc>
      </w:tr>
      <w:tr>
        <w:tblPrEx>
          <w:tblW w:w="0" w:type="auto"/>
          <w:jc w:val="left"/>
          <w:tblInd w:w="5566" w:type="dxa"/>
          <w:tblLayout w:type="fixed"/>
          <w:tblCellMar>
            <w:top w:w="0" w:type="dxa"/>
            <w:left w:w="0" w:type="dxa"/>
            <w:bottom w:w="0" w:type="dxa"/>
            <w:right w:w="0" w:type="dxa"/>
          </w:tblCellMar>
          <w:tblLook w:val="01E0"/>
        </w:tblPrEx>
        <w:trPr>
          <w:trHeight w:val="525"/>
          <w:jc w:val="left"/>
        </w:trPr>
        <w:tc>
          <w:tcPr>
            <w:tcW w:w="2725" w:type="dxa"/>
          </w:tcPr>
          <w:p>
            <w:pPr>
              <w:pStyle w:val="TableParagraph"/>
              <w:spacing w:before="45"/>
              <w:ind w:left="50"/>
              <w:rPr>
                <w:sz w:val="31"/>
              </w:rPr>
            </w:pPr>
            <w:r>
              <w:rPr>
                <w:color w:val="0D0D0D"/>
                <w:sz w:val="31"/>
              </w:rPr>
              <w:t>股权报酬率</w:t>
            </w:r>
          </w:p>
        </w:tc>
        <w:tc>
          <w:tcPr>
            <w:tcW w:w="2080" w:type="dxa"/>
          </w:tcPr>
          <w:p>
            <w:pPr>
              <w:pStyle w:val="TableParagraph"/>
              <w:spacing w:before="88"/>
              <w:ind w:left="995" w:right="669"/>
              <w:jc w:val="center"/>
              <w:rPr>
                <w:sz w:val="31"/>
              </w:rPr>
            </w:pPr>
            <w:r>
              <w:rPr>
                <w:color w:val="0D0D0D"/>
                <w:sz w:val="31"/>
              </w:rPr>
              <w:t>10</w:t>
            </w:r>
          </w:p>
        </w:tc>
        <w:tc>
          <w:tcPr>
            <w:tcW w:w="2531" w:type="dxa"/>
          </w:tcPr>
          <w:p>
            <w:pPr>
              <w:pStyle w:val="TableParagraph"/>
              <w:spacing w:before="88"/>
              <w:ind w:left="1255"/>
              <w:rPr>
                <w:sz w:val="31"/>
              </w:rPr>
            </w:pPr>
            <w:r>
              <w:rPr>
                <w:color w:val="0D0D0D"/>
                <w:sz w:val="31"/>
              </w:rPr>
              <w:t>20/5</w:t>
            </w:r>
          </w:p>
        </w:tc>
        <w:tc>
          <w:tcPr>
            <w:tcW w:w="2144" w:type="dxa"/>
          </w:tcPr>
          <w:p>
            <w:pPr>
              <w:pStyle w:val="TableParagraph"/>
              <w:spacing w:before="88"/>
              <w:ind w:left="974"/>
              <w:rPr>
                <w:sz w:val="31"/>
              </w:rPr>
            </w:pPr>
            <w:r>
              <w:rPr>
                <w:color w:val="0D0D0D"/>
                <w:sz w:val="31"/>
              </w:rPr>
              <w:t>67.81%</w:t>
            </w:r>
          </w:p>
        </w:tc>
      </w:tr>
      <w:tr>
        <w:tblPrEx>
          <w:tblW w:w="0" w:type="auto"/>
          <w:jc w:val="left"/>
          <w:tblInd w:w="5566" w:type="dxa"/>
          <w:tblLayout w:type="fixed"/>
          <w:tblCellMar>
            <w:top w:w="0" w:type="dxa"/>
            <w:left w:w="0" w:type="dxa"/>
            <w:bottom w:w="0" w:type="dxa"/>
            <w:right w:w="0" w:type="dxa"/>
          </w:tblCellMar>
          <w:tblLook w:val="01E0"/>
        </w:tblPrEx>
        <w:trPr>
          <w:trHeight w:val="526"/>
          <w:jc w:val="left"/>
        </w:trPr>
        <w:tc>
          <w:tcPr>
            <w:tcW w:w="2725" w:type="dxa"/>
          </w:tcPr>
          <w:p>
            <w:pPr>
              <w:pStyle w:val="TableParagraph"/>
              <w:spacing w:before="45"/>
              <w:ind w:left="50"/>
              <w:rPr>
                <w:sz w:val="31"/>
              </w:rPr>
            </w:pPr>
            <w:r>
              <w:rPr>
                <w:color w:val="0D0D0D"/>
                <w:sz w:val="31"/>
              </w:rPr>
              <w:t>销售净利率</w:t>
            </w:r>
          </w:p>
        </w:tc>
        <w:tc>
          <w:tcPr>
            <w:tcW w:w="2080" w:type="dxa"/>
          </w:tcPr>
          <w:p>
            <w:pPr>
              <w:pStyle w:val="TableParagraph"/>
              <w:spacing w:before="88"/>
              <w:ind w:left="995" w:right="669"/>
              <w:jc w:val="center"/>
              <w:rPr>
                <w:sz w:val="31"/>
              </w:rPr>
            </w:pPr>
            <w:r>
              <w:rPr>
                <w:color w:val="0D0D0D"/>
                <w:sz w:val="31"/>
              </w:rPr>
              <w:t>10</w:t>
            </w:r>
          </w:p>
        </w:tc>
        <w:tc>
          <w:tcPr>
            <w:tcW w:w="2531" w:type="dxa"/>
          </w:tcPr>
          <w:p>
            <w:pPr>
              <w:pStyle w:val="TableParagraph"/>
              <w:spacing w:before="88"/>
              <w:ind w:left="1255"/>
              <w:rPr>
                <w:sz w:val="31"/>
              </w:rPr>
            </w:pPr>
            <w:r>
              <w:rPr>
                <w:color w:val="0D0D0D"/>
                <w:sz w:val="31"/>
              </w:rPr>
              <w:t>20/5</w:t>
            </w:r>
          </w:p>
        </w:tc>
        <w:tc>
          <w:tcPr>
            <w:tcW w:w="2144" w:type="dxa"/>
          </w:tcPr>
          <w:p>
            <w:pPr>
              <w:pStyle w:val="TableParagraph"/>
              <w:spacing w:before="88"/>
              <w:ind w:left="974"/>
              <w:rPr>
                <w:sz w:val="31"/>
              </w:rPr>
            </w:pPr>
            <w:r>
              <w:rPr>
                <w:color w:val="0D0D0D"/>
                <w:sz w:val="31"/>
              </w:rPr>
              <w:t>17.20%</w:t>
            </w:r>
          </w:p>
        </w:tc>
      </w:tr>
      <w:tr>
        <w:tblPrEx>
          <w:tblW w:w="0" w:type="auto"/>
          <w:jc w:val="left"/>
          <w:tblInd w:w="5566" w:type="dxa"/>
          <w:tblLayout w:type="fixed"/>
          <w:tblCellMar>
            <w:top w:w="0" w:type="dxa"/>
            <w:left w:w="0" w:type="dxa"/>
            <w:bottom w:w="0" w:type="dxa"/>
            <w:right w:w="0" w:type="dxa"/>
          </w:tblCellMar>
          <w:tblLook w:val="01E0"/>
        </w:tblPrEx>
        <w:trPr>
          <w:trHeight w:val="526"/>
          <w:jc w:val="left"/>
        </w:trPr>
        <w:tc>
          <w:tcPr>
            <w:tcW w:w="2725" w:type="dxa"/>
          </w:tcPr>
          <w:p>
            <w:pPr>
              <w:pStyle w:val="TableParagraph"/>
              <w:spacing w:before="45"/>
              <w:ind w:left="50"/>
              <w:rPr>
                <w:sz w:val="31"/>
              </w:rPr>
            </w:pPr>
            <w:r>
              <w:rPr>
                <w:color w:val="0D0D0D"/>
                <w:sz w:val="31"/>
              </w:rPr>
              <w:t>每股现金流量</w:t>
            </w:r>
          </w:p>
        </w:tc>
        <w:tc>
          <w:tcPr>
            <w:tcW w:w="2080" w:type="dxa"/>
          </w:tcPr>
          <w:p>
            <w:pPr>
              <w:pStyle w:val="TableParagraph"/>
              <w:spacing w:before="88"/>
              <w:ind w:left="995" w:right="669"/>
              <w:jc w:val="center"/>
              <w:rPr>
                <w:sz w:val="31"/>
              </w:rPr>
            </w:pPr>
            <w:r>
              <w:rPr>
                <w:color w:val="0D0D0D"/>
                <w:sz w:val="31"/>
              </w:rPr>
              <w:t>10</w:t>
            </w:r>
          </w:p>
        </w:tc>
        <w:tc>
          <w:tcPr>
            <w:tcW w:w="2531" w:type="dxa"/>
          </w:tcPr>
          <w:p>
            <w:pPr>
              <w:pStyle w:val="TableParagraph"/>
              <w:spacing w:before="88"/>
              <w:ind w:left="1255"/>
              <w:rPr>
                <w:sz w:val="31"/>
              </w:rPr>
            </w:pPr>
            <w:r>
              <w:rPr>
                <w:color w:val="0D0D0D"/>
                <w:sz w:val="31"/>
              </w:rPr>
              <w:t>20/5</w:t>
            </w:r>
          </w:p>
        </w:tc>
        <w:tc>
          <w:tcPr>
            <w:tcW w:w="2144" w:type="dxa"/>
          </w:tcPr>
          <w:p>
            <w:pPr>
              <w:pStyle w:val="TableParagraph"/>
              <w:spacing w:before="88"/>
              <w:ind w:right="137"/>
              <w:jc w:val="right"/>
              <w:rPr>
                <w:sz w:val="31"/>
              </w:rPr>
            </w:pPr>
            <w:r>
              <w:rPr>
                <w:color w:val="0D0D0D"/>
                <w:sz w:val="31"/>
              </w:rPr>
              <w:t>0.644</w:t>
            </w:r>
          </w:p>
        </w:tc>
      </w:tr>
      <w:tr>
        <w:tblPrEx>
          <w:tblW w:w="0" w:type="auto"/>
          <w:jc w:val="left"/>
          <w:tblInd w:w="5566" w:type="dxa"/>
          <w:tblLayout w:type="fixed"/>
          <w:tblCellMar>
            <w:top w:w="0" w:type="dxa"/>
            <w:left w:w="0" w:type="dxa"/>
            <w:bottom w:w="0" w:type="dxa"/>
            <w:right w:w="0" w:type="dxa"/>
          </w:tblCellMar>
          <w:tblLook w:val="01E0"/>
        </w:tblPrEx>
        <w:trPr>
          <w:trHeight w:val="442"/>
          <w:jc w:val="left"/>
        </w:trPr>
        <w:tc>
          <w:tcPr>
            <w:tcW w:w="2725" w:type="dxa"/>
          </w:tcPr>
          <w:p>
            <w:pPr>
              <w:pStyle w:val="TableParagraph"/>
              <w:spacing w:before="45" w:line="378" w:lineRule="exact"/>
              <w:ind w:left="50"/>
              <w:rPr>
                <w:sz w:val="31"/>
              </w:rPr>
            </w:pPr>
            <w:r>
              <w:rPr>
                <w:color w:val="0D0D0D"/>
                <w:sz w:val="31"/>
              </w:rPr>
              <w:t>合计</w:t>
            </w:r>
          </w:p>
        </w:tc>
        <w:tc>
          <w:tcPr>
            <w:tcW w:w="2080" w:type="dxa"/>
          </w:tcPr>
          <w:p>
            <w:pPr>
              <w:pStyle w:val="TableParagraph"/>
              <w:spacing w:before="88" w:line="335" w:lineRule="exact"/>
              <w:ind w:left="968"/>
              <w:rPr>
                <w:sz w:val="31"/>
              </w:rPr>
            </w:pPr>
            <w:r>
              <w:rPr>
                <w:color w:val="0D0D0D"/>
                <w:sz w:val="31"/>
              </w:rPr>
              <w:t>100</w:t>
            </w:r>
          </w:p>
        </w:tc>
        <w:tc>
          <w:tcPr>
            <w:tcW w:w="2531" w:type="dxa"/>
          </w:tcPr>
          <w:p>
            <w:pPr>
              <w:pStyle w:val="TableParagraph"/>
              <w:rPr>
                <w:rFonts w:ascii="Times New Roman"/>
                <w:sz w:val="30"/>
              </w:rPr>
            </w:pPr>
          </w:p>
        </w:tc>
        <w:tc>
          <w:tcPr>
            <w:tcW w:w="2144" w:type="dxa"/>
          </w:tcPr>
          <w:p>
            <w:pPr>
              <w:pStyle w:val="TableParagraph"/>
              <w:rPr>
                <w:rFonts w:ascii="Times New Roman"/>
                <w:sz w:val="30"/>
              </w:rPr>
            </w:pPr>
          </w:p>
        </w:tc>
      </w:tr>
    </w:tbl>
    <w:p>
      <w:pPr>
        <w:pStyle w:val="BodyText"/>
        <w:ind w:left="0"/>
        <w:rPr>
          <w:sz w:val="20"/>
        </w:rPr>
      </w:pPr>
    </w:p>
    <w:p>
      <w:pPr>
        <w:pStyle w:val="BodyText"/>
        <w:spacing w:before="4"/>
        <w:ind w:left="0"/>
        <w:rPr>
          <w:sz w:val="14"/>
        </w:rPr>
      </w:pPr>
    </w:p>
    <w:p>
      <w:pPr>
        <w:pStyle w:val="BodyText"/>
        <w:spacing w:before="62" w:line="247" w:lineRule="auto"/>
        <w:ind w:left="3330" w:right="2702"/>
      </w:pPr>
      <w:r>
        <w:rPr>
          <w:color w:val="0D0D0D"/>
        </w:rPr>
        <w:t>要求：根据前面计算的财务比率实际值及表中所给的资料，计算中恒公司2002 年度财务状况的综</w:t>
      </w:r>
    </w:p>
    <w:p>
      <w:pPr>
        <w:pStyle w:val="BodyText"/>
        <w:spacing w:line="396" w:lineRule="exact"/>
        <w:ind w:left="4277"/>
      </w:pPr>
      <w:r>
        <w:rPr>
          <w:color w:val="0D0D0D"/>
        </w:rPr>
        <w:t>合评分。</w:t>
      </w:r>
    </w:p>
    <w:p>
      <w:pPr>
        <w:pStyle w:val="BodyText"/>
        <w:spacing w:before="14"/>
      </w:pPr>
      <w:r>
        <w:rPr>
          <w:b/>
          <w:color w:val="0D0D0D"/>
        </w:rPr>
        <w:t>答案</w:t>
      </w:r>
      <w:r>
        <w:rPr>
          <w:color w:val="0D0D0D"/>
        </w:rPr>
        <w:t>：中恒公司 2002 年度财务状况的综合评分如下表：</w:t>
      </w:r>
    </w:p>
    <w:p>
      <w:pPr>
        <w:pStyle w:val="BodyText"/>
        <w:spacing w:before="9"/>
        <w:ind w:left="0"/>
        <w:rPr>
          <w:sz w:val="25"/>
        </w:rPr>
      </w:pPr>
      <w:r>
        <w:pict>
          <v:group id="_x0000_s1025" style="width:705.75pt;height:54pt;margin-top:18.45pt;margin-left:147.25pt;mso-position-horizontal-relative:page;mso-wrap-distance-left:0;mso-wrap-distance-right:0;position:absolute;z-index:-251649024" coordorigin="2945,369" coordsize="14115,1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115;height:1080;left:2945;position:absolute;top:369" stroked="f">
              <v:imagedata r:id="rId66" o:title=""/>
            </v:shape>
            <v:shapetype id="_x0000_t202" coordsize="21600,21600" o:spt="202" path="m,l,21600r21600,l21600,xe">
              <v:stroke joinstyle="miter"/>
              <v:path gradientshapeok="t" o:connecttype="rect"/>
            </v:shapetype>
            <v:shape id="_x0000_s1027" type="#_x0000_t202" style="width:1100;height:270;left:3467;position:absolute;top:602" filled="f" stroked="f">
              <v:textbox inset="0,0,0,0">
                <w:txbxContent>
                  <w:p>
                    <w:pPr>
                      <w:spacing w:before="0" w:line="270" w:lineRule="exact"/>
                      <w:ind w:left="0" w:right="0" w:firstLine="0"/>
                      <w:jc w:val="left"/>
                      <w:rPr>
                        <w:sz w:val="27"/>
                      </w:rPr>
                    </w:pPr>
                    <w:r>
                      <w:rPr>
                        <w:color w:val="0D0D0D"/>
                        <w:sz w:val="27"/>
                      </w:rPr>
                      <w:t>财务比率</w:t>
                    </w:r>
                  </w:p>
                </w:txbxContent>
              </v:textbox>
            </v:shape>
            <v:shape id="_x0000_s1028" type="#_x0000_t202" style="width:1035;height:270;left:5256;position:absolute;top:602" filled="f" stroked="f">
              <v:textbox inset="0,0,0,0">
                <w:txbxContent>
                  <w:p>
                    <w:pPr>
                      <w:spacing w:before="0" w:line="270" w:lineRule="exact"/>
                      <w:ind w:left="0" w:right="0" w:firstLine="0"/>
                      <w:jc w:val="left"/>
                      <w:rPr>
                        <w:sz w:val="27"/>
                      </w:rPr>
                    </w:pPr>
                    <w:r>
                      <w:rPr>
                        <w:color w:val="0D0D0D"/>
                        <w:spacing w:val="-17"/>
                        <w:sz w:val="27"/>
                      </w:rPr>
                      <w:t xml:space="preserve">评分值 </w:t>
                    </w:r>
                    <w:r>
                      <w:rPr>
                        <w:color w:val="0D0D0D"/>
                        <w:sz w:val="27"/>
                      </w:rPr>
                      <w:t>1</w:t>
                    </w:r>
                  </w:p>
                </w:txbxContent>
              </v:textbox>
            </v:shape>
            <v:shape id="_x0000_s1029" type="#_x0000_t202" style="width:1171;height:270;left:6758;position:absolute;top:602" filled="f" stroked="f">
              <v:textbox inset="0,0,0,0">
                <w:txbxContent>
                  <w:p>
                    <w:pPr>
                      <w:spacing w:before="0" w:line="270" w:lineRule="exact"/>
                      <w:ind w:left="0" w:right="0" w:firstLine="0"/>
                      <w:jc w:val="left"/>
                      <w:rPr>
                        <w:sz w:val="27"/>
                      </w:rPr>
                    </w:pPr>
                    <w:r>
                      <w:rPr>
                        <w:color w:val="0D0D0D"/>
                        <w:spacing w:val="3"/>
                        <w:sz w:val="27"/>
                      </w:rPr>
                      <w:t>上</w:t>
                    </w:r>
                    <w:r>
                      <w:rPr>
                        <w:color w:val="0D0D0D"/>
                        <w:sz w:val="27"/>
                      </w:rPr>
                      <w:t>/</w:t>
                    </w:r>
                    <w:r>
                      <w:rPr>
                        <w:color w:val="0D0D0D"/>
                        <w:spacing w:val="-24"/>
                        <w:sz w:val="27"/>
                      </w:rPr>
                      <w:t xml:space="preserve">下限 </w:t>
                    </w:r>
                    <w:r>
                      <w:rPr>
                        <w:color w:val="0D0D0D"/>
                        <w:sz w:val="27"/>
                      </w:rPr>
                      <w:t>2</w:t>
                    </w:r>
                  </w:p>
                </w:txbxContent>
              </v:textbox>
            </v:shape>
            <v:shape id="_x0000_s1030" type="#_x0000_t202" style="width:1035;height:270;left:8591;position:absolute;top:602" filled="f" stroked="f">
              <v:textbox inset="0,0,0,0">
                <w:txbxContent>
                  <w:p>
                    <w:pPr>
                      <w:spacing w:before="0" w:line="270" w:lineRule="exact"/>
                      <w:ind w:left="0" w:right="0" w:firstLine="0"/>
                      <w:jc w:val="left"/>
                      <w:rPr>
                        <w:sz w:val="27"/>
                      </w:rPr>
                    </w:pPr>
                    <w:r>
                      <w:rPr>
                        <w:color w:val="0D0D0D"/>
                        <w:spacing w:val="-17"/>
                        <w:sz w:val="27"/>
                      </w:rPr>
                      <w:t xml:space="preserve">标准值 </w:t>
                    </w:r>
                    <w:r>
                      <w:rPr>
                        <w:color w:val="0D0D0D"/>
                        <w:sz w:val="27"/>
                      </w:rPr>
                      <w:t>3</w:t>
                    </w:r>
                  </w:p>
                </w:txbxContent>
              </v:textbox>
            </v:shape>
            <v:shape id="_x0000_s1031" type="#_x0000_t202" style="width:1034;height:270;left:10413;position:absolute;top:602" filled="f" stroked="f">
              <v:textbox inset="0,0,0,0">
                <w:txbxContent>
                  <w:p>
                    <w:pPr>
                      <w:spacing w:before="0" w:line="270" w:lineRule="exact"/>
                      <w:ind w:left="0" w:right="0" w:firstLine="0"/>
                      <w:jc w:val="left"/>
                      <w:rPr>
                        <w:sz w:val="27"/>
                      </w:rPr>
                    </w:pPr>
                    <w:r>
                      <w:rPr>
                        <w:color w:val="0D0D0D"/>
                        <w:spacing w:val="-17"/>
                        <w:sz w:val="27"/>
                      </w:rPr>
                      <w:t xml:space="preserve">实际值 </w:t>
                    </w:r>
                    <w:r>
                      <w:rPr>
                        <w:color w:val="0D0D0D"/>
                        <w:sz w:val="27"/>
                      </w:rPr>
                      <w:t>4</w:t>
                    </w:r>
                  </w:p>
                </w:txbxContent>
              </v:textbox>
            </v:shape>
            <v:shape id="_x0000_s1032" type="#_x0000_t202" style="width:1845;height:270;left:12242;position:absolute;top:602" filled="f" stroked="f">
              <v:textbox inset="0,0,0,0">
                <w:txbxContent>
                  <w:p>
                    <w:pPr>
                      <w:spacing w:before="0" w:line="270" w:lineRule="exact"/>
                      <w:ind w:left="0" w:right="0" w:firstLine="0"/>
                      <w:jc w:val="left"/>
                      <w:rPr>
                        <w:sz w:val="27"/>
                      </w:rPr>
                    </w:pPr>
                    <w:r>
                      <w:rPr>
                        <w:color w:val="0D0D0D"/>
                        <w:spacing w:val="-14"/>
                        <w:sz w:val="27"/>
                      </w:rPr>
                      <w:t xml:space="preserve">关系比率 </w:t>
                    </w:r>
                    <w:r>
                      <w:rPr>
                        <w:color w:val="0D0D0D"/>
                        <w:sz w:val="27"/>
                      </w:rPr>
                      <w:t>5=4/3</w:t>
                    </w:r>
                  </w:p>
                </w:txbxContent>
              </v:textbox>
            </v:shape>
            <v:shape id="_x0000_s1033" type="#_x0000_t202" style="width:1981;height:270;left:14871;position:absolute;top:602" filled="f" stroked="f">
              <v:textbox inset="0,0,0,0">
                <w:txbxContent>
                  <w:p>
                    <w:pPr>
                      <w:spacing w:before="0" w:line="270" w:lineRule="exact"/>
                      <w:ind w:left="0" w:right="0" w:firstLine="0"/>
                      <w:jc w:val="left"/>
                      <w:rPr>
                        <w:sz w:val="27"/>
                      </w:rPr>
                    </w:pPr>
                    <w:r>
                      <w:rPr>
                        <w:color w:val="0D0D0D"/>
                        <w:spacing w:val="-14"/>
                        <w:sz w:val="27"/>
                      </w:rPr>
                      <w:t xml:space="preserve">实际得分 </w:t>
                    </w:r>
                    <w:r>
                      <w:rPr>
                        <w:color w:val="0D0D0D"/>
                        <w:sz w:val="27"/>
                      </w:rPr>
                      <w:t>6=1×5</w:t>
                    </w:r>
                  </w:p>
                </w:txbxContent>
              </v:textbox>
            </v:shape>
            <v:shape id="_x0000_s1034" type="#_x0000_t202" style="width:1100;height:270;left:3467;position:absolute;top:1128" filled="f" stroked="f">
              <v:textbox inset="0,0,0,0">
                <w:txbxContent>
                  <w:p>
                    <w:pPr>
                      <w:spacing w:before="0" w:line="270" w:lineRule="exact"/>
                      <w:ind w:left="0" w:right="0" w:firstLine="0"/>
                      <w:jc w:val="left"/>
                      <w:rPr>
                        <w:sz w:val="27"/>
                      </w:rPr>
                    </w:pPr>
                    <w:r>
                      <w:rPr>
                        <w:color w:val="0D0D0D"/>
                        <w:sz w:val="27"/>
                      </w:rPr>
                      <w:t>流动比率</w:t>
                    </w:r>
                  </w:p>
                </w:txbxContent>
              </v:textbox>
            </v:shape>
            <v:shape id="_x0000_s1035" type="#_x0000_t202" style="width:155;height:270;left:5826;position:absolute;top:1128" filled="f" stroked="f">
              <v:textbox inset="0,0,0,0">
                <w:txbxContent>
                  <w:p>
                    <w:pPr>
                      <w:spacing w:before="0" w:line="270" w:lineRule="exact"/>
                      <w:ind w:left="0" w:right="0" w:firstLine="0"/>
                      <w:jc w:val="left"/>
                      <w:rPr>
                        <w:sz w:val="27"/>
                      </w:rPr>
                    </w:pPr>
                    <w:r>
                      <w:rPr>
                        <w:color w:val="0D0D0D"/>
                        <w:sz w:val="27"/>
                      </w:rPr>
                      <w:t>8</w:t>
                    </w:r>
                  </w:p>
                </w:txbxContent>
              </v:textbox>
            </v:shape>
            <v:shape id="_x0000_s1036" type="#_x0000_t202" style="width:560;height:270;left:7266;position:absolute;top:1128" filled="f" stroked="f">
              <v:textbox inset="0,0,0,0">
                <w:txbxContent>
                  <w:p>
                    <w:pPr>
                      <w:spacing w:before="0" w:line="270" w:lineRule="exact"/>
                      <w:ind w:left="0" w:right="0" w:firstLine="0"/>
                      <w:jc w:val="left"/>
                      <w:rPr>
                        <w:sz w:val="27"/>
                      </w:rPr>
                    </w:pPr>
                    <w:r>
                      <w:rPr>
                        <w:color w:val="0D0D0D"/>
                        <w:sz w:val="27"/>
                      </w:rPr>
                      <w:t>20/5</w:t>
                    </w:r>
                  </w:p>
                </w:txbxContent>
              </v:textbox>
            </v:shape>
            <v:shape id="_x0000_s1037" type="#_x0000_t202" style="width:155;height:270;left:9466;position:absolute;top:1128" filled="f" stroked="f">
              <v:textbox inset="0,0,0,0">
                <w:txbxContent>
                  <w:p>
                    <w:pPr>
                      <w:spacing w:before="0" w:line="270" w:lineRule="exact"/>
                      <w:ind w:left="0" w:right="0" w:firstLine="0"/>
                      <w:jc w:val="left"/>
                      <w:rPr>
                        <w:sz w:val="27"/>
                      </w:rPr>
                    </w:pPr>
                    <w:r>
                      <w:rPr>
                        <w:color w:val="0D0D0D"/>
                        <w:sz w:val="27"/>
                      </w:rPr>
                      <w:t>2</w:t>
                    </w:r>
                  </w:p>
                </w:txbxContent>
              </v:textbox>
            </v:shape>
            <v:shape id="_x0000_s1038" type="#_x0000_t202" style="width:560;height:270;left:10578;position:absolute;top:1128" filled="f" stroked="f">
              <v:textbox inset="0,0,0,0">
                <w:txbxContent>
                  <w:p>
                    <w:pPr>
                      <w:spacing w:before="0" w:line="270" w:lineRule="exact"/>
                      <w:ind w:left="0" w:right="0" w:firstLine="0"/>
                      <w:jc w:val="left"/>
                      <w:rPr>
                        <w:sz w:val="27"/>
                      </w:rPr>
                    </w:pPr>
                    <w:r>
                      <w:rPr>
                        <w:color w:val="0D0D0D"/>
                        <w:sz w:val="27"/>
                      </w:rPr>
                      <w:t>1.98</w:t>
                    </w:r>
                  </w:p>
                </w:txbxContent>
              </v:textbox>
            </v:shape>
            <v:shape id="_x0000_s1039" type="#_x0000_t202" style="width:830;height:270;left:13488;position:absolute;top:1128" filled="f" stroked="f">
              <v:textbox inset="0,0,0,0">
                <w:txbxContent>
                  <w:p>
                    <w:pPr>
                      <w:spacing w:before="0" w:line="270" w:lineRule="exact"/>
                      <w:ind w:left="0" w:right="0" w:firstLine="0"/>
                      <w:jc w:val="left"/>
                      <w:rPr>
                        <w:sz w:val="27"/>
                      </w:rPr>
                    </w:pPr>
                    <w:r>
                      <w:rPr>
                        <w:color w:val="0D0D0D"/>
                        <w:sz w:val="27"/>
                      </w:rPr>
                      <w:t>0.9900</w:t>
                    </w:r>
                  </w:p>
                </w:txbxContent>
              </v:textbox>
            </v:shape>
            <v:shape id="_x0000_s1040" type="#_x0000_t202" style="width:695;height:270;left:15726;position:absolute;top:1128" filled="f" stroked="f">
              <v:textbox inset="0,0,0,0">
                <w:txbxContent>
                  <w:p>
                    <w:pPr>
                      <w:spacing w:before="0" w:line="270" w:lineRule="exact"/>
                      <w:ind w:left="0" w:right="0" w:firstLine="0"/>
                      <w:jc w:val="left"/>
                      <w:rPr>
                        <w:sz w:val="27"/>
                      </w:rPr>
                    </w:pPr>
                    <w:r>
                      <w:rPr>
                        <w:color w:val="0D0D0D"/>
                        <w:sz w:val="27"/>
                      </w:rPr>
                      <w:t>7.920</w:t>
                    </w:r>
                  </w:p>
                </w:txbxContent>
              </v:textbox>
            </v:shape>
            <w10:wrap type="topAndBottom"/>
          </v:group>
        </w:pict>
      </w:r>
    </w:p>
    <w:p>
      <w:pPr>
        <w:spacing w:after="0"/>
        <w:rPr>
          <w:sz w:val="25"/>
        </w:rPr>
        <w:sectPr>
          <w:headerReference w:type="default" r:id="rId67"/>
          <w:footerReference w:type="default" r:id="rId68"/>
          <w:pgSz w:w="17860" w:h="25260"/>
          <w:pgMar w:top="1720" w:right="0" w:bottom="1920" w:left="0" w:header="1129" w:footer="1732"/>
          <w:pgNumType w:start="13"/>
          <w:cols w:space="708"/>
        </w:sectPr>
      </w:pPr>
    </w:p>
    <w:p>
      <w:pPr>
        <w:pStyle w:val="BodyText"/>
        <w:spacing w:before="9"/>
        <w:ind w:left="0"/>
        <w:rPr>
          <w:sz w:val="27"/>
        </w:rPr>
      </w:pPr>
    </w:p>
    <w:tbl>
      <w:tblPr>
        <w:tblStyle w:val="TableNormal3"/>
        <w:tblW w:w="0" w:type="auto"/>
        <w:jc w:val="left"/>
        <w:tblInd w:w="3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07"/>
        <w:gridCol w:w="1446"/>
        <w:gridCol w:w="1801"/>
        <w:gridCol w:w="1723"/>
        <w:gridCol w:w="2182"/>
        <w:gridCol w:w="2678"/>
        <w:gridCol w:w="1657"/>
      </w:tblGrid>
      <w:tr>
        <w:tblPrEx>
          <w:tblW w:w="0" w:type="auto"/>
          <w:jc w:val="left"/>
          <w:tblInd w:w="3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8"/>
          <w:jc w:val="left"/>
        </w:trPr>
        <w:tc>
          <w:tcPr>
            <w:tcW w:w="2007" w:type="dxa"/>
          </w:tcPr>
          <w:p>
            <w:pPr>
              <w:pStyle w:val="TableParagraph"/>
              <w:spacing w:line="308" w:lineRule="exact"/>
              <w:ind w:left="30" w:right="316"/>
              <w:jc w:val="center"/>
              <w:rPr>
                <w:sz w:val="27"/>
              </w:rPr>
            </w:pPr>
            <w:r>
              <w:rPr>
                <w:color w:val="0D0D0D"/>
                <w:sz w:val="27"/>
              </w:rPr>
              <w:t>速动比率</w:t>
            </w:r>
          </w:p>
        </w:tc>
        <w:tc>
          <w:tcPr>
            <w:tcW w:w="1446" w:type="dxa"/>
          </w:tcPr>
          <w:p>
            <w:pPr>
              <w:pStyle w:val="TableParagraph"/>
              <w:spacing w:line="308" w:lineRule="exact"/>
              <w:ind w:right="633"/>
              <w:jc w:val="right"/>
              <w:rPr>
                <w:sz w:val="27"/>
              </w:rPr>
            </w:pPr>
            <w:r>
              <w:rPr>
                <w:color w:val="0D0D0D"/>
                <w:sz w:val="27"/>
              </w:rPr>
              <w:t>8</w:t>
            </w:r>
          </w:p>
        </w:tc>
        <w:tc>
          <w:tcPr>
            <w:tcW w:w="1801" w:type="dxa"/>
          </w:tcPr>
          <w:p>
            <w:pPr>
              <w:pStyle w:val="TableParagraph"/>
              <w:spacing w:line="308" w:lineRule="exact"/>
              <w:ind w:left="613" w:right="543"/>
              <w:jc w:val="center"/>
              <w:rPr>
                <w:sz w:val="27"/>
              </w:rPr>
            </w:pPr>
            <w:r>
              <w:rPr>
                <w:color w:val="0D0D0D"/>
                <w:sz w:val="27"/>
              </w:rPr>
              <w:t>20/5</w:t>
            </w:r>
          </w:p>
        </w:tc>
        <w:tc>
          <w:tcPr>
            <w:tcW w:w="1723" w:type="dxa"/>
          </w:tcPr>
          <w:p>
            <w:pPr>
              <w:pStyle w:val="TableParagraph"/>
              <w:spacing w:line="308" w:lineRule="exact"/>
              <w:ind w:left="862"/>
              <w:rPr>
                <w:sz w:val="27"/>
              </w:rPr>
            </w:pPr>
            <w:r>
              <w:rPr>
                <w:color w:val="0D0D0D"/>
                <w:sz w:val="27"/>
              </w:rPr>
              <w:t>1.2</w:t>
            </w:r>
          </w:p>
        </w:tc>
        <w:tc>
          <w:tcPr>
            <w:tcW w:w="2182" w:type="dxa"/>
          </w:tcPr>
          <w:p>
            <w:pPr>
              <w:pStyle w:val="TableParagraph"/>
              <w:spacing w:line="308" w:lineRule="exact"/>
              <w:ind w:left="454"/>
              <w:rPr>
                <w:sz w:val="27"/>
              </w:rPr>
            </w:pPr>
            <w:r>
              <w:rPr>
                <w:color w:val="0D0D0D"/>
                <w:sz w:val="27"/>
              </w:rPr>
              <w:t>1.29</w:t>
            </w:r>
          </w:p>
        </w:tc>
        <w:tc>
          <w:tcPr>
            <w:tcW w:w="2678" w:type="dxa"/>
          </w:tcPr>
          <w:p>
            <w:pPr>
              <w:pStyle w:val="TableParagraph"/>
              <w:spacing w:line="308" w:lineRule="exact"/>
              <w:ind w:left="1182"/>
              <w:rPr>
                <w:sz w:val="27"/>
              </w:rPr>
            </w:pPr>
            <w:r>
              <w:rPr>
                <w:color w:val="0D0D0D"/>
                <w:sz w:val="27"/>
              </w:rPr>
              <w:t>1.0750</w:t>
            </w:r>
          </w:p>
        </w:tc>
        <w:tc>
          <w:tcPr>
            <w:tcW w:w="1657" w:type="dxa"/>
          </w:tcPr>
          <w:p>
            <w:pPr>
              <w:pStyle w:val="TableParagraph"/>
              <w:spacing w:line="308" w:lineRule="exact"/>
              <w:ind w:right="182"/>
              <w:jc w:val="right"/>
              <w:rPr>
                <w:sz w:val="27"/>
              </w:rPr>
            </w:pPr>
            <w:r>
              <w:rPr>
                <w:color w:val="0D0D0D"/>
                <w:sz w:val="27"/>
              </w:rPr>
              <w:t>8.600</w:t>
            </w:r>
          </w:p>
        </w:tc>
      </w:tr>
      <w:tr>
        <w:tblPrEx>
          <w:tblW w:w="0" w:type="auto"/>
          <w:jc w:val="left"/>
          <w:tblInd w:w="3154" w:type="dxa"/>
          <w:tblLayout w:type="fixed"/>
          <w:tblCellMar>
            <w:top w:w="0" w:type="dxa"/>
            <w:left w:w="0" w:type="dxa"/>
            <w:bottom w:w="0" w:type="dxa"/>
            <w:right w:w="0" w:type="dxa"/>
          </w:tblCellMar>
          <w:tblLook w:val="01E0"/>
        </w:tblPrEx>
        <w:trPr>
          <w:trHeight w:val="525"/>
          <w:jc w:val="left"/>
        </w:trPr>
        <w:tc>
          <w:tcPr>
            <w:tcW w:w="2007" w:type="dxa"/>
          </w:tcPr>
          <w:p>
            <w:pPr>
              <w:pStyle w:val="TableParagraph"/>
              <w:spacing w:before="90"/>
              <w:ind w:left="30" w:right="316"/>
              <w:jc w:val="center"/>
              <w:rPr>
                <w:sz w:val="27"/>
              </w:rPr>
            </w:pPr>
            <w:r>
              <w:rPr>
                <w:color w:val="0D0D0D"/>
                <w:sz w:val="27"/>
              </w:rPr>
              <w:t>现金流量比率</w:t>
            </w:r>
          </w:p>
        </w:tc>
        <w:tc>
          <w:tcPr>
            <w:tcW w:w="1446" w:type="dxa"/>
          </w:tcPr>
          <w:p>
            <w:pPr>
              <w:pStyle w:val="TableParagraph"/>
              <w:spacing w:before="90"/>
              <w:ind w:right="633"/>
              <w:jc w:val="right"/>
              <w:rPr>
                <w:sz w:val="27"/>
              </w:rPr>
            </w:pPr>
            <w:r>
              <w:rPr>
                <w:color w:val="0D0D0D"/>
                <w:sz w:val="27"/>
              </w:rPr>
              <w:t>6</w:t>
            </w:r>
          </w:p>
        </w:tc>
        <w:tc>
          <w:tcPr>
            <w:tcW w:w="1801" w:type="dxa"/>
          </w:tcPr>
          <w:p>
            <w:pPr>
              <w:pStyle w:val="TableParagraph"/>
              <w:spacing w:before="90"/>
              <w:ind w:left="613" w:right="543"/>
              <w:jc w:val="center"/>
              <w:rPr>
                <w:sz w:val="27"/>
              </w:rPr>
            </w:pPr>
            <w:r>
              <w:rPr>
                <w:color w:val="0D0D0D"/>
                <w:sz w:val="27"/>
              </w:rPr>
              <w:t>15/4</w:t>
            </w:r>
          </w:p>
        </w:tc>
        <w:tc>
          <w:tcPr>
            <w:tcW w:w="1723" w:type="dxa"/>
          </w:tcPr>
          <w:p>
            <w:pPr>
              <w:pStyle w:val="TableParagraph"/>
              <w:spacing w:before="90"/>
              <w:ind w:left="729"/>
              <w:rPr>
                <w:sz w:val="27"/>
              </w:rPr>
            </w:pPr>
            <w:r>
              <w:rPr>
                <w:color w:val="0D0D0D"/>
                <w:sz w:val="27"/>
              </w:rPr>
              <w:t>1.55</w:t>
            </w:r>
          </w:p>
        </w:tc>
        <w:tc>
          <w:tcPr>
            <w:tcW w:w="2182" w:type="dxa"/>
          </w:tcPr>
          <w:p>
            <w:pPr>
              <w:pStyle w:val="TableParagraph"/>
              <w:spacing w:before="90"/>
              <w:ind w:left="454"/>
              <w:rPr>
                <w:sz w:val="27"/>
              </w:rPr>
            </w:pPr>
            <w:r>
              <w:rPr>
                <w:color w:val="0D0D0D"/>
                <w:sz w:val="27"/>
              </w:rPr>
              <w:t>1.32</w:t>
            </w:r>
          </w:p>
        </w:tc>
        <w:tc>
          <w:tcPr>
            <w:tcW w:w="2678" w:type="dxa"/>
          </w:tcPr>
          <w:p>
            <w:pPr>
              <w:pStyle w:val="TableParagraph"/>
              <w:spacing w:before="90"/>
              <w:ind w:left="1052"/>
              <w:rPr>
                <w:sz w:val="27"/>
              </w:rPr>
            </w:pPr>
            <w:r>
              <w:rPr>
                <w:color w:val="0D0D0D"/>
                <w:sz w:val="27"/>
              </w:rPr>
              <w:t>0.8516</w:t>
            </w:r>
          </w:p>
        </w:tc>
        <w:tc>
          <w:tcPr>
            <w:tcW w:w="1657" w:type="dxa"/>
          </w:tcPr>
          <w:p>
            <w:pPr>
              <w:pStyle w:val="TableParagraph"/>
              <w:spacing w:before="90"/>
              <w:ind w:left="718"/>
              <w:rPr>
                <w:sz w:val="27"/>
              </w:rPr>
            </w:pPr>
            <w:r>
              <w:rPr>
                <w:color w:val="0D0D0D"/>
                <w:sz w:val="27"/>
              </w:rPr>
              <w:t>5.110</w:t>
            </w:r>
          </w:p>
        </w:tc>
      </w:tr>
      <w:tr>
        <w:tblPrEx>
          <w:tblW w:w="0" w:type="auto"/>
          <w:jc w:val="left"/>
          <w:tblInd w:w="3154" w:type="dxa"/>
          <w:tblLayout w:type="fixed"/>
          <w:tblCellMar>
            <w:top w:w="0" w:type="dxa"/>
            <w:left w:w="0" w:type="dxa"/>
            <w:bottom w:w="0" w:type="dxa"/>
            <w:right w:w="0" w:type="dxa"/>
          </w:tblCellMar>
          <w:tblLook w:val="01E0"/>
        </w:tblPrEx>
        <w:trPr>
          <w:trHeight w:val="523"/>
          <w:jc w:val="left"/>
        </w:trPr>
        <w:tc>
          <w:tcPr>
            <w:tcW w:w="2007" w:type="dxa"/>
          </w:tcPr>
          <w:p>
            <w:pPr>
              <w:pStyle w:val="TableParagraph"/>
              <w:spacing w:before="90"/>
              <w:ind w:left="30" w:right="316"/>
              <w:jc w:val="center"/>
              <w:rPr>
                <w:sz w:val="27"/>
              </w:rPr>
            </w:pPr>
            <w:r>
              <w:rPr>
                <w:color w:val="0D0D0D"/>
                <w:sz w:val="27"/>
              </w:rPr>
              <w:t>资产/负债</w:t>
            </w:r>
          </w:p>
        </w:tc>
        <w:tc>
          <w:tcPr>
            <w:tcW w:w="1446" w:type="dxa"/>
          </w:tcPr>
          <w:p>
            <w:pPr>
              <w:pStyle w:val="TableParagraph"/>
              <w:spacing w:before="90"/>
              <w:ind w:right="635"/>
              <w:jc w:val="right"/>
              <w:rPr>
                <w:sz w:val="27"/>
              </w:rPr>
            </w:pPr>
            <w:r>
              <w:rPr>
                <w:color w:val="0D0D0D"/>
                <w:sz w:val="27"/>
              </w:rPr>
              <w:t>10</w:t>
            </w:r>
          </w:p>
        </w:tc>
        <w:tc>
          <w:tcPr>
            <w:tcW w:w="1801" w:type="dxa"/>
          </w:tcPr>
          <w:p>
            <w:pPr>
              <w:pStyle w:val="TableParagraph"/>
              <w:spacing w:before="90"/>
              <w:ind w:left="581" w:right="575"/>
              <w:jc w:val="center"/>
              <w:rPr>
                <w:sz w:val="27"/>
              </w:rPr>
            </w:pPr>
            <w:r>
              <w:rPr>
                <w:color w:val="0D0D0D"/>
                <w:sz w:val="27"/>
              </w:rPr>
              <w:t>20/5</w:t>
            </w:r>
          </w:p>
        </w:tc>
        <w:tc>
          <w:tcPr>
            <w:tcW w:w="1723" w:type="dxa"/>
          </w:tcPr>
          <w:p>
            <w:pPr>
              <w:pStyle w:val="TableParagraph"/>
              <w:spacing w:before="90"/>
              <w:ind w:left="729"/>
              <w:rPr>
                <w:sz w:val="27"/>
              </w:rPr>
            </w:pPr>
            <w:r>
              <w:rPr>
                <w:color w:val="0D0D0D"/>
                <w:sz w:val="27"/>
              </w:rPr>
              <w:t>2.10</w:t>
            </w:r>
          </w:p>
        </w:tc>
        <w:tc>
          <w:tcPr>
            <w:tcW w:w="2182" w:type="dxa"/>
          </w:tcPr>
          <w:p>
            <w:pPr>
              <w:pStyle w:val="TableParagraph"/>
              <w:spacing w:before="90"/>
              <w:ind w:left="454"/>
              <w:rPr>
                <w:sz w:val="27"/>
              </w:rPr>
            </w:pPr>
            <w:r>
              <w:rPr>
                <w:color w:val="0D0D0D"/>
                <w:sz w:val="27"/>
              </w:rPr>
              <w:t>2.17</w:t>
            </w:r>
          </w:p>
        </w:tc>
        <w:tc>
          <w:tcPr>
            <w:tcW w:w="2678" w:type="dxa"/>
          </w:tcPr>
          <w:p>
            <w:pPr>
              <w:pStyle w:val="TableParagraph"/>
              <w:spacing w:before="90"/>
              <w:ind w:left="1052"/>
              <w:rPr>
                <w:sz w:val="27"/>
              </w:rPr>
            </w:pPr>
            <w:r>
              <w:rPr>
                <w:color w:val="0D0D0D"/>
                <w:sz w:val="27"/>
              </w:rPr>
              <w:t>1.0333</w:t>
            </w:r>
          </w:p>
        </w:tc>
        <w:tc>
          <w:tcPr>
            <w:tcW w:w="1657" w:type="dxa"/>
          </w:tcPr>
          <w:p>
            <w:pPr>
              <w:pStyle w:val="TableParagraph"/>
              <w:spacing w:before="90"/>
              <w:ind w:right="159"/>
              <w:jc w:val="right"/>
              <w:rPr>
                <w:sz w:val="27"/>
              </w:rPr>
            </w:pPr>
            <w:r>
              <w:rPr>
                <w:color w:val="0D0D0D"/>
                <w:sz w:val="27"/>
              </w:rPr>
              <w:t>10.333</w:t>
            </w:r>
          </w:p>
        </w:tc>
      </w:tr>
      <w:tr>
        <w:tblPrEx>
          <w:tblW w:w="0" w:type="auto"/>
          <w:jc w:val="left"/>
          <w:tblInd w:w="3154" w:type="dxa"/>
          <w:tblLayout w:type="fixed"/>
          <w:tblCellMar>
            <w:top w:w="0" w:type="dxa"/>
            <w:left w:w="0" w:type="dxa"/>
            <w:bottom w:w="0" w:type="dxa"/>
            <w:right w:w="0" w:type="dxa"/>
          </w:tblCellMar>
          <w:tblLook w:val="01E0"/>
        </w:tblPrEx>
        <w:trPr>
          <w:trHeight w:val="503"/>
          <w:jc w:val="left"/>
        </w:trPr>
        <w:tc>
          <w:tcPr>
            <w:tcW w:w="2007" w:type="dxa"/>
          </w:tcPr>
          <w:p>
            <w:pPr>
              <w:pStyle w:val="TableParagraph"/>
              <w:spacing w:before="88"/>
              <w:ind w:left="30" w:right="311"/>
              <w:jc w:val="center"/>
              <w:rPr>
                <w:sz w:val="27"/>
              </w:rPr>
            </w:pPr>
            <w:r>
              <w:rPr>
                <w:color w:val="0D0D0D"/>
                <w:sz w:val="27"/>
              </w:rPr>
              <w:t>存货周转率</w:t>
            </w:r>
          </w:p>
        </w:tc>
        <w:tc>
          <w:tcPr>
            <w:tcW w:w="1446" w:type="dxa"/>
          </w:tcPr>
          <w:p>
            <w:pPr>
              <w:pStyle w:val="TableParagraph"/>
              <w:spacing w:before="88"/>
              <w:ind w:right="635"/>
              <w:jc w:val="right"/>
              <w:rPr>
                <w:sz w:val="27"/>
              </w:rPr>
            </w:pPr>
            <w:r>
              <w:rPr>
                <w:color w:val="0D0D0D"/>
                <w:sz w:val="27"/>
              </w:rPr>
              <w:t>10</w:t>
            </w:r>
          </w:p>
        </w:tc>
        <w:tc>
          <w:tcPr>
            <w:tcW w:w="1801" w:type="dxa"/>
          </w:tcPr>
          <w:p>
            <w:pPr>
              <w:pStyle w:val="TableParagraph"/>
              <w:spacing w:before="88"/>
              <w:ind w:left="613" w:right="543"/>
              <w:jc w:val="center"/>
              <w:rPr>
                <w:sz w:val="27"/>
              </w:rPr>
            </w:pPr>
            <w:r>
              <w:rPr>
                <w:color w:val="0D0D0D"/>
                <w:sz w:val="27"/>
              </w:rPr>
              <w:t>20/5</w:t>
            </w:r>
          </w:p>
        </w:tc>
        <w:tc>
          <w:tcPr>
            <w:tcW w:w="1723" w:type="dxa"/>
          </w:tcPr>
          <w:p>
            <w:pPr>
              <w:pStyle w:val="TableParagraph"/>
              <w:spacing w:before="88"/>
              <w:ind w:left="729"/>
              <w:rPr>
                <w:sz w:val="27"/>
              </w:rPr>
            </w:pPr>
            <w:r>
              <w:rPr>
                <w:color w:val="0D0D0D"/>
                <w:sz w:val="27"/>
              </w:rPr>
              <w:t>8.66</w:t>
            </w:r>
          </w:p>
        </w:tc>
        <w:tc>
          <w:tcPr>
            <w:tcW w:w="2182" w:type="dxa"/>
          </w:tcPr>
          <w:p>
            <w:pPr>
              <w:pStyle w:val="TableParagraph"/>
              <w:spacing w:before="88"/>
              <w:ind w:left="454"/>
              <w:rPr>
                <w:sz w:val="27"/>
              </w:rPr>
            </w:pPr>
            <w:r>
              <w:rPr>
                <w:color w:val="0D0D0D"/>
                <w:sz w:val="27"/>
              </w:rPr>
              <w:t>7.45</w:t>
            </w:r>
          </w:p>
        </w:tc>
        <w:tc>
          <w:tcPr>
            <w:tcW w:w="2678" w:type="dxa"/>
          </w:tcPr>
          <w:p>
            <w:pPr>
              <w:pStyle w:val="TableParagraph"/>
              <w:spacing w:before="88"/>
              <w:ind w:left="1052"/>
              <w:rPr>
                <w:sz w:val="27"/>
              </w:rPr>
            </w:pPr>
            <w:r>
              <w:rPr>
                <w:color w:val="0D0D0D"/>
                <w:sz w:val="27"/>
              </w:rPr>
              <w:t>0.8603</w:t>
            </w:r>
          </w:p>
        </w:tc>
        <w:tc>
          <w:tcPr>
            <w:tcW w:w="1657" w:type="dxa"/>
          </w:tcPr>
          <w:p>
            <w:pPr>
              <w:pStyle w:val="TableParagraph"/>
              <w:spacing w:before="88"/>
              <w:ind w:right="195"/>
              <w:jc w:val="right"/>
              <w:rPr>
                <w:sz w:val="27"/>
              </w:rPr>
            </w:pPr>
            <w:r>
              <w:rPr>
                <w:color w:val="0D0D0D"/>
                <w:sz w:val="27"/>
              </w:rPr>
              <w:t>8.603</w:t>
            </w:r>
          </w:p>
        </w:tc>
      </w:tr>
      <w:tr>
        <w:tblPrEx>
          <w:tblW w:w="0" w:type="auto"/>
          <w:jc w:val="left"/>
          <w:tblInd w:w="3154" w:type="dxa"/>
          <w:tblLayout w:type="fixed"/>
          <w:tblCellMar>
            <w:top w:w="0" w:type="dxa"/>
            <w:left w:w="0" w:type="dxa"/>
            <w:bottom w:w="0" w:type="dxa"/>
            <w:right w:w="0" w:type="dxa"/>
          </w:tblCellMar>
          <w:tblLook w:val="01E0"/>
        </w:tblPrEx>
        <w:trPr>
          <w:trHeight w:val="970"/>
          <w:jc w:val="left"/>
        </w:trPr>
        <w:tc>
          <w:tcPr>
            <w:tcW w:w="2007" w:type="dxa"/>
          </w:tcPr>
          <w:p>
            <w:pPr>
              <w:pStyle w:val="TableParagraph"/>
              <w:spacing w:before="70"/>
              <w:ind w:left="30" w:right="316"/>
              <w:jc w:val="center"/>
              <w:rPr>
                <w:sz w:val="27"/>
              </w:rPr>
            </w:pPr>
            <w:r>
              <w:rPr>
                <w:color w:val="0D0D0D"/>
                <w:sz w:val="27"/>
              </w:rPr>
              <w:t>应收账款周转</w:t>
            </w:r>
          </w:p>
          <w:p>
            <w:pPr>
              <w:pStyle w:val="TableParagraph"/>
              <w:spacing w:before="118"/>
              <w:ind w:right="281"/>
              <w:jc w:val="center"/>
              <w:rPr>
                <w:sz w:val="27"/>
              </w:rPr>
            </w:pPr>
            <w:r>
              <w:rPr>
                <w:color w:val="0D0D0D"/>
                <w:sz w:val="27"/>
              </w:rPr>
              <w:t>率</w:t>
            </w:r>
          </w:p>
        </w:tc>
        <w:tc>
          <w:tcPr>
            <w:tcW w:w="1446" w:type="dxa"/>
          </w:tcPr>
          <w:p>
            <w:pPr>
              <w:pStyle w:val="TableParagraph"/>
              <w:rPr>
                <w:sz w:val="26"/>
              </w:rPr>
            </w:pPr>
          </w:p>
          <w:p>
            <w:pPr>
              <w:pStyle w:val="TableParagraph"/>
              <w:spacing w:before="201"/>
              <w:ind w:right="633"/>
              <w:jc w:val="right"/>
              <w:rPr>
                <w:sz w:val="27"/>
              </w:rPr>
            </w:pPr>
            <w:r>
              <w:rPr>
                <w:color w:val="0D0D0D"/>
                <w:sz w:val="27"/>
              </w:rPr>
              <w:t>8</w:t>
            </w:r>
          </w:p>
        </w:tc>
        <w:tc>
          <w:tcPr>
            <w:tcW w:w="1801" w:type="dxa"/>
          </w:tcPr>
          <w:p>
            <w:pPr>
              <w:pStyle w:val="TableParagraph"/>
              <w:rPr>
                <w:sz w:val="26"/>
              </w:rPr>
            </w:pPr>
          </w:p>
          <w:p>
            <w:pPr>
              <w:pStyle w:val="TableParagraph"/>
              <w:spacing w:before="201"/>
              <w:ind w:left="613" w:right="543"/>
              <w:jc w:val="center"/>
              <w:rPr>
                <w:sz w:val="27"/>
              </w:rPr>
            </w:pPr>
            <w:r>
              <w:rPr>
                <w:color w:val="0D0D0D"/>
                <w:sz w:val="27"/>
              </w:rPr>
              <w:t>20/4</w:t>
            </w:r>
          </w:p>
        </w:tc>
        <w:tc>
          <w:tcPr>
            <w:tcW w:w="1723" w:type="dxa"/>
          </w:tcPr>
          <w:p>
            <w:pPr>
              <w:pStyle w:val="TableParagraph"/>
              <w:rPr>
                <w:sz w:val="26"/>
              </w:rPr>
            </w:pPr>
          </w:p>
          <w:p>
            <w:pPr>
              <w:pStyle w:val="TableParagraph"/>
              <w:spacing w:before="201"/>
              <w:ind w:left="661"/>
              <w:rPr>
                <w:sz w:val="27"/>
              </w:rPr>
            </w:pPr>
            <w:r>
              <w:rPr>
                <w:color w:val="0D0D0D"/>
                <w:sz w:val="27"/>
              </w:rPr>
              <w:t>17.65</w:t>
            </w:r>
          </w:p>
        </w:tc>
        <w:tc>
          <w:tcPr>
            <w:tcW w:w="2182" w:type="dxa"/>
          </w:tcPr>
          <w:p>
            <w:pPr>
              <w:pStyle w:val="TableParagraph"/>
              <w:rPr>
                <w:sz w:val="26"/>
              </w:rPr>
            </w:pPr>
          </w:p>
          <w:p>
            <w:pPr>
              <w:pStyle w:val="TableParagraph"/>
              <w:spacing w:before="201"/>
              <w:ind w:left="386"/>
              <w:rPr>
                <w:sz w:val="27"/>
              </w:rPr>
            </w:pPr>
            <w:r>
              <w:rPr>
                <w:color w:val="0D0D0D"/>
                <w:sz w:val="27"/>
              </w:rPr>
              <w:t>14.47</w:t>
            </w:r>
          </w:p>
        </w:tc>
        <w:tc>
          <w:tcPr>
            <w:tcW w:w="2678" w:type="dxa"/>
          </w:tcPr>
          <w:p>
            <w:pPr>
              <w:pStyle w:val="TableParagraph"/>
              <w:rPr>
                <w:sz w:val="26"/>
              </w:rPr>
            </w:pPr>
          </w:p>
          <w:p>
            <w:pPr>
              <w:pStyle w:val="TableParagraph"/>
              <w:spacing w:before="201"/>
              <w:ind w:left="1117"/>
              <w:rPr>
                <w:sz w:val="27"/>
              </w:rPr>
            </w:pPr>
            <w:r>
              <w:rPr>
                <w:color w:val="0D0D0D"/>
                <w:sz w:val="27"/>
              </w:rPr>
              <w:t>0.8198</w:t>
            </w:r>
          </w:p>
        </w:tc>
        <w:tc>
          <w:tcPr>
            <w:tcW w:w="1657" w:type="dxa"/>
          </w:tcPr>
          <w:p>
            <w:pPr>
              <w:pStyle w:val="TableParagraph"/>
              <w:rPr>
                <w:sz w:val="26"/>
              </w:rPr>
            </w:pPr>
          </w:p>
          <w:p>
            <w:pPr>
              <w:pStyle w:val="TableParagraph"/>
              <w:spacing w:before="201"/>
              <w:ind w:right="195"/>
              <w:jc w:val="right"/>
              <w:rPr>
                <w:sz w:val="27"/>
              </w:rPr>
            </w:pPr>
            <w:r>
              <w:rPr>
                <w:color w:val="0D0D0D"/>
                <w:sz w:val="27"/>
              </w:rPr>
              <w:t>6.558</w:t>
            </w:r>
          </w:p>
        </w:tc>
      </w:tr>
      <w:tr>
        <w:tblPrEx>
          <w:tblW w:w="0" w:type="auto"/>
          <w:jc w:val="left"/>
          <w:tblInd w:w="3154" w:type="dxa"/>
          <w:tblLayout w:type="fixed"/>
          <w:tblCellMar>
            <w:top w:w="0" w:type="dxa"/>
            <w:left w:w="0" w:type="dxa"/>
            <w:bottom w:w="0" w:type="dxa"/>
            <w:right w:w="0" w:type="dxa"/>
          </w:tblCellMar>
          <w:tblLook w:val="01E0"/>
        </w:tblPrEx>
        <w:trPr>
          <w:trHeight w:val="525"/>
          <w:jc w:val="left"/>
        </w:trPr>
        <w:tc>
          <w:tcPr>
            <w:tcW w:w="2007" w:type="dxa"/>
          </w:tcPr>
          <w:p>
            <w:pPr>
              <w:pStyle w:val="TableParagraph"/>
              <w:spacing w:before="90"/>
              <w:ind w:left="30" w:right="316"/>
              <w:jc w:val="center"/>
              <w:rPr>
                <w:sz w:val="27"/>
              </w:rPr>
            </w:pPr>
            <w:r>
              <w:rPr>
                <w:color w:val="0D0D0D"/>
                <w:sz w:val="27"/>
              </w:rPr>
              <w:t>总资产周转率</w:t>
            </w:r>
          </w:p>
        </w:tc>
        <w:tc>
          <w:tcPr>
            <w:tcW w:w="1446" w:type="dxa"/>
          </w:tcPr>
          <w:p>
            <w:pPr>
              <w:pStyle w:val="TableParagraph"/>
              <w:spacing w:before="90"/>
              <w:ind w:right="635"/>
              <w:jc w:val="right"/>
              <w:rPr>
                <w:sz w:val="27"/>
              </w:rPr>
            </w:pPr>
            <w:r>
              <w:rPr>
                <w:color w:val="0D0D0D"/>
                <w:sz w:val="27"/>
              </w:rPr>
              <w:t>10</w:t>
            </w:r>
          </w:p>
        </w:tc>
        <w:tc>
          <w:tcPr>
            <w:tcW w:w="1801" w:type="dxa"/>
          </w:tcPr>
          <w:p>
            <w:pPr>
              <w:pStyle w:val="TableParagraph"/>
              <w:spacing w:before="90"/>
              <w:ind w:left="613" w:right="543"/>
              <w:jc w:val="center"/>
              <w:rPr>
                <w:sz w:val="27"/>
              </w:rPr>
            </w:pPr>
            <w:r>
              <w:rPr>
                <w:color w:val="0D0D0D"/>
                <w:sz w:val="27"/>
              </w:rPr>
              <w:t>20/5</w:t>
            </w:r>
          </w:p>
        </w:tc>
        <w:tc>
          <w:tcPr>
            <w:tcW w:w="1723" w:type="dxa"/>
          </w:tcPr>
          <w:p>
            <w:pPr>
              <w:pStyle w:val="TableParagraph"/>
              <w:spacing w:before="90"/>
              <w:ind w:left="729"/>
              <w:rPr>
                <w:sz w:val="27"/>
              </w:rPr>
            </w:pPr>
            <w:r>
              <w:rPr>
                <w:color w:val="0D0D0D"/>
                <w:sz w:val="27"/>
              </w:rPr>
              <w:t>2.76</w:t>
            </w:r>
          </w:p>
        </w:tc>
        <w:tc>
          <w:tcPr>
            <w:tcW w:w="2182" w:type="dxa"/>
          </w:tcPr>
          <w:p>
            <w:pPr>
              <w:pStyle w:val="TableParagraph"/>
              <w:spacing w:before="90"/>
              <w:ind w:left="454"/>
              <w:rPr>
                <w:sz w:val="27"/>
              </w:rPr>
            </w:pPr>
            <w:r>
              <w:rPr>
                <w:color w:val="0D0D0D"/>
                <w:sz w:val="27"/>
              </w:rPr>
              <w:t>2.32</w:t>
            </w:r>
          </w:p>
        </w:tc>
        <w:tc>
          <w:tcPr>
            <w:tcW w:w="2678" w:type="dxa"/>
          </w:tcPr>
          <w:p>
            <w:pPr>
              <w:pStyle w:val="TableParagraph"/>
              <w:spacing w:before="90"/>
              <w:ind w:left="1052"/>
              <w:rPr>
                <w:sz w:val="27"/>
              </w:rPr>
            </w:pPr>
            <w:r>
              <w:rPr>
                <w:color w:val="0D0D0D"/>
                <w:sz w:val="27"/>
              </w:rPr>
              <w:t>0.8406</w:t>
            </w:r>
          </w:p>
        </w:tc>
        <w:tc>
          <w:tcPr>
            <w:tcW w:w="1657" w:type="dxa"/>
          </w:tcPr>
          <w:p>
            <w:pPr>
              <w:pStyle w:val="TableParagraph"/>
              <w:spacing w:before="90"/>
              <w:ind w:right="195"/>
              <w:jc w:val="right"/>
              <w:rPr>
                <w:sz w:val="27"/>
              </w:rPr>
            </w:pPr>
            <w:r>
              <w:rPr>
                <w:color w:val="0D0D0D"/>
                <w:sz w:val="27"/>
              </w:rPr>
              <w:t>8.406</w:t>
            </w:r>
          </w:p>
        </w:tc>
      </w:tr>
      <w:tr>
        <w:tblPrEx>
          <w:tblW w:w="0" w:type="auto"/>
          <w:jc w:val="left"/>
          <w:tblInd w:w="3154" w:type="dxa"/>
          <w:tblLayout w:type="fixed"/>
          <w:tblCellMar>
            <w:top w:w="0" w:type="dxa"/>
            <w:left w:w="0" w:type="dxa"/>
            <w:bottom w:w="0" w:type="dxa"/>
            <w:right w:w="0" w:type="dxa"/>
          </w:tblCellMar>
          <w:tblLook w:val="01E0"/>
        </w:tblPrEx>
        <w:trPr>
          <w:trHeight w:val="525"/>
          <w:jc w:val="left"/>
        </w:trPr>
        <w:tc>
          <w:tcPr>
            <w:tcW w:w="2007" w:type="dxa"/>
          </w:tcPr>
          <w:p>
            <w:pPr>
              <w:pStyle w:val="TableParagraph"/>
              <w:spacing w:before="90"/>
              <w:ind w:left="30" w:right="311"/>
              <w:jc w:val="center"/>
              <w:rPr>
                <w:sz w:val="27"/>
              </w:rPr>
            </w:pPr>
            <w:r>
              <w:rPr>
                <w:color w:val="0D0D0D"/>
                <w:sz w:val="27"/>
              </w:rPr>
              <w:t>资产报酬率</w:t>
            </w:r>
          </w:p>
        </w:tc>
        <w:tc>
          <w:tcPr>
            <w:tcW w:w="1446" w:type="dxa"/>
          </w:tcPr>
          <w:p>
            <w:pPr>
              <w:pStyle w:val="TableParagraph"/>
              <w:spacing w:before="90"/>
              <w:ind w:right="635"/>
              <w:jc w:val="right"/>
              <w:rPr>
                <w:sz w:val="27"/>
              </w:rPr>
            </w:pPr>
            <w:r>
              <w:rPr>
                <w:color w:val="0D0D0D"/>
                <w:sz w:val="27"/>
              </w:rPr>
              <w:t>10</w:t>
            </w:r>
          </w:p>
        </w:tc>
        <w:tc>
          <w:tcPr>
            <w:tcW w:w="1801" w:type="dxa"/>
          </w:tcPr>
          <w:p>
            <w:pPr>
              <w:pStyle w:val="TableParagraph"/>
              <w:spacing w:before="90"/>
              <w:ind w:left="613" w:right="543"/>
              <w:jc w:val="center"/>
              <w:rPr>
                <w:sz w:val="27"/>
              </w:rPr>
            </w:pPr>
            <w:r>
              <w:rPr>
                <w:color w:val="0D0D0D"/>
                <w:sz w:val="27"/>
              </w:rPr>
              <w:t>20/5</w:t>
            </w:r>
          </w:p>
        </w:tc>
        <w:tc>
          <w:tcPr>
            <w:tcW w:w="1723" w:type="dxa"/>
          </w:tcPr>
          <w:p>
            <w:pPr>
              <w:pStyle w:val="TableParagraph"/>
              <w:spacing w:before="90"/>
              <w:ind w:right="318"/>
              <w:jc w:val="right"/>
              <w:rPr>
                <w:sz w:val="27"/>
              </w:rPr>
            </w:pPr>
            <w:r>
              <w:rPr>
                <w:color w:val="0D0D0D"/>
                <w:sz w:val="27"/>
              </w:rPr>
              <w:t>38.97%</w:t>
            </w:r>
          </w:p>
        </w:tc>
        <w:tc>
          <w:tcPr>
            <w:tcW w:w="2182" w:type="dxa"/>
          </w:tcPr>
          <w:p>
            <w:pPr>
              <w:pStyle w:val="TableParagraph"/>
              <w:spacing w:before="90"/>
              <w:ind w:left="317"/>
              <w:rPr>
                <w:sz w:val="27"/>
              </w:rPr>
            </w:pPr>
            <w:r>
              <w:rPr>
                <w:color w:val="0D0D0D"/>
                <w:sz w:val="27"/>
              </w:rPr>
              <w:t>34.29%</w:t>
            </w:r>
          </w:p>
        </w:tc>
        <w:tc>
          <w:tcPr>
            <w:tcW w:w="2678" w:type="dxa"/>
          </w:tcPr>
          <w:p>
            <w:pPr>
              <w:pStyle w:val="TableParagraph"/>
              <w:spacing w:before="90"/>
              <w:ind w:left="1052"/>
              <w:rPr>
                <w:sz w:val="27"/>
              </w:rPr>
            </w:pPr>
            <w:r>
              <w:rPr>
                <w:color w:val="0D0D0D"/>
                <w:sz w:val="27"/>
              </w:rPr>
              <w:t>0.8799</w:t>
            </w:r>
          </w:p>
        </w:tc>
        <w:tc>
          <w:tcPr>
            <w:tcW w:w="1657" w:type="dxa"/>
          </w:tcPr>
          <w:p>
            <w:pPr>
              <w:pStyle w:val="TableParagraph"/>
              <w:spacing w:before="90"/>
              <w:ind w:right="162"/>
              <w:jc w:val="right"/>
              <w:rPr>
                <w:sz w:val="27"/>
              </w:rPr>
            </w:pPr>
            <w:r>
              <w:rPr>
                <w:color w:val="0D0D0D"/>
                <w:sz w:val="27"/>
              </w:rPr>
              <w:t>8.799</w:t>
            </w:r>
          </w:p>
        </w:tc>
      </w:tr>
      <w:tr>
        <w:tblPrEx>
          <w:tblW w:w="0" w:type="auto"/>
          <w:jc w:val="left"/>
          <w:tblInd w:w="3154" w:type="dxa"/>
          <w:tblLayout w:type="fixed"/>
          <w:tblCellMar>
            <w:top w:w="0" w:type="dxa"/>
            <w:left w:w="0" w:type="dxa"/>
            <w:bottom w:w="0" w:type="dxa"/>
            <w:right w:w="0" w:type="dxa"/>
          </w:tblCellMar>
          <w:tblLook w:val="01E0"/>
        </w:tblPrEx>
        <w:trPr>
          <w:trHeight w:val="525"/>
          <w:jc w:val="left"/>
        </w:trPr>
        <w:tc>
          <w:tcPr>
            <w:tcW w:w="2007" w:type="dxa"/>
          </w:tcPr>
          <w:p>
            <w:pPr>
              <w:pStyle w:val="TableParagraph"/>
              <w:spacing w:before="90"/>
              <w:ind w:left="30" w:right="311"/>
              <w:jc w:val="center"/>
              <w:rPr>
                <w:sz w:val="27"/>
              </w:rPr>
            </w:pPr>
            <w:r>
              <w:rPr>
                <w:color w:val="0D0D0D"/>
                <w:sz w:val="27"/>
              </w:rPr>
              <w:t>股权报酬率</w:t>
            </w:r>
          </w:p>
        </w:tc>
        <w:tc>
          <w:tcPr>
            <w:tcW w:w="1446" w:type="dxa"/>
          </w:tcPr>
          <w:p>
            <w:pPr>
              <w:pStyle w:val="TableParagraph"/>
              <w:spacing w:before="90"/>
              <w:ind w:right="635"/>
              <w:jc w:val="right"/>
              <w:rPr>
                <w:sz w:val="27"/>
              </w:rPr>
            </w:pPr>
            <w:r>
              <w:rPr>
                <w:color w:val="0D0D0D"/>
                <w:sz w:val="27"/>
              </w:rPr>
              <w:t>10</w:t>
            </w:r>
          </w:p>
        </w:tc>
        <w:tc>
          <w:tcPr>
            <w:tcW w:w="1801" w:type="dxa"/>
          </w:tcPr>
          <w:p>
            <w:pPr>
              <w:pStyle w:val="TableParagraph"/>
              <w:spacing w:before="90"/>
              <w:ind w:left="613" w:right="543"/>
              <w:jc w:val="center"/>
              <w:rPr>
                <w:sz w:val="27"/>
              </w:rPr>
            </w:pPr>
            <w:r>
              <w:rPr>
                <w:color w:val="0D0D0D"/>
                <w:sz w:val="27"/>
              </w:rPr>
              <w:t>20/5</w:t>
            </w:r>
          </w:p>
        </w:tc>
        <w:tc>
          <w:tcPr>
            <w:tcW w:w="1723" w:type="dxa"/>
          </w:tcPr>
          <w:p>
            <w:pPr>
              <w:pStyle w:val="TableParagraph"/>
              <w:spacing w:before="90"/>
              <w:ind w:right="318"/>
              <w:jc w:val="right"/>
              <w:rPr>
                <w:sz w:val="27"/>
              </w:rPr>
            </w:pPr>
            <w:r>
              <w:rPr>
                <w:color w:val="0D0D0D"/>
                <w:sz w:val="27"/>
              </w:rPr>
              <w:t>67.81%</w:t>
            </w:r>
          </w:p>
        </w:tc>
        <w:tc>
          <w:tcPr>
            <w:tcW w:w="2182" w:type="dxa"/>
          </w:tcPr>
          <w:p>
            <w:pPr>
              <w:pStyle w:val="TableParagraph"/>
              <w:spacing w:before="90"/>
              <w:ind w:left="317"/>
              <w:rPr>
                <w:sz w:val="27"/>
              </w:rPr>
            </w:pPr>
            <w:r>
              <w:rPr>
                <w:color w:val="0D0D0D"/>
                <w:sz w:val="27"/>
              </w:rPr>
              <w:t>64.42%</w:t>
            </w:r>
          </w:p>
        </w:tc>
        <w:tc>
          <w:tcPr>
            <w:tcW w:w="2678" w:type="dxa"/>
          </w:tcPr>
          <w:p>
            <w:pPr>
              <w:pStyle w:val="TableParagraph"/>
              <w:spacing w:before="90"/>
              <w:ind w:left="1052"/>
              <w:rPr>
                <w:sz w:val="27"/>
              </w:rPr>
            </w:pPr>
            <w:r>
              <w:rPr>
                <w:color w:val="0D0D0D"/>
                <w:sz w:val="27"/>
              </w:rPr>
              <w:t>0.9500</w:t>
            </w:r>
          </w:p>
        </w:tc>
        <w:tc>
          <w:tcPr>
            <w:tcW w:w="1657" w:type="dxa"/>
          </w:tcPr>
          <w:p>
            <w:pPr>
              <w:pStyle w:val="TableParagraph"/>
              <w:spacing w:before="90"/>
              <w:ind w:right="162"/>
              <w:jc w:val="right"/>
              <w:rPr>
                <w:sz w:val="27"/>
              </w:rPr>
            </w:pPr>
            <w:r>
              <w:rPr>
                <w:color w:val="0D0D0D"/>
                <w:sz w:val="27"/>
              </w:rPr>
              <w:t>9.500</w:t>
            </w:r>
          </w:p>
        </w:tc>
      </w:tr>
      <w:tr>
        <w:tblPrEx>
          <w:tblW w:w="0" w:type="auto"/>
          <w:jc w:val="left"/>
          <w:tblInd w:w="3154" w:type="dxa"/>
          <w:tblLayout w:type="fixed"/>
          <w:tblCellMar>
            <w:top w:w="0" w:type="dxa"/>
            <w:left w:w="0" w:type="dxa"/>
            <w:bottom w:w="0" w:type="dxa"/>
            <w:right w:w="0" w:type="dxa"/>
          </w:tblCellMar>
          <w:tblLook w:val="01E0"/>
        </w:tblPrEx>
        <w:trPr>
          <w:trHeight w:val="525"/>
          <w:jc w:val="left"/>
        </w:trPr>
        <w:tc>
          <w:tcPr>
            <w:tcW w:w="2007" w:type="dxa"/>
          </w:tcPr>
          <w:p>
            <w:pPr>
              <w:pStyle w:val="TableParagraph"/>
              <w:spacing w:before="90"/>
              <w:ind w:left="30" w:right="311"/>
              <w:jc w:val="center"/>
              <w:rPr>
                <w:sz w:val="27"/>
              </w:rPr>
            </w:pPr>
            <w:r>
              <w:rPr>
                <w:color w:val="0D0D0D"/>
                <w:sz w:val="27"/>
              </w:rPr>
              <w:t>销售净利率</w:t>
            </w:r>
          </w:p>
        </w:tc>
        <w:tc>
          <w:tcPr>
            <w:tcW w:w="1446" w:type="dxa"/>
          </w:tcPr>
          <w:p>
            <w:pPr>
              <w:pStyle w:val="TableParagraph"/>
              <w:spacing w:before="90"/>
              <w:ind w:right="635"/>
              <w:jc w:val="right"/>
              <w:rPr>
                <w:sz w:val="27"/>
              </w:rPr>
            </w:pPr>
            <w:r>
              <w:rPr>
                <w:color w:val="0D0D0D"/>
                <w:sz w:val="27"/>
              </w:rPr>
              <w:t>10</w:t>
            </w:r>
          </w:p>
        </w:tc>
        <w:tc>
          <w:tcPr>
            <w:tcW w:w="1801" w:type="dxa"/>
          </w:tcPr>
          <w:p>
            <w:pPr>
              <w:pStyle w:val="TableParagraph"/>
              <w:spacing w:before="90"/>
              <w:ind w:left="613" w:right="543"/>
              <w:jc w:val="center"/>
              <w:rPr>
                <w:sz w:val="27"/>
              </w:rPr>
            </w:pPr>
            <w:r>
              <w:rPr>
                <w:color w:val="0D0D0D"/>
                <w:sz w:val="27"/>
              </w:rPr>
              <w:t>20/5</w:t>
            </w:r>
          </w:p>
        </w:tc>
        <w:tc>
          <w:tcPr>
            <w:tcW w:w="1723" w:type="dxa"/>
          </w:tcPr>
          <w:p>
            <w:pPr>
              <w:pStyle w:val="TableParagraph"/>
              <w:spacing w:before="90"/>
              <w:ind w:right="318"/>
              <w:jc w:val="right"/>
              <w:rPr>
                <w:sz w:val="27"/>
              </w:rPr>
            </w:pPr>
            <w:r>
              <w:rPr>
                <w:color w:val="0D0D0D"/>
                <w:sz w:val="27"/>
              </w:rPr>
              <w:t>17.20%</w:t>
            </w:r>
          </w:p>
        </w:tc>
        <w:tc>
          <w:tcPr>
            <w:tcW w:w="2182" w:type="dxa"/>
          </w:tcPr>
          <w:p>
            <w:pPr>
              <w:pStyle w:val="TableParagraph"/>
              <w:spacing w:before="90"/>
              <w:ind w:left="317"/>
              <w:rPr>
                <w:sz w:val="27"/>
              </w:rPr>
            </w:pPr>
            <w:r>
              <w:rPr>
                <w:color w:val="0D0D0D"/>
                <w:sz w:val="27"/>
              </w:rPr>
              <w:t>14.79%</w:t>
            </w:r>
          </w:p>
        </w:tc>
        <w:tc>
          <w:tcPr>
            <w:tcW w:w="2678" w:type="dxa"/>
          </w:tcPr>
          <w:p>
            <w:pPr>
              <w:pStyle w:val="TableParagraph"/>
              <w:spacing w:before="90"/>
              <w:ind w:left="1052"/>
              <w:rPr>
                <w:sz w:val="27"/>
              </w:rPr>
            </w:pPr>
            <w:r>
              <w:rPr>
                <w:color w:val="0D0D0D"/>
                <w:sz w:val="27"/>
              </w:rPr>
              <w:t>0.8599</w:t>
            </w:r>
          </w:p>
        </w:tc>
        <w:tc>
          <w:tcPr>
            <w:tcW w:w="1657" w:type="dxa"/>
          </w:tcPr>
          <w:p>
            <w:pPr>
              <w:pStyle w:val="TableParagraph"/>
              <w:spacing w:before="90"/>
              <w:ind w:right="162"/>
              <w:jc w:val="right"/>
              <w:rPr>
                <w:sz w:val="27"/>
              </w:rPr>
            </w:pPr>
            <w:r>
              <w:rPr>
                <w:color w:val="0D0D0D"/>
                <w:sz w:val="27"/>
              </w:rPr>
              <w:t>8.599</w:t>
            </w:r>
          </w:p>
        </w:tc>
      </w:tr>
      <w:tr>
        <w:tblPrEx>
          <w:tblW w:w="0" w:type="auto"/>
          <w:jc w:val="left"/>
          <w:tblInd w:w="3154" w:type="dxa"/>
          <w:tblLayout w:type="fixed"/>
          <w:tblCellMar>
            <w:top w:w="0" w:type="dxa"/>
            <w:left w:w="0" w:type="dxa"/>
            <w:bottom w:w="0" w:type="dxa"/>
            <w:right w:w="0" w:type="dxa"/>
          </w:tblCellMar>
          <w:tblLook w:val="01E0"/>
        </w:tblPrEx>
        <w:trPr>
          <w:trHeight w:val="610"/>
          <w:jc w:val="left"/>
        </w:trPr>
        <w:tc>
          <w:tcPr>
            <w:tcW w:w="2007" w:type="dxa"/>
          </w:tcPr>
          <w:p>
            <w:pPr>
              <w:pStyle w:val="TableParagraph"/>
              <w:spacing w:before="90"/>
              <w:ind w:left="30" w:right="316"/>
              <w:jc w:val="center"/>
              <w:rPr>
                <w:sz w:val="27"/>
              </w:rPr>
            </w:pPr>
            <w:r>
              <w:rPr>
                <w:color w:val="0D0D0D"/>
                <w:sz w:val="27"/>
              </w:rPr>
              <w:t>每股现金流量</w:t>
            </w:r>
          </w:p>
        </w:tc>
        <w:tc>
          <w:tcPr>
            <w:tcW w:w="1446" w:type="dxa"/>
          </w:tcPr>
          <w:p>
            <w:pPr>
              <w:pStyle w:val="TableParagraph"/>
              <w:spacing w:before="90"/>
              <w:ind w:left="471"/>
              <w:rPr>
                <w:sz w:val="27"/>
              </w:rPr>
            </w:pPr>
            <w:r>
              <w:rPr>
                <w:color w:val="0D0D0D"/>
                <w:sz w:val="27"/>
              </w:rPr>
              <w:t>10</w:t>
            </w:r>
          </w:p>
        </w:tc>
        <w:tc>
          <w:tcPr>
            <w:tcW w:w="1801" w:type="dxa"/>
          </w:tcPr>
          <w:p>
            <w:pPr>
              <w:pStyle w:val="TableParagraph"/>
              <w:spacing w:before="90"/>
              <w:ind w:left="613" w:right="543"/>
              <w:jc w:val="center"/>
              <w:rPr>
                <w:sz w:val="27"/>
              </w:rPr>
            </w:pPr>
            <w:r>
              <w:rPr>
                <w:color w:val="0D0D0D"/>
                <w:sz w:val="27"/>
              </w:rPr>
              <w:t>20/5</w:t>
            </w:r>
          </w:p>
        </w:tc>
        <w:tc>
          <w:tcPr>
            <w:tcW w:w="1723" w:type="dxa"/>
          </w:tcPr>
          <w:p>
            <w:pPr>
              <w:pStyle w:val="TableParagraph"/>
              <w:spacing w:before="90"/>
              <w:ind w:left="661"/>
              <w:rPr>
                <w:sz w:val="27"/>
              </w:rPr>
            </w:pPr>
            <w:r>
              <w:rPr>
                <w:color w:val="0D0D0D"/>
                <w:sz w:val="27"/>
              </w:rPr>
              <w:t>0.644</w:t>
            </w:r>
          </w:p>
        </w:tc>
        <w:tc>
          <w:tcPr>
            <w:tcW w:w="2182" w:type="dxa"/>
          </w:tcPr>
          <w:p>
            <w:pPr>
              <w:pStyle w:val="TableParagraph"/>
              <w:spacing w:before="90"/>
              <w:ind w:left="386"/>
              <w:rPr>
                <w:sz w:val="27"/>
              </w:rPr>
            </w:pPr>
            <w:r>
              <w:rPr>
                <w:color w:val="0D0D0D"/>
                <w:sz w:val="27"/>
              </w:rPr>
              <w:t>0.528</w:t>
            </w:r>
          </w:p>
        </w:tc>
        <w:tc>
          <w:tcPr>
            <w:tcW w:w="2678" w:type="dxa"/>
          </w:tcPr>
          <w:p>
            <w:pPr>
              <w:pStyle w:val="TableParagraph"/>
              <w:spacing w:before="90"/>
              <w:ind w:left="1117"/>
              <w:rPr>
                <w:sz w:val="27"/>
              </w:rPr>
            </w:pPr>
            <w:r>
              <w:rPr>
                <w:color w:val="0D0D0D"/>
                <w:sz w:val="27"/>
              </w:rPr>
              <w:t>0.8199</w:t>
            </w:r>
          </w:p>
        </w:tc>
        <w:tc>
          <w:tcPr>
            <w:tcW w:w="1657" w:type="dxa"/>
          </w:tcPr>
          <w:p>
            <w:pPr>
              <w:pStyle w:val="TableParagraph"/>
              <w:spacing w:before="90"/>
              <w:ind w:right="137"/>
              <w:jc w:val="right"/>
              <w:rPr>
                <w:sz w:val="27"/>
              </w:rPr>
            </w:pPr>
            <w:r>
              <w:rPr>
                <w:color w:val="0D0D0D"/>
                <w:sz w:val="27"/>
              </w:rPr>
              <w:t>8.199</w:t>
            </w:r>
          </w:p>
        </w:tc>
      </w:tr>
      <w:tr>
        <w:tblPrEx>
          <w:tblW w:w="0" w:type="auto"/>
          <w:jc w:val="left"/>
          <w:tblInd w:w="3154" w:type="dxa"/>
          <w:tblLayout w:type="fixed"/>
          <w:tblCellMar>
            <w:top w:w="0" w:type="dxa"/>
            <w:left w:w="0" w:type="dxa"/>
            <w:bottom w:w="0" w:type="dxa"/>
            <w:right w:w="0" w:type="dxa"/>
          </w:tblCellMar>
          <w:tblLook w:val="01E0"/>
        </w:tblPrEx>
        <w:trPr>
          <w:trHeight w:val="482"/>
          <w:jc w:val="left"/>
        </w:trPr>
        <w:tc>
          <w:tcPr>
            <w:tcW w:w="2007" w:type="dxa"/>
          </w:tcPr>
          <w:p>
            <w:pPr>
              <w:pStyle w:val="TableParagraph"/>
              <w:spacing w:before="175" w:line="288" w:lineRule="exact"/>
              <w:ind w:left="30" w:right="316"/>
              <w:jc w:val="center"/>
              <w:rPr>
                <w:sz w:val="27"/>
              </w:rPr>
            </w:pPr>
            <w:r>
              <w:rPr>
                <w:color w:val="0D0D0D"/>
                <w:sz w:val="27"/>
              </w:rPr>
              <w:t>合计</w:t>
            </w:r>
          </w:p>
        </w:tc>
        <w:tc>
          <w:tcPr>
            <w:tcW w:w="1446" w:type="dxa"/>
          </w:tcPr>
          <w:p>
            <w:pPr>
              <w:pStyle w:val="TableParagraph"/>
              <w:spacing w:before="175" w:line="288" w:lineRule="exact"/>
              <w:ind w:left="336"/>
              <w:rPr>
                <w:sz w:val="27"/>
              </w:rPr>
            </w:pPr>
            <w:r>
              <w:rPr>
                <w:color w:val="0D0D0D"/>
                <w:sz w:val="27"/>
              </w:rPr>
              <w:t>100</w:t>
            </w:r>
          </w:p>
        </w:tc>
        <w:tc>
          <w:tcPr>
            <w:tcW w:w="1801" w:type="dxa"/>
          </w:tcPr>
          <w:p>
            <w:pPr>
              <w:pStyle w:val="TableParagraph"/>
              <w:rPr>
                <w:rFonts w:ascii="Times New Roman"/>
                <w:sz w:val="30"/>
              </w:rPr>
            </w:pPr>
          </w:p>
        </w:tc>
        <w:tc>
          <w:tcPr>
            <w:tcW w:w="1723" w:type="dxa"/>
          </w:tcPr>
          <w:p>
            <w:pPr>
              <w:pStyle w:val="TableParagraph"/>
              <w:rPr>
                <w:rFonts w:ascii="Times New Roman"/>
                <w:sz w:val="30"/>
              </w:rPr>
            </w:pPr>
          </w:p>
        </w:tc>
        <w:tc>
          <w:tcPr>
            <w:tcW w:w="2182" w:type="dxa"/>
          </w:tcPr>
          <w:p>
            <w:pPr>
              <w:pStyle w:val="TableParagraph"/>
              <w:rPr>
                <w:rFonts w:ascii="Times New Roman"/>
                <w:sz w:val="30"/>
              </w:rPr>
            </w:pPr>
          </w:p>
        </w:tc>
        <w:tc>
          <w:tcPr>
            <w:tcW w:w="2678" w:type="dxa"/>
          </w:tcPr>
          <w:p>
            <w:pPr>
              <w:pStyle w:val="TableParagraph"/>
              <w:rPr>
                <w:rFonts w:ascii="Times New Roman"/>
                <w:sz w:val="30"/>
              </w:rPr>
            </w:pPr>
          </w:p>
        </w:tc>
        <w:tc>
          <w:tcPr>
            <w:tcW w:w="1657" w:type="dxa"/>
          </w:tcPr>
          <w:p>
            <w:pPr>
              <w:pStyle w:val="TableParagraph"/>
              <w:spacing w:before="175" w:line="288" w:lineRule="exact"/>
              <w:ind w:right="47"/>
              <w:jc w:val="right"/>
              <w:rPr>
                <w:sz w:val="27"/>
              </w:rPr>
            </w:pPr>
            <w:r>
              <w:rPr>
                <w:color w:val="0D0D0D"/>
                <w:sz w:val="27"/>
              </w:rPr>
              <w:t>90.627</w:t>
            </w:r>
          </w:p>
        </w:tc>
      </w:tr>
    </w:tbl>
    <w:p>
      <w:pPr>
        <w:pStyle w:val="BodyText"/>
        <w:ind w:left="0"/>
        <w:rPr>
          <w:sz w:val="20"/>
        </w:rPr>
      </w:pPr>
    </w:p>
    <w:p>
      <w:pPr>
        <w:pStyle w:val="BodyText"/>
        <w:spacing w:before="237" w:line="247" w:lineRule="auto"/>
        <w:ind w:right="2630"/>
      </w:pPr>
      <w:r>
        <w:drawing>
          <wp:anchor distT="0" distB="0" distL="0" distR="0" simplePos="0" relativeHeight="251668480" behindDoc="1" locked="0" layoutInCell="1" allowOverlap="1">
            <wp:simplePos x="0" y="0"/>
            <wp:positionH relativeFrom="page">
              <wp:posOffset>1870075</wp:posOffset>
            </wp:positionH>
            <wp:positionV relativeFrom="paragraph">
              <wp:posOffset>-4197985</wp:posOffset>
            </wp:positionV>
            <wp:extent cx="8943682" cy="4066508"/>
            <wp:effectExtent l="0" t="0" r="0" b="0"/>
            <wp:wrapNone/>
            <wp:docPr id="2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6.png"/>
                    <pic:cNvPicPr/>
                  </pic:nvPicPr>
                  <pic:blipFill>
                    <a:blip xmlns:r="http://schemas.openxmlformats.org/officeDocument/2006/relationships" r:embed="rId69" cstate="print"/>
                    <a:stretch>
                      <a:fillRect/>
                    </a:stretch>
                  </pic:blipFill>
                  <pic:spPr>
                    <a:xfrm>
                      <a:off x="0" y="0"/>
                      <a:ext cx="8943682" cy="4066508"/>
                    </a:xfrm>
                    <a:prstGeom prst="rect">
                      <a:avLst/>
                    </a:prstGeom>
                  </pic:spPr>
                </pic:pic>
              </a:graphicData>
            </a:graphic>
          </wp:anchor>
        </w:drawing>
      </w:r>
      <w:r>
        <w:rPr>
          <w:color w:val="0D0D0D"/>
        </w:rPr>
        <w:t>4</w:t>
      </w:r>
      <w:r>
        <w:rPr>
          <w:color w:val="0D0D0D"/>
          <w:spacing w:val="-11"/>
        </w:rPr>
        <w:t xml:space="preserve">、某企业 </w:t>
      </w:r>
      <w:r>
        <w:rPr>
          <w:color w:val="0D0D0D"/>
        </w:rPr>
        <w:t>1998</w:t>
      </w:r>
      <w:r>
        <w:rPr>
          <w:color w:val="0D0D0D"/>
          <w:spacing w:val="-14"/>
        </w:rPr>
        <w:t xml:space="preserve"> 年销售收入为 </w:t>
      </w:r>
      <w:r>
        <w:rPr>
          <w:color w:val="0D0D0D"/>
        </w:rPr>
        <w:t>20</w:t>
      </w:r>
      <w:r>
        <w:rPr>
          <w:color w:val="0D0D0D"/>
          <w:spacing w:val="-14"/>
        </w:rPr>
        <w:t xml:space="preserve"> 万元，毛利率 </w:t>
      </w:r>
      <w:r>
        <w:rPr>
          <w:color w:val="0D0D0D"/>
        </w:rPr>
        <w:t>40</w:t>
      </w:r>
      <w:r>
        <w:rPr>
          <w:color w:val="0D0D0D"/>
          <w:spacing w:val="-7"/>
        </w:rPr>
        <w:t xml:space="preserve">%，赊销比例为 </w:t>
      </w:r>
      <w:r>
        <w:rPr>
          <w:color w:val="0D0D0D"/>
        </w:rPr>
        <w:t>80</w:t>
      </w:r>
      <w:r>
        <w:rPr>
          <w:color w:val="0D0D0D"/>
          <w:spacing w:val="-6"/>
        </w:rPr>
        <w:t xml:space="preserve">%，销售净利润率 </w:t>
      </w:r>
      <w:r>
        <w:rPr>
          <w:color w:val="0D0D0D"/>
          <w:spacing w:val="-5"/>
        </w:rPr>
        <w:t xml:space="preserve">16%， </w:t>
      </w:r>
      <w:r>
        <w:rPr>
          <w:color w:val="0D0D0D"/>
          <w:spacing w:val="-7"/>
        </w:rPr>
        <w:t xml:space="preserve">存货周转率为 </w:t>
      </w:r>
      <w:r>
        <w:rPr>
          <w:color w:val="0D0D0D"/>
        </w:rPr>
        <w:t>5</w:t>
      </w:r>
      <w:r>
        <w:rPr>
          <w:color w:val="0D0D0D"/>
          <w:spacing w:val="-16"/>
        </w:rPr>
        <w:t xml:space="preserve"> 次，期初存货余额为 </w:t>
      </w:r>
      <w:r>
        <w:rPr>
          <w:color w:val="0D0D0D"/>
        </w:rPr>
        <w:t>2</w:t>
      </w:r>
      <w:r>
        <w:rPr>
          <w:color w:val="0D0D0D"/>
          <w:spacing w:val="-14"/>
        </w:rPr>
        <w:t xml:space="preserve"> 万元；期初应收账款余额为 </w:t>
      </w:r>
      <w:r>
        <w:rPr>
          <w:color w:val="0D0D0D"/>
        </w:rPr>
        <w:t>4.8</w:t>
      </w:r>
      <w:r>
        <w:rPr>
          <w:color w:val="0D0D0D"/>
          <w:spacing w:val="-12"/>
        </w:rPr>
        <w:t xml:space="preserve"> 万元，期末应收账款</w:t>
      </w:r>
      <w:r>
        <w:rPr>
          <w:color w:val="0D0D0D"/>
          <w:spacing w:val="-20"/>
        </w:rPr>
        <w:t xml:space="preserve">余额为 </w:t>
      </w:r>
      <w:r>
        <w:rPr>
          <w:color w:val="0D0D0D"/>
        </w:rPr>
        <w:t>1.6</w:t>
      </w:r>
      <w:r>
        <w:rPr>
          <w:color w:val="0D0D0D"/>
          <w:spacing w:val="-12"/>
        </w:rPr>
        <w:t xml:space="preserve"> 万元，速动比率为 </w:t>
      </w:r>
      <w:r>
        <w:rPr>
          <w:color w:val="0D0D0D"/>
        </w:rPr>
        <w:t>1.6</w:t>
      </w:r>
      <w:r>
        <w:rPr>
          <w:color w:val="0D0D0D"/>
          <w:spacing w:val="-8"/>
        </w:rPr>
        <w:t xml:space="preserve">，流动比率为 </w:t>
      </w:r>
      <w:r>
        <w:rPr>
          <w:color w:val="0D0D0D"/>
        </w:rPr>
        <w:t>2</w:t>
      </w:r>
      <w:r>
        <w:rPr>
          <w:color w:val="0D0D0D"/>
          <w:spacing w:val="-6"/>
        </w:rPr>
        <w:t xml:space="preserve">，流动资产占资产总额的 </w:t>
      </w:r>
      <w:r>
        <w:rPr>
          <w:color w:val="0D0D0D"/>
        </w:rPr>
        <w:t>28%，该企业期</w:t>
      </w:r>
      <w:r>
        <w:rPr>
          <w:color w:val="0D0D0D"/>
          <w:w w:val="102"/>
        </w:rPr>
        <w:t>初资产总额为</w:t>
      </w:r>
      <w:r>
        <w:rPr>
          <w:color w:val="0D0D0D"/>
          <w:spacing w:val="-84"/>
        </w:rPr>
        <w:t xml:space="preserve"> </w:t>
      </w:r>
      <w:r>
        <w:rPr>
          <w:color w:val="0D0D0D"/>
          <w:w w:val="102"/>
        </w:rPr>
        <w:t>30</w:t>
      </w:r>
      <w:r>
        <w:rPr>
          <w:color w:val="0D0D0D"/>
          <w:spacing w:val="-80"/>
        </w:rPr>
        <w:t xml:space="preserve"> </w:t>
      </w:r>
      <w:r>
        <w:rPr>
          <w:color w:val="0D0D0D"/>
          <w:w w:val="102"/>
        </w:rPr>
        <w:t>万元。该公司期末无待摊费用和待处理流动资产损失。要求</w:t>
      </w:r>
      <w:r>
        <w:rPr>
          <w:color w:val="0D0D0D"/>
          <w:spacing w:val="-208"/>
          <w:w w:val="102"/>
        </w:rPr>
        <w:t>：</w:t>
      </w:r>
      <w:r>
        <w:rPr>
          <w:color w:val="0D0D0D"/>
          <w:w w:val="102"/>
        </w:rPr>
        <w:t>（1）计算应</w:t>
      </w:r>
      <w:r>
        <w:rPr>
          <w:color w:val="0D0D0D"/>
          <w:spacing w:val="-25"/>
          <w:w w:val="102"/>
        </w:rPr>
        <w:t>收账款周转率；</w:t>
      </w:r>
      <w:r>
        <w:rPr>
          <w:color w:val="0D0D0D"/>
          <w:spacing w:val="-1"/>
          <w:w w:val="102"/>
        </w:rPr>
        <w:t>（</w:t>
      </w:r>
      <w:r>
        <w:rPr>
          <w:color w:val="0D0D0D"/>
          <w:w w:val="102"/>
        </w:rPr>
        <w:t>2）计算总资产周转率</w:t>
      </w:r>
      <w:r>
        <w:rPr>
          <w:color w:val="0D0D0D"/>
          <w:spacing w:val="-176"/>
          <w:w w:val="102"/>
        </w:rPr>
        <w:t>；</w:t>
      </w:r>
      <w:r>
        <w:rPr>
          <w:color w:val="0D0D0D"/>
          <w:w w:val="102"/>
        </w:rPr>
        <w:t>（3）计算资产净利率。</w:t>
      </w:r>
    </w:p>
    <w:p>
      <w:pPr>
        <w:pStyle w:val="BodyText"/>
        <w:spacing w:line="393" w:lineRule="exact"/>
      </w:pPr>
      <w:r>
        <w:rPr>
          <w:color w:val="0D0D0D"/>
        </w:rPr>
        <w:t>答案：</w:t>
      </w:r>
    </w:p>
    <w:p>
      <w:pPr>
        <w:pStyle w:val="ListParagraph"/>
        <w:numPr>
          <w:ilvl w:val="0"/>
          <w:numId w:val="38"/>
        </w:numPr>
        <w:tabs>
          <w:tab w:val="left" w:pos="3494"/>
        </w:tabs>
        <w:spacing w:before="10" w:after="0" w:line="240" w:lineRule="auto"/>
        <w:ind w:left="3493" w:right="0" w:hanging="477"/>
        <w:jc w:val="left"/>
        <w:rPr>
          <w:sz w:val="31"/>
        </w:rPr>
      </w:pPr>
      <w:r>
        <w:rPr>
          <w:color w:val="0D0D0D"/>
          <w:sz w:val="31"/>
        </w:rPr>
        <w:t>计算应收账款周转率：</w:t>
      </w:r>
    </w:p>
    <w:p>
      <w:pPr>
        <w:pStyle w:val="BodyText"/>
        <w:spacing w:before="13"/>
        <w:ind w:left="3017"/>
      </w:pPr>
      <w:r>
        <w:rPr>
          <w:color w:val="0D0D0D"/>
        </w:rPr>
        <w:t>赊销收入净额=销售收入×80%=20×80%=16(万元)</w:t>
      </w:r>
    </w:p>
    <w:p>
      <w:pPr>
        <w:pStyle w:val="BodyText"/>
        <w:spacing w:before="10" w:line="247" w:lineRule="auto"/>
        <w:ind w:left="3017" w:right="3494"/>
      </w:pPr>
      <w:r>
        <w:rPr>
          <w:color w:val="0D0D0D"/>
        </w:rPr>
        <w:t>应收账款平均余额=(期初应收账款+期末应收账款) ÷2=(4.8+1.6) ÷2=3.2(万元) 应收账款周转率=赊销收入净额÷应收账款平均余额=16÷3.2=5(次)</w:t>
      </w:r>
    </w:p>
    <w:p>
      <w:pPr>
        <w:pStyle w:val="ListParagraph"/>
        <w:numPr>
          <w:ilvl w:val="0"/>
          <w:numId w:val="38"/>
        </w:numPr>
        <w:tabs>
          <w:tab w:val="left" w:pos="3494"/>
        </w:tabs>
        <w:spacing w:before="0" w:after="0" w:line="396" w:lineRule="exact"/>
        <w:ind w:left="3493" w:right="0" w:hanging="477"/>
        <w:jc w:val="left"/>
        <w:rPr>
          <w:sz w:val="31"/>
        </w:rPr>
      </w:pPr>
      <w:r>
        <w:rPr>
          <w:color w:val="0D0D0D"/>
          <w:sz w:val="31"/>
        </w:rPr>
        <w:t>计算总资产周转率：</w:t>
      </w:r>
    </w:p>
    <w:p>
      <w:pPr>
        <w:pStyle w:val="BodyText"/>
        <w:spacing w:before="14"/>
        <w:ind w:left="3489"/>
      </w:pPr>
      <w:r>
        <w:rPr>
          <w:color w:val="0D0D0D"/>
        </w:rPr>
        <w:t>首先，计算期末存货余额。</w:t>
      </w:r>
    </w:p>
    <w:p>
      <w:pPr>
        <w:pStyle w:val="BodyText"/>
        <w:spacing w:before="9"/>
        <w:ind w:left="3647"/>
      </w:pPr>
      <w:r>
        <w:rPr>
          <w:color w:val="0D0D0D"/>
        </w:rPr>
        <w:t>因为：存货周转率=销货成本÷存货平均余额</w:t>
      </w:r>
    </w:p>
    <w:p>
      <w:pPr>
        <w:pStyle w:val="BodyText"/>
        <w:spacing w:before="13" w:line="244" w:lineRule="auto"/>
        <w:ind w:left="3647" w:right="5703" w:firstLine="2538"/>
      </w:pPr>
      <w:r>
        <w:rPr>
          <w:color w:val="0D0D0D"/>
        </w:rPr>
        <w:t>=销货成本÷［(期初存货+期末存货) ÷2］ 所以：期末存货=2×销货成本÷存货周转率-期初存货</w:t>
      </w:r>
    </w:p>
    <w:p>
      <w:pPr>
        <w:pStyle w:val="BodyText"/>
        <w:spacing w:before="7"/>
        <w:ind w:left="5868"/>
      </w:pPr>
      <w:r>
        <w:rPr>
          <w:color w:val="0D0D0D"/>
        </w:rPr>
        <w:t>=2×20×(1-40%)÷5-2=2.8(万元)</w:t>
      </w:r>
    </w:p>
    <w:p>
      <w:pPr>
        <w:pStyle w:val="BodyText"/>
        <w:spacing w:before="10" w:line="247" w:lineRule="auto"/>
        <w:ind w:left="3805" w:right="7585" w:hanging="317"/>
      </w:pPr>
      <w:r>
        <w:rPr>
          <w:color w:val="0D0D0D"/>
        </w:rPr>
        <w:t>其次，计算期末流动资产总额和期末资产总额： 因为：速动比率=(流动资产-存货) ÷流动负债</w:t>
      </w:r>
    </w:p>
    <w:p>
      <w:pPr>
        <w:pStyle w:val="BodyText"/>
        <w:spacing w:line="247" w:lineRule="auto"/>
        <w:ind w:left="3805" w:right="8838" w:firstLine="943"/>
      </w:pPr>
      <w:r>
        <w:rPr>
          <w:color w:val="0D0D0D"/>
        </w:rPr>
        <w:t>流动比率=流动资产÷流动负债所以，可得以下两个方程：</w:t>
      </w:r>
    </w:p>
    <w:p>
      <w:pPr>
        <w:pStyle w:val="BodyText"/>
        <w:spacing w:line="396" w:lineRule="exact"/>
        <w:ind w:left="4760"/>
      </w:pPr>
      <w:r>
        <w:rPr>
          <w:color w:val="0D0D0D"/>
        </w:rPr>
        <w:t>1.6=(流动资产-2.8) ÷流动负债</w:t>
      </w:r>
    </w:p>
    <w:p>
      <w:pPr>
        <w:pStyle w:val="BodyText"/>
        <w:spacing w:before="12"/>
        <w:ind w:left="4760"/>
      </w:pPr>
      <w:r>
        <w:rPr>
          <w:color w:val="0D0D0D"/>
        </w:rPr>
        <w:t>2=流动资产÷流动负债</w:t>
      </w:r>
    </w:p>
    <w:p>
      <w:pPr>
        <w:pStyle w:val="BodyText"/>
        <w:spacing w:before="10" w:line="247" w:lineRule="auto"/>
        <w:ind w:left="4749" w:right="5505"/>
      </w:pPr>
      <w:r>
        <w:rPr>
          <w:color w:val="0D0D0D"/>
        </w:rPr>
        <w:t>解上述两个方程可得期末流动资产和流动负债分别为： 流动资产=14(万元)</w:t>
      </w:r>
    </w:p>
    <w:p>
      <w:pPr>
        <w:pStyle w:val="BodyText"/>
        <w:spacing w:line="397" w:lineRule="exact"/>
        <w:ind w:left="4749"/>
      </w:pPr>
      <w:r>
        <w:rPr>
          <w:color w:val="0D0D0D"/>
        </w:rPr>
        <w:t>流动负债=7(万元)</w:t>
      </w:r>
    </w:p>
    <w:p>
      <w:pPr>
        <w:pStyle w:val="BodyText"/>
        <w:spacing w:before="13" w:line="244" w:lineRule="auto"/>
        <w:ind w:left="4749" w:right="9169"/>
      </w:pPr>
      <w:r>
        <w:rPr>
          <w:color w:val="0D0D0D"/>
        </w:rPr>
        <w:t xml:space="preserve">因此，期末资产总额为：  </w:t>
      </w:r>
      <w:r>
        <w:rPr>
          <w:color w:val="0D0D0D"/>
          <w:spacing w:val="-2"/>
        </w:rPr>
        <w:t>资产总额</w:t>
      </w:r>
      <w:r>
        <w:rPr>
          <w:color w:val="0D0D0D"/>
        </w:rPr>
        <w:t>=14÷28%=50</w:t>
      </w:r>
      <w:r>
        <w:rPr>
          <w:color w:val="0D0D0D"/>
          <w:spacing w:val="-6"/>
        </w:rPr>
        <w:t>(万元)</w:t>
      </w:r>
    </w:p>
    <w:p>
      <w:pPr>
        <w:pStyle w:val="BodyText"/>
        <w:spacing w:before="7"/>
        <w:ind w:left="3489"/>
      </w:pPr>
      <w:r>
        <w:rPr>
          <w:color w:val="0D0D0D"/>
        </w:rPr>
        <w:t>最后，计算总资产周转率：</w:t>
      </w:r>
    </w:p>
    <w:p>
      <w:pPr>
        <w:pStyle w:val="BodyText"/>
        <w:spacing w:before="9"/>
        <w:ind w:left="4594"/>
      </w:pPr>
      <w:r>
        <w:rPr>
          <w:color w:val="0D0D0D"/>
          <w:spacing w:val="-10"/>
          <w:w w:val="102"/>
        </w:rPr>
        <w:t>总资产周转率=销售收入÷资产平均占用额=销售收入÷</w:t>
      </w:r>
      <w:r>
        <w:rPr>
          <w:color w:val="0D0D0D"/>
          <w:spacing w:val="-4"/>
          <w:w w:val="102"/>
        </w:rPr>
        <w:t>［</w:t>
      </w:r>
      <w:r>
        <w:rPr>
          <w:color w:val="0D0D0D"/>
          <w:spacing w:val="-3"/>
          <w:w w:val="102"/>
        </w:rPr>
        <w:t>(期实资产+期末资产)</w:t>
      </w:r>
    </w:p>
    <w:p>
      <w:pPr>
        <w:spacing w:after="0"/>
        <w:sectPr>
          <w:headerReference w:type="default" r:id="rId70"/>
          <w:footerReference w:type="default" r:id="rId71"/>
          <w:pgSz w:w="17860" w:h="25260"/>
          <w:pgMar w:top="1720" w:right="0" w:bottom="1920" w:left="0" w:header="1129" w:footer="1735"/>
          <w:pgNumType w:start="14"/>
          <w:cols w:space="708"/>
        </w:sectPr>
      </w:pPr>
    </w:p>
    <w:p>
      <w:pPr>
        <w:pStyle w:val="BodyText"/>
        <w:spacing w:before="10"/>
        <w:ind w:left="2691" w:right="2835"/>
        <w:jc w:val="center"/>
      </w:pPr>
      <w:r>
        <w:rPr>
          <w:color w:val="0D0D0D"/>
        </w:rPr>
        <w:t>÷2］</w:t>
      </w:r>
    </w:p>
    <w:p>
      <w:pPr>
        <w:pStyle w:val="BodyText"/>
        <w:spacing w:before="10"/>
        <w:ind w:left="0"/>
        <w:rPr>
          <w:sz w:val="32"/>
        </w:rPr>
      </w:pPr>
    </w:p>
    <w:p>
      <w:pPr>
        <w:pStyle w:val="ListParagraph"/>
        <w:numPr>
          <w:ilvl w:val="0"/>
          <w:numId w:val="38"/>
        </w:numPr>
        <w:tabs>
          <w:tab w:val="left" w:pos="3807"/>
        </w:tabs>
        <w:spacing w:before="0" w:after="0" w:line="247" w:lineRule="auto"/>
        <w:ind w:left="3489" w:right="0" w:hanging="159"/>
        <w:jc w:val="left"/>
        <w:rPr>
          <w:sz w:val="31"/>
        </w:rPr>
      </w:pPr>
      <w:r>
        <w:rPr>
          <w:color w:val="0D0D0D"/>
          <w:spacing w:val="-3"/>
          <w:sz w:val="31"/>
        </w:rPr>
        <w:t>计算资产净利率： 首先，计算净利润。</w:t>
      </w:r>
    </w:p>
    <w:p>
      <w:pPr>
        <w:pStyle w:val="BodyText"/>
        <w:spacing w:before="10"/>
        <w:ind w:left="0"/>
        <w:rPr>
          <w:sz w:val="32"/>
        </w:rPr>
      </w:pPr>
      <w:r>
        <w:br w:type="column"/>
      </w:r>
    </w:p>
    <w:p>
      <w:pPr>
        <w:pStyle w:val="BodyText"/>
        <w:ind w:left="122"/>
      </w:pPr>
      <w:r>
        <w:rPr>
          <w:color w:val="0D0D0D"/>
        </w:rPr>
        <w:t>=20÷［(30+50) ÷2］=0.5（次）</w:t>
      </w:r>
    </w:p>
    <w:p>
      <w:pPr>
        <w:spacing w:after="0"/>
        <w:sectPr>
          <w:headerReference w:type="default" r:id="rId72"/>
          <w:footerReference w:type="default" r:id="rId73"/>
          <w:type w:val="continuous"/>
          <w:pgSz w:w="17860" w:h="25260"/>
          <w:pgMar w:top="1720" w:right="0" w:bottom="1940" w:left="0" w:header="708" w:footer="708"/>
          <w:pgNumType w:start="15"/>
          <w:cols w:num="2" w:space="708" w:equalWidth="0">
            <w:col w:w="6341" w:space="40"/>
            <w:col w:w="11479" w:space="0"/>
          </w:cols>
        </w:sectPr>
      </w:pPr>
    </w:p>
    <w:p>
      <w:pPr>
        <w:pStyle w:val="BodyText"/>
        <w:spacing w:line="397" w:lineRule="exact"/>
        <w:ind w:left="4277"/>
      </w:pPr>
      <w:r>
        <w:rPr>
          <w:color w:val="0D0D0D"/>
        </w:rPr>
        <w:t>净利润=销售收入×销售净利率=20×16%=3.2(万元)</w:t>
      </w:r>
    </w:p>
    <w:p>
      <w:pPr>
        <w:spacing w:after="0" w:line="397" w:lineRule="exact"/>
        <w:sectPr>
          <w:headerReference w:type="default" r:id="rId74"/>
          <w:footerReference w:type="default" r:id="rId75"/>
          <w:type w:val="continuous"/>
          <w:pgSz w:w="17860" w:h="25260"/>
          <w:pgMar w:top="1720" w:right="0" w:bottom="1940" w:left="0" w:header="708" w:footer="708"/>
          <w:pgNumType w:start="16"/>
          <w:cols w:space="708"/>
        </w:sectPr>
      </w:pPr>
    </w:p>
    <w:p>
      <w:pPr>
        <w:pStyle w:val="BodyText"/>
        <w:spacing w:before="3"/>
        <w:ind w:left="0"/>
        <w:rPr>
          <w:sz w:val="8"/>
        </w:rPr>
      </w:pPr>
    </w:p>
    <w:p>
      <w:pPr>
        <w:pStyle w:val="BodyText"/>
        <w:spacing w:before="63"/>
        <w:ind w:left="3489"/>
      </w:pPr>
      <w:r>
        <w:rPr>
          <w:color w:val="0D0D0D"/>
        </w:rPr>
        <w:t>其次，计算资产净利率。</w:t>
      </w:r>
    </w:p>
    <w:p>
      <w:pPr>
        <w:pStyle w:val="BodyText"/>
        <w:spacing w:before="10"/>
        <w:ind w:left="4277"/>
      </w:pPr>
      <w:r>
        <w:rPr>
          <w:color w:val="0D0D0D"/>
        </w:rPr>
        <w:t>资产净利率=净利润÷资产平均总额</w:t>
      </w:r>
    </w:p>
    <w:p>
      <w:pPr>
        <w:pStyle w:val="BodyText"/>
        <w:spacing w:before="13"/>
        <w:ind w:left="5868"/>
      </w:pPr>
      <w:r>
        <w:rPr>
          <w:color w:val="0D0D0D"/>
        </w:rPr>
        <w:t>=净利润÷［(期初资产+期末资产) ÷2］</w:t>
      </w:r>
    </w:p>
    <w:p>
      <w:pPr>
        <w:pStyle w:val="BodyText"/>
        <w:spacing w:before="10"/>
        <w:ind w:left="5868"/>
      </w:pPr>
      <w:r>
        <w:rPr>
          <w:color w:val="0D0D0D"/>
        </w:rPr>
        <w:t>=3.2÷［(30+50) ÷2］=8%</w:t>
      </w:r>
    </w:p>
    <w:p>
      <w:pPr>
        <w:pStyle w:val="BodyText"/>
        <w:spacing w:before="13"/>
      </w:pPr>
      <w:r>
        <w:rPr>
          <w:color w:val="0D0D0D"/>
        </w:rPr>
        <w:t>5、某企业某年度的资产负债状况如表所示：</w:t>
      </w:r>
    </w:p>
    <w:p>
      <w:pPr>
        <w:pStyle w:val="BodyText"/>
        <w:tabs>
          <w:tab w:val="left" w:pos="11842"/>
        </w:tabs>
        <w:spacing w:before="10"/>
        <w:ind w:left="5855"/>
      </w:pPr>
      <w:r>
        <w:pict>
          <v:group id="_x0000_s1041" style="width:434.75pt;height:306.85pt;margin-top:38.68pt;margin-left:255.25pt;mso-position-horizontal-relative:page;position:absolute;z-index:-251646976" coordorigin="5105,774" coordsize="8695,6137">
            <v:shape id="_x0000_s1042" type="#_x0000_t75" style="width:8695;height:6137;left:5105;position:absolute;top:773" stroked="f">
              <v:imagedata r:id="rId76" o:title=""/>
            </v:shape>
            <v:shape id="_x0000_s1043" type="#_x0000_t202" style="width:1288;height:317;left:5609;position:absolute;top:6535" filled="f" stroked="f">
              <v:textbox inset="0,0,0,0">
                <w:txbxContent>
                  <w:p>
                    <w:pPr>
                      <w:spacing w:before="0" w:line="317" w:lineRule="exact"/>
                      <w:ind w:left="0" w:right="0" w:firstLine="0"/>
                      <w:jc w:val="left"/>
                      <w:rPr>
                        <w:sz w:val="31"/>
                      </w:rPr>
                    </w:pPr>
                    <w:r>
                      <w:rPr>
                        <w:color w:val="0D0D0D"/>
                        <w:sz w:val="31"/>
                      </w:rPr>
                      <w:t>资产总额</w:t>
                    </w:r>
                  </w:p>
                </w:txbxContent>
              </v:textbox>
            </v:shape>
            <v:shape id="_x0000_s1044" type="#_x0000_t202" style="width:3988;height:317;left:7979;position:absolute;top:6535" filled="f" stroked="f">
              <v:textbox inset="0,0,0,0">
                <w:txbxContent>
                  <w:p>
                    <w:pPr>
                      <w:tabs>
                        <w:tab w:val="left" w:pos="799"/>
                      </w:tabs>
                      <w:spacing w:before="0" w:line="317" w:lineRule="exact"/>
                      <w:ind w:left="0" w:right="0" w:firstLine="0"/>
                      <w:jc w:val="left"/>
                      <w:rPr>
                        <w:sz w:val="31"/>
                      </w:rPr>
                    </w:pPr>
                    <w:r>
                      <w:rPr>
                        <w:color w:val="0D0D0D"/>
                        <w:sz w:val="31"/>
                      </w:rPr>
                      <w:t>990</w:t>
                      <w:tab/>
                      <w:t>负债及所有者权益总额</w:t>
                    </w:r>
                  </w:p>
                </w:txbxContent>
              </v:textbox>
            </v:shape>
            <v:shape id="_x0000_s1045" type="#_x0000_t202" style="width:496;height:317;left:13116;position:absolute;top:6535" filled="f" stroked="f">
              <v:textbox inset="0,0,0,0">
                <w:txbxContent>
                  <w:p>
                    <w:pPr>
                      <w:spacing w:before="0" w:line="317" w:lineRule="exact"/>
                      <w:ind w:left="0" w:right="0" w:firstLine="0"/>
                      <w:jc w:val="left"/>
                      <w:rPr>
                        <w:sz w:val="31"/>
                      </w:rPr>
                    </w:pPr>
                    <w:r>
                      <w:rPr>
                        <w:color w:val="0D0D0D"/>
                        <w:sz w:val="31"/>
                      </w:rPr>
                      <w:t>990</w:t>
                    </w:r>
                  </w:p>
                </w:txbxContent>
              </v:textbox>
            </v:shape>
          </v:group>
        </w:pict>
      </w:r>
      <w:r>
        <w:rPr>
          <w:color w:val="0D0D0D"/>
        </w:rPr>
        <w:t>资产负债状况如表</w:t>
        <w:tab/>
        <w:t>单位：万元</w:t>
      </w:r>
    </w:p>
    <w:p>
      <w:pPr>
        <w:pStyle w:val="BodyText"/>
        <w:ind w:left="0"/>
        <w:rPr>
          <w:sz w:val="20"/>
        </w:rPr>
      </w:pPr>
    </w:p>
    <w:p>
      <w:pPr>
        <w:pStyle w:val="BodyText"/>
        <w:spacing w:before="6"/>
        <w:ind w:left="0"/>
        <w:rPr>
          <w:sz w:val="29"/>
        </w:rPr>
      </w:pPr>
    </w:p>
    <w:tbl>
      <w:tblPr>
        <w:tblStyle w:val="TableNormal4"/>
        <w:tblW w:w="0" w:type="auto"/>
        <w:jc w:val="left"/>
        <w:tblInd w:w="55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06"/>
        <w:gridCol w:w="951"/>
        <w:gridCol w:w="2654"/>
        <w:gridCol w:w="1300"/>
        <w:gridCol w:w="1076"/>
      </w:tblGrid>
      <w:tr>
        <w:tblPrEx>
          <w:tblW w:w="0" w:type="auto"/>
          <w:jc w:val="left"/>
          <w:tblInd w:w="55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4"/>
          <w:jc w:val="left"/>
        </w:trPr>
        <w:tc>
          <w:tcPr>
            <w:tcW w:w="2106" w:type="dxa"/>
          </w:tcPr>
          <w:p>
            <w:pPr>
              <w:pStyle w:val="TableParagraph"/>
              <w:spacing w:line="359" w:lineRule="exact"/>
              <w:ind w:left="50"/>
              <w:rPr>
                <w:sz w:val="31"/>
              </w:rPr>
            </w:pPr>
            <w:r>
              <w:rPr>
                <w:color w:val="0D0D0D"/>
                <w:sz w:val="31"/>
              </w:rPr>
              <w:t>项目</w:t>
            </w:r>
          </w:p>
        </w:tc>
        <w:tc>
          <w:tcPr>
            <w:tcW w:w="951" w:type="dxa"/>
          </w:tcPr>
          <w:p>
            <w:pPr>
              <w:pStyle w:val="TableParagraph"/>
              <w:spacing w:line="359" w:lineRule="exact"/>
              <w:ind w:right="160"/>
              <w:jc w:val="right"/>
              <w:rPr>
                <w:sz w:val="31"/>
              </w:rPr>
            </w:pPr>
            <w:r>
              <w:rPr>
                <w:color w:val="0D0D0D"/>
                <w:sz w:val="31"/>
              </w:rPr>
              <w:t>金额</w:t>
            </w:r>
          </w:p>
        </w:tc>
        <w:tc>
          <w:tcPr>
            <w:tcW w:w="2654" w:type="dxa"/>
          </w:tcPr>
          <w:p>
            <w:pPr>
              <w:pStyle w:val="TableParagraph"/>
              <w:rPr>
                <w:rFonts w:ascii="Times New Roman"/>
                <w:sz w:val="30"/>
              </w:rPr>
            </w:pPr>
          </w:p>
        </w:tc>
        <w:tc>
          <w:tcPr>
            <w:tcW w:w="1300" w:type="dxa"/>
          </w:tcPr>
          <w:p>
            <w:pPr>
              <w:pStyle w:val="TableParagraph"/>
              <w:spacing w:line="359" w:lineRule="exact"/>
              <w:ind w:left="273"/>
              <w:rPr>
                <w:sz w:val="31"/>
              </w:rPr>
            </w:pPr>
            <w:r>
              <w:rPr>
                <w:color w:val="0D0D0D"/>
                <w:sz w:val="31"/>
              </w:rPr>
              <w:t>项目</w:t>
            </w:r>
          </w:p>
        </w:tc>
        <w:tc>
          <w:tcPr>
            <w:tcW w:w="1076" w:type="dxa"/>
          </w:tcPr>
          <w:p>
            <w:pPr>
              <w:pStyle w:val="TableParagraph"/>
              <w:spacing w:line="359" w:lineRule="exact"/>
              <w:ind w:right="48"/>
              <w:jc w:val="right"/>
              <w:rPr>
                <w:sz w:val="31"/>
              </w:rPr>
            </w:pPr>
            <w:r>
              <w:rPr>
                <w:color w:val="0D0D0D"/>
                <w:sz w:val="31"/>
              </w:rPr>
              <w:t>金额</w:t>
            </w:r>
          </w:p>
        </w:tc>
      </w:tr>
      <w:tr>
        <w:tblPrEx>
          <w:tblW w:w="0" w:type="auto"/>
          <w:jc w:val="left"/>
          <w:tblInd w:w="5566" w:type="dxa"/>
          <w:tblLayout w:type="fixed"/>
          <w:tblCellMar>
            <w:top w:w="0" w:type="dxa"/>
            <w:left w:w="0" w:type="dxa"/>
            <w:bottom w:w="0" w:type="dxa"/>
            <w:right w:w="0" w:type="dxa"/>
          </w:tblCellMar>
          <w:tblLook w:val="01E0"/>
        </w:tblPrEx>
        <w:trPr>
          <w:trHeight w:val="610"/>
          <w:jc w:val="left"/>
        </w:trPr>
        <w:tc>
          <w:tcPr>
            <w:tcW w:w="2106" w:type="dxa"/>
          </w:tcPr>
          <w:p>
            <w:pPr>
              <w:pStyle w:val="TableParagraph"/>
              <w:spacing w:before="110"/>
              <w:ind w:left="50"/>
              <w:rPr>
                <w:sz w:val="31"/>
              </w:rPr>
            </w:pPr>
            <w:r>
              <w:rPr>
                <w:color w:val="0D0D0D"/>
                <w:sz w:val="31"/>
              </w:rPr>
              <w:t>现金</w:t>
            </w:r>
          </w:p>
        </w:tc>
        <w:tc>
          <w:tcPr>
            <w:tcW w:w="951" w:type="dxa"/>
          </w:tcPr>
          <w:p>
            <w:pPr>
              <w:pStyle w:val="TableParagraph"/>
              <w:spacing w:before="110"/>
              <w:ind w:right="163"/>
              <w:jc w:val="right"/>
              <w:rPr>
                <w:sz w:val="31"/>
              </w:rPr>
            </w:pPr>
            <w:r>
              <w:rPr>
                <w:color w:val="0D0D0D"/>
                <w:sz w:val="31"/>
              </w:rPr>
              <w:t>21</w:t>
            </w:r>
          </w:p>
        </w:tc>
        <w:tc>
          <w:tcPr>
            <w:tcW w:w="2654" w:type="dxa"/>
          </w:tcPr>
          <w:p>
            <w:pPr>
              <w:pStyle w:val="TableParagraph"/>
              <w:spacing w:before="110"/>
              <w:ind w:left="161"/>
              <w:rPr>
                <w:sz w:val="31"/>
              </w:rPr>
            </w:pPr>
            <w:r>
              <w:rPr>
                <w:color w:val="0D0D0D"/>
                <w:sz w:val="31"/>
              </w:rPr>
              <w:t>应付账款</w:t>
            </w:r>
          </w:p>
        </w:tc>
        <w:tc>
          <w:tcPr>
            <w:tcW w:w="1300" w:type="dxa"/>
          </w:tcPr>
          <w:p>
            <w:pPr>
              <w:pStyle w:val="TableParagraph"/>
              <w:rPr>
                <w:rFonts w:ascii="Times New Roman"/>
                <w:sz w:val="30"/>
              </w:rPr>
            </w:pPr>
          </w:p>
        </w:tc>
        <w:tc>
          <w:tcPr>
            <w:tcW w:w="1076" w:type="dxa"/>
          </w:tcPr>
          <w:p>
            <w:pPr>
              <w:pStyle w:val="TableParagraph"/>
              <w:spacing w:before="110"/>
              <w:ind w:right="51"/>
              <w:jc w:val="right"/>
              <w:rPr>
                <w:sz w:val="31"/>
              </w:rPr>
            </w:pPr>
            <w:r>
              <w:rPr>
                <w:color w:val="0D0D0D"/>
                <w:sz w:val="31"/>
              </w:rPr>
              <w:t>30</w:t>
            </w:r>
          </w:p>
        </w:tc>
      </w:tr>
      <w:tr>
        <w:tblPrEx>
          <w:tblW w:w="0" w:type="auto"/>
          <w:jc w:val="left"/>
          <w:tblInd w:w="5566" w:type="dxa"/>
          <w:tblLayout w:type="fixed"/>
          <w:tblCellMar>
            <w:top w:w="0" w:type="dxa"/>
            <w:left w:w="0" w:type="dxa"/>
            <w:bottom w:w="0" w:type="dxa"/>
            <w:right w:w="0" w:type="dxa"/>
          </w:tblCellMar>
          <w:tblLook w:val="01E0"/>
        </w:tblPrEx>
        <w:trPr>
          <w:trHeight w:val="610"/>
          <w:jc w:val="left"/>
        </w:trPr>
        <w:tc>
          <w:tcPr>
            <w:tcW w:w="2106" w:type="dxa"/>
          </w:tcPr>
          <w:p>
            <w:pPr>
              <w:pStyle w:val="TableParagraph"/>
              <w:spacing w:before="108"/>
              <w:ind w:left="50"/>
              <w:rPr>
                <w:sz w:val="31"/>
              </w:rPr>
            </w:pPr>
            <w:r>
              <w:rPr>
                <w:color w:val="0D0D0D"/>
                <w:sz w:val="31"/>
              </w:rPr>
              <w:t>银行存款</w:t>
            </w:r>
          </w:p>
        </w:tc>
        <w:tc>
          <w:tcPr>
            <w:tcW w:w="951" w:type="dxa"/>
          </w:tcPr>
          <w:p>
            <w:pPr>
              <w:pStyle w:val="TableParagraph"/>
              <w:spacing w:before="108"/>
              <w:ind w:right="163"/>
              <w:jc w:val="right"/>
              <w:rPr>
                <w:sz w:val="31"/>
              </w:rPr>
            </w:pPr>
            <w:r>
              <w:rPr>
                <w:color w:val="0D0D0D"/>
                <w:sz w:val="31"/>
              </w:rPr>
              <w:t>70</w:t>
            </w:r>
          </w:p>
        </w:tc>
        <w:tc>
          <w:tcPr>
            <w:tcW w:w="2654" w:type="dxa"/>
          </w:tcPr>
          <w:p>
            <w:pPr>
              <w:pStyle w:val="TableParagraph"/>
              <w:spacing w:before="108"/>
              <w:ind w:left="161"/>
              <w:rPr>
                <w:sz w:val="31"/>
              </w:rPr>
            </w:pPr>
            <w:r>
              <w:rPr>
                <w:color w:val="0D0D0D"/>
                <w:sz w:val="31"/>
              </w:rPr>
              <w:t>预收账款</w:t>
            </w:r>
          </w:p>
        </w:tc>
        <w:tc>
          <w:tcPr>
            <w:tcW w:w="1300" w:type="dxa"/>
          </w:tcPr>
          <w:p>
            <w:pPr>
              <w:pStyle w:val="TableParagraph"/>
              <w:rPr>
                <w:rFonts w:ascii="Times New Roman"/>
                <w:sz w:val="30"/>
              </w:rPr>
            </w:pPr>
          </w:p>
        </w:tc>
        <w:tc>
          <w:tcPr>
            <w:tcW w:w="1076" w:type="dxa"/>
          </w:tcPr>
          <w:p>
            <w:pPr>
              <w:pStyle w:val="TableParagraph"/>
              <w:spacing w:before="108"/>
              <w:ind w:right="51"/>
              <w:jc w:val="right"/>
              <w:rPr>
                <w:sz w:val="31"/>
              </w:rPr>
            </w:pPr>
            <w:r>
              <w:rPr>
                <w:color w:val="0D0D0D"/>
                <w:w w:val="102"/>
                <w:sz w:val="31"/>
              </w:rPr>
              <w:t>8</w:t>
            </w:r>
          </w:p>
        </w:tc>
      </w:tr>
      <w:tr>
        <w:tblPrEx>
          <w:tblW w:w="0" w:type="auto"/>
          <w:jc w:val="left"/>
          <w:tblInd w:w="5566" w:type="dxa"/>
          <w:tblLayout w:type="fixed"/>
          <w:tblCellMar>
            <w:top w:w="0" w:type="dxa"/>
            <w:left w:w="0" w:type="dxa"/>
            <w:bottom w:w="0" w:type="dxa"/>
            <w:right w:w="0" w:type="dxa"/>
          </w:tblCellMar>
          <w:tblLook w:val="01E0"/>
        </w:tblPrEx>
        <w:trPr>
          <w:trHeight w:val="610"/>
          <w:jc w:val="left"/>
        </w:trPr>
        <w:tc>
          <w:tcPr>
            <w:tcW w:w="2106" w:type="dxa"/>
          </w:tcPr>
          <w:p>
            <w:pPr>
              <w:pStyle w:val="TableParagraph"/>
              <w:spacing w:before="110"/>
              <w:ind w:left="50"/>
              <w:rPr>
                <w:sz w:val="31"/>
              </w:rPr>
            </w:pPr>
            <w:r>
              <w:rPr>
                <w:color w:val="0D0D0D"/>
                <w:sz w:val="31"/>
              </w:rPr>
              <w:t>短期投资</w:t>
            </w:r>
          </w:p>
        </w:tc>
        <w:tc>
          <w:tcPr>
            <w:tcW w:w="951" w:type="dxa"/>
          </w:tcPr>
          <w:p>
            <w:pPr>
              <w:pStyle w:val="TableParagraph"/>
              <w:spacing w:before="110"/>
              <w:ind w:right="163"/>
              <w:jc w:val="right"/>
              <w:rPr>
                <w:sz w:val="31"/>
              </w:rPr>
            </w:pPr>
            <w:r>
              <w:rPr>
                <w:color w:val="0D0D0D"/>
                <w:sz w:val="31"/>
              </w:rPr>
              <w:t>20</w:t>
            </w:r>
          </w:p>
        </w:tc>
        <w:tc>
          <w:tcPr>
            <w:tcW w:w="2654" w:type="dxa"/>
          </w:tcPr>
          <w:p>
            <w:pPr>
              <w:pStyle w:val="TableParagraph"/>
              <w:spacing w:before="110"/>
              <w:ind w:left="161"/>
              <w:rPr>
                <w:sz w:val="31"/>
              </w:rPr>
            </w:pPr>
            <w:r>
              <w:rPr>
                <w:color w:val="0D0D0D"/>
                <w:sz w:val="31"/>
              </w:rPr>
              <w:t>短期借款</w:t>
            </w:r>
          </w:p>
        </w:tc>
        <w:tc>
          <w:tcPr>
            <w:tcW w:w="1300" w:type="dxa"/>
          </w:tcPr>
          <w:p>
            <w:pPr>
              <w:pStyle w:val="TableParagraph"/>
              <w:rPr>
                <w:rFonts w:ascii="Times New Roman"/>
                <w:sz w:val="30"/>
              </w:rPr>
            </w:pPr>
          </w:p>
        </w:tc>
        <w:tc>
          <w:tcPr>
            <w:tcW w:w="1076" w:type="dxa"/>
          </w:tcPr>
          <w:p>
            <w:pPr>
              <w:pStyle w:val="TableParagraph"/>
              <w:spacing w:before="110"/>
              <w:ind w:right="51"/>
              <w:jc w:val="right"/>
              <w:rPr>
                <w:sz w:val="31"/>
              </w:rPr>
            </w:pPr>
            <w:r>
              <w:rPr>
                <w:color w:val="0D0D0D"/>
                <w:sz w:val="31"/>
              </w:rPr>
              <w:t>30</w:t>
            </w:r>
          </w:p>
        </w:tc>
      </w:tr>
      <w:tr>
        <w:tblPrEx>
          <w:tblW w:w="0" w:type="auto"/>
          <w:jc w:val="left"/>
          <w:tblInd w:w="5566" w:type="dxa"/>
          <w:tblLayout w:type="fixed"/>
          <w:tblCellMar>
            <w:top w:w="0" w:type="dxa"/>
            <w:left w:w="0" w:type="dxa"/>
            <w:bottom w:w="0" w:type="dxa"/>
            <w:right w:w="0" w:type="dxa"/>
          </w:tblCellMar>
          <w:tblLook w:val="01E0"/>
        </w:tblPrEx>
        <w:trPr>
          <w:trHeight w:val="610"/>
          <w:jc w:val="left"/>
        </w:trPr>
        <w:tc>
          <w:tcPr>
            <w:tcW w:w="2106" w:type="dxa"/>
          </w:tcPr>
          <w:p>
            <w:pPr>
              <w:pStyle w:val="TableParagraph"/>
              <w:spacing w:before="108"/>
              <w:ind w:left="50"/>
              <w:rPr>
                <w:sz w:val="31"/>
              </w:rPr>
            </w:pPr>
            <w:r>
              <w:rPr>
                <w:color w:val="0D0D0D"/>
                <w:sz w:val="31"/>
              </w:rPr>
              <w:t>应收账款</w:t>
            </w:r>
          </w:p>
        </w:tc>
        <w:tc>
          <w:tcPr>
            <w:tcW w:w="951" w:type="dxa"/>
          </w:tcPr>
          <w:p>
            <w:pPr>
              <w:pStyle w:val="TableParagraph"/>
              <w:spacing w:before="108"/>
              <w:ind w:right="163"/>
              <w:jc w:val="right"/>
              <w:rPr>
                <w:sz w:val="31"/>
              </w:rPr>
            </w:pPr>
            <w:r>
              <w:rPr>
                <w:color w:val="0D0D0D"/>
                <w:w w:val="102"/>
                <w:sz w:val="31"/>
              </w:rPr>
              <w:t>6</w:t>
            </w:r>
          </w:p>
        </w:tc>
        <w:tc>
          <w:tcPr>
            <w:tcW w:w="2654" w:type="dxa"/>
          </w:tcPr>
          <w:p>
            <w:pPr>
              <w:pStyle w:val="TableParagraph"/>
              <w:spacing w:before="108"/>
              <w:ind w:left="161"/>
              <w:rPr>
                <w:sz w:val="31"/>
              </w:rPr>
            </w:pPr>
            <w:r>
              <w:rPr>
                <w:color w:val="0D0D0D"/>
                <w:sz w:val="31"/>
              </w:rPr>
              <w:t>长期借款</w:t>
            </w:r>
          </w:p>
        </w:tc>
        <w:tc>
          <w:tcPr>
            <w:tcW w:w="1300" w:type="dxa"/>
          </w:tcPr>
          <w:p>
            <w:pPr>
              <w:pStyle w:val="TableParagraph"/>
              <w:rPr>
                <w:rFonts w:ascii="Times New Roman"/>
                <w:sz w:val="30"/>
              </w:rPr>
            </w:pPr>
          </w:p>
        </w:tc>
        <w:tc>
          <w:tcPr>
            <w:tcW w:w="1076" w:type="dxa"/>
          </w:tcPr>
          <w:p>
            <w:pPr>
              <w:pStyle w:val="TableParagraph"/>
              <w:spacing w:before="108"/>
              <w:ind w:right="48"/>
              <w:jc w:val="right"/>
              <w:rPr>
                <w:sz w:val="31"/>
              </w:rPr>
            </w:pPr>
            <w:r>
              <w:rPr>
                <w:color w:val="0D0D0D"/>
                <w:sz w:val="31"/>
              </w:rPr>
              <w:t>100</w:t>
            </w:r>
          </w:p>
        </w:tc>
      </w:tr>
      <w:tr>
        <w:tblPrEx>
          <w:tblW w:w="0" w:type="auto"/>
          <w:jc w:val="left"/>
          <w:tblInd w:w="5566" w:type="dxa"/>
          <w:tblLayout w:type="fixed"/>
          <w:tblCellMar>
            <w:top w:w="0" w:type="dxa"/>
            <w:left w:w="0" w:type="dxa"/>
            <w:bottom w:w="0" w:type="dxa"/>
            <w:right w:w="0" w:type="dxa"/>
          </w:tblCellMar>
          <w:tblLook w:val="01E0"/>
        </w:tblPrEx>
        <w:trPr>
          <w:trHeight w:val="610"/>
          <w:jc w:val="left"/>
        </w:trPr>
        <w:tc>
          <w:tcPr>
            <w:tcW w:w="2106" w:type="dxa"/>
          </w:tcPr>
          <w:p>
            <w:pPr>
              <w:pStyle w:val="TableParagraph"/>
              <w:spacing w:before="110"/>
              <w:ind w:left="50"/>
              <w:rPr>
                <w:sz w:val="31"/>
              </w:rPr>
            </w:pPr>
            <w:r>
              <w:rPr>
                <w:color w:val="0D0D0D"/>
                <w:sz w:val="31"/>
              </w:rPr>
              <w:t>应收票据</w:t>
            </w:r>
          </w:p>
        </w:tc>
        <w:tc>
          <w:tcPr>
            <w:tcW w:w="951" w:type="dxa"/>
          </w:tcPr>
          <w:p>
            <w:pPr>
              <w:pStyle w:val="TableParagraph"/>
              <w:spacing w:before="110"/>
              <w:ind w:right="163"/>
              <w:jc w:val="right"/>
              <w:rPr>
                <w:sz w:val="31"/>
              </w:rPr>
            </w:pPr>
            <w:r>
              <w:rPr>
                <w:color w:val="0D0D0D"/>
                <w:w w:val="102"/>
                <w:sz w:val="31"/>
              </w:rPr>
              <w:t>6</w:t>
            </w:r>
          </w:p>
        </w:tc>
        <w:tc>
          <w:tcPr>
            <w:tcW w:w="2654" w:type="dxa"/>
          </w:tcPr>
          <w:p>
            <w:pPr>
              <w:pStyle w:val="TableParagraph"/>
              <w:spacing w:before="110"/>
              <w:ind w:left="161"/>
              <w:rPr>
                <w:sz w:val="31"/>
              </w:rPr>
            </w:pPr>
            <w:r>
              <w:rPr>
                <w:color w:val="0D0D0D"/>
                <w:sz w:val="31"/>
              </w:rPr>
              <w:t>发行债券</w:t>
            </w:r>
          </w:p>
        </w:tc>
        <w:tc>
          <w:tcPr>
            <w:tcW w:w="1300" w:type="dxa"/>
          </w:tcPr>
          <w:p>
            <w:pPr>
              <w:pStyle w:val="TableParagraph"/>
              <w:rPr>
                <w:rFonts w:ascii="Times New Roman"/>
                <w:sz w:val="30"/>
              </w:rPr>
            </w:pPr>
          </w:p>
        </w:tc>
        <w:tc>
          <w:tcPr>
            <w:tcW w:w="1076" w:type="dxa"/>
          </w:tcPr>
          <w:p>
            <w:pPr>
              <w:pStyle w:val="TableParagraph"/>
              <w:spacing w:before="110"/>
              <w:ind w:right="51"/>
              <w:jc w:val="right"/>
              <w:rPr>
                <w:sz w:val="31"/>
              </w:rPr>
            </w:pPr>
            <w:r>
              <w:rPr>
                <w:color w:val="0D0D0D"/>
                <w:sz w:val="31"/>
              </w:rPr>
              <w:t>10</w:t>
            </w:r>
          </w:p>
        </w:tc>
      </w:tr>
      <w:tr>
        <w:tblPrEx>
          <w:tblW w:w="0" w:type="auto"/>
          <w:jc w:val="left"/>
          <w:tblInd w:w="5566" w:type="dxa"/>
          <w:tblLayout w:type="fixed"/>
          <w:tblCellMar>
            <w:top w:w="0" w:type="dxa"/>
            <w:left w:w="0" w:type="dxa"/>
            <w:bottom w:w="0" w:type="dxa"/>
            <w:right w:w="0" w:type="dxa"/>
          </w:tblCellMar>
          <w:tblLook w:val="01E0"/>
        </w:tblPrEx>
        <w:trPr>
          <w:trHeight w:val="610"/>
          <w:jc w:val="left"/>
        </w:trPr>
        <w:tc>
          <w:tcPr>
            <w:tcW w:w="2106" w:type="dxa"/>
          </w:tcPr>
          <w:p>
            <w:pPr>
              <w:pStyle w:val="TableParagraph"/>
              <w:spacing w:before="108"/>
              <w:ind w:left="50"/>
              <w:rPr>
                <w:sz w:val="31"/>
              </w:rPr>
            </w:pPr>
            <w:r>
              <w:rPr>
                <w:color w:val="0D0D0D"/>
                <w:sz w:val="31"/>
              </w:rPr>
              <w:t>原材料</w:t>
            </w:r>
          </w:p>
        </w:tc>
        <w:tc>
          <w:tcPr>
            <w:tcW w:w="951" w:type="dxa"/>
          </w:tcPr>
          <w:p>
            <w:pPr>
              <w:pStyle w:val="TableParagraph"/>
              <w:spacing w:before="108"/>
              <w:ind w:right="163"/>
              <w:jc w:val="right"/>
              <w:rPr>
                <w:sz w:val="31"/>
              </w:rPr>
            </w:pPr>
            <w:r>
              <w:rPr>
                <w:color w:val="0D0D0D"/>
                <w:sz w:val="31"/>
              </w:rPr>
              <w:t>31</w:t>
            </w:r>
          </w:p>
        </w:tc>
        <w:tc>
          <w:tcPr>
            <w:tcW w:w="2654" w:type="dxa"/>
          </w:tcPr>
          <w:p>
            <w:pPr>
              <w:pStyle w:val="TableParagraph"/>
              <w:spacing w:before="108"/>
              <w:ind w:left="161"/>
              <w:rPr>
                <w:sz w:val="31"/>
              </w:rPr>
            </w:pPr>
            <w:r>
              <w:rPr>
                <w:color w:val="0D0D0D"/>
                <w:sz w:val="31"/>
              </w:rPr>
              <w:t>负债总额</w:t>
            </w:r>
          </w:p>
        </w:tc>
        <w:tc>
          <w:tcPr>
            <w:tcW w:w="1300" w:type="dxa"/>
          </w:tcPr>
          <w:p>
            <w:pPr>
              <w:pStyle w:val="TableParagraph"/>
              <w:rPr>
                <w:rFonts w:ascii="Times New Roman"/>
                <w:sz w:val="30"/>
              </w:rPr>
            </w:pPr>
          </w:p>
        </w:tc>
        <w:tc>
          <w:tcPr>
            <w:tcW w:w="1076" w:type="dxa"/>
          </w:tcPr>
          <w:p>
            <w:pPr>
              <w:pStyle w:val="TableParagraph"/>
              <w:spacing w:before="108"/>
              <w:ind w:right="48"/>
              <w:jc w:val="right"/>
              <w:rPr>
                <w:sz w:val="31"/>
              </w:rPr>
            </w:pPr>
            <w:r>
              <w:rPr>
                <w:color w:val="0D0D0D"/>
                <w:sz w:val="31"/>
              </w:rPr>
              <w:t>178</w:t>
            </w:r>
          </w:p>
        </w:tc>
      </w:tr>
      <w:tr>
        <w:tblPrEx>
          <w:tblW w:w="0" w:type="auto"/>
          <w:jc w:val="left"/>
          <w:tblInd w:w="5566" w:type="dxa"/>
          <w:tblLayout w:type="fixed"/>
          <w:tblCellMar>
            <w:top w:w="0" w:type="dxa"/>
            <w:left w:w="0" w:type="dxa"/>
            <w:bottom w:w="0" w:type="dxa"/>
            <w:right w:w="0" w:type="dxa"/>
          </w:tblCellMar>
          <w:tblLook w:val="01E0"/>
        </w:tblPrEx>
        <w:trPr>
          <w:trHeight w:val="611"/>
          <w:jc w:val="left"/>
        </w:trPr>
        <w:tc>
          <w:tcPr>
            <w:tcW w:w="2106" w:type="dxa"/>
          </w:tcPr>
          <w:p>
            <w:pPr>
              <w:pStyle w:val="TableParagraph"/>
              <w:spacing w:before="110"/>
              <w:ind w:left="50"/>
              <w:rPr>
                <w:sz w:val="31"/>
              </w:rPr>
            </w:pPr>
            <w:r>
              <w:rPr>
                <w:color w:val="0D0D0D"/>
                <w:sz w:val="31"/>
              </w:rPr>
              <w:t>固定资产原值</w:t>
            </w:r>
          </w:p>
        </w:tc>
        <w:tc>
          <w:tcPr>
            <w:tcW w:w="951" w:type="dxa"/>
          </w:tcPr>
          <w:p>
            <w:pPr>
              <w:pStyle w:val="TableParagraph"/>
              <w:spacing w:before="110"/>
              <w:ind w:right="160"/>
              <w:jc w:val="right"/>
              <w:rPr>
                <w:sz w:val="31"/>
              </w:rPr>
            </w:pPr>
            <w:r>
              <w:rPr>
                <w:color w:val="0D0D0D"/>
                <w:sz w:val="31"/>
              </w:rPr>
              <w:t>850</w:t>
            </w:r>
          </w:p>
        </w:tc>
        <w:tc>
          <w:tcPr>
            <w:tcW w:w="2654" w:type="dxa"/>
          </w:tcPr>
          <w:p>
            <w:pPr>
              <w:pStyle w:val="TableParagraph"/>
              <w:spacing w:before="110"/>
              <w:ind w:left="161"/>
              <w:rPr>
                <w:sz w:val="31"/>
              </w:rPr>
            </w:pPr>
            <w:r>
              <w:rPr>
                <w:color w:val="0D0D0D"/>
                <w:sz w:val="31"/>
              </w:rPr>
              <w:t>所有者权益总额</w:t>
            </w:r>
          </w:p>
        </w:tc>
        <w:tc>
          <w:tcPr>
            <w:tcW w:w="1300" w:type="dxa"/>
          </w:tcPr>
          <w:p>
            <w:pPr>
              <w:pStyle w:val="TableParagraph"/>
              <w:rPr>
                <w:rFonts w:ascii="Times New Roman"/>
                <w:sz w:val="30"/>
              </w:rPr>
            </w:pPr>
          </w:p>
        </w:tc>
        <w:tc>
          <w:tcPr>
            <w:tcW w:w="1076" w:type="dxa"/>
          </w:tcPr>
          <w:p>
            <w:pPr>
              <w:pStyle w:val="TableParagraph"/>
              <w:spacing w:before="110"/>
              <w:ind w:right="48"/>
              <w:jc w:val="right"/>
              <w:rPr>
                <w:sz w:val="31"/>
              </w:rPr>
            </w:pPr>
            <w:r>
              <w:rPr>
                <w:color w:val="0D0D0D"/>
                <w:sz w:val="31"/>
              </w:rPr>
              <w:t>812</w:t>
            </w:r>
          </w:p>
        </w:tc>
      </w:tr>
      <w:tr>
        <w:tblPrEx>
          <w:tblW w:w="0" w:type="auto"/>
          <w:jc w:val="left"/>
          <w:tblInd w:w="5566" w:type="dxa"/>
          <w:tblLayout w:type="fixed"/>
          <w:tblCellMar>
            <w:top w:w="0" w:type="dxa"/>
            <w:left w:w="0" w:type="dxa"/>
            <w:bottom w:w="0" w:type="dxa"/>
            <w:right w:w="0" w:type="dxa"/>
          </w:tblCellMar>
          <w:tblLook w:val="01E0"/>
        </w:tblPrEx>
        <w:trPr>
          <w:trHeight w:val="464"/>
          <w:jc w:val="left"/>
        </w:trPr>
        <w:tc>
          <w:tcPr>
            <w:tcW w:w="2106" w:type="dxa"/>
          </w:tcPr>
          <w:p>
            <w:pPr>
              <w:pStyle w:val="TableParagraph"/>
              <w:spacing w:before="110" w:line="335" w:lineRule="exact"/>
              <w:ind w:left="50"/>
              <w:rPr>
                <w:sz w:val="31"/>
              </w:rPr>
            </w:pPr>
            <w:r>
              <w:rPr>
                <w:color w:val="0D0D0D"/>
                <w:sz w:val="31"/>
              </w:rPr>
              <w:t>累计折旧</w:t>
            </w:r>
          </w:p>
        </w:tc>
        <w:tc>
          <w:tcPr>
            <w:tcW w:w="951" w:type="dxa"/>
          </w:tcPr>
          <w:p>
            <w:pPr>
              <w:pStyle w:val="TableParagraph"/>
              <w:spacing w:before="110" w:line="335" w:lineRule="exact"/>
              <w:ind w:right="163"/>
              <w:jc w:val="right"/>
              <w:rPr>
                <w:sz w:val="31"/>
              </w:rPr>
            </w:pPr>
            <w:r>
              <w:rPr>
                <w:color w:val="0D0D0D"/>
                <w:sz w:val="31"/>
              </w:rPr>
              <w:t>14</w:t>
            </w:r>
          </w:p>
        </w:tc>
        <w:tc>
          <w:tcPr>
            <w:tcW w:w="2654" w:type="dxa"/>
          </w:tcPr>
          <w:p>
            <w:pPr>
              <w:pStyle w:val="TableParagraph"/>
              <w:rPr>
                <w:rFonts w:ascii="Times New Roman"/>
                <w:sz w:val="30"/>
              </w:rPr>
            </w:pPr>
          </w:p>
        </w:tc>
        <w:tc>
          <w:tcPr>
            <w:tcW w:w="1300" w:type="dxa"/>
          </w:tcPr>
          <w:p>
            <w:pPr>
              <w:pStyle w:val="TableParagraph"/>
              <w:rPr>
                <w:rFonts w:ascii="Times New Roman"/>
                <w:sz w:val="30"/>
              </w:rPr>
            </w:pPr>
          </w:p>
        </w:tc>
        <w:tc>
          <w:tcPr>
            <w:tcW w:w="1076" w:type="dxa"/>
          </w:tcPr>
          <w:p>
            <w:pPr>
              <w:pStyle w:val="TableParagraph"/>
              <w:rPr>
                <w:rFonts w:ascii="Times New Roman"/>
                <w:sz w:val="30"/>
              </w:rPr>
            </w:pPr>
          </w:p>
        </w:tc>
      </w:tr>
    </w:tbl>
    <w:p>
      <w:pPr>
        <w:pStyle w:val="BodyText"/>
        <w:ind w:left="0"/>
        <w:rPr>
          <w:sz w:val="20"/>
        </w:rPr>
      </w:pPr>
    </w:p>
    <w:p>
      <w:pPr>
        <w:pStyle w:val="BodyText"/>
        <w:ind w:left="0"/>
        <w:rPr>
          <w:sz w:val="20"/>
        </w:rPr>
      </w:pPr>
    </w:p>
    <w:p>
      <w:pPr>
        <w:pStyle w:val="BodyText"/>
        <w:ind w:left="0"/>
        <w:rPr>
          <w:sz w:val="20"/>
        </w:rPr>
      </w:pPr>
    </w:p>
    <w:p>
      <w:pPr>
        <w:pStyle w:val="BodyText"/>
        <w:spacing w:before="1"/>
        <w:ind w:left="0"/>
        <w:rPr>
          <w:sz w:val="22"/>
        </w:rPr>
      </w:pPr>
    </w:p>
    <w:p>
      <w:pPr>
        <w:pStyle w:val="BodyText"/>
        <w:spacing w:before="62"/>
        <w:ind w:left="0" w:right="8845"/>
        <w:jc w:val="right"/>
      </w:pPr>
      <w:r>
        <w:rPr>
          <w:color w:val="0D0D0D"/>
          <w:w w:val="102"/>
        </w:rPr>
        <w:t>要求根据表中数据计算</w:t>
      </w:r>
      <w:r>
        <w:rPr>
          <w:color w:val="0D0D0D"/>
          <w:spacing w:val="-176"/>
          <w:w w:val="102"/>
        </w:rPr>
        <w:t>：</w:t>
      </w:r>
      <w:r>
        <w:rPr>
          <w:color w:val="0D0D0D"/>
          <w:spacing w:val="-4"/>
          <w:w w:val="102"/>
        </w:rPr>
        <w:t>（</w:t>
      </w:r>
      <w:r>
        <w:rPr>
          <w:color w:val="0D0D0D"/>
          <w:w w:val="102"/>
        </w:rPr>
        <w:t>1）流动比率；</w:t>
      </w:r>
    </w:p>
    <w:p>
      <w:pPr>
        <w:pStyle w:val="ListParagraph"/>
        <w:numPr>
          <w:ilvl w:val="1"/>
          <w:numId w:val="30"/>
        </w:numPr>
        <w:tabs>
          <w:tab w:val="left" w:pos="790"/>
        </w:tabs>
        <w:spacing w:before="10" w:after="0" w:line="240" w:lineRule="auto"/>
        <w:ind w:left="7429" w:right="8845" w:hanging="7430"/>
        <w:jc w:val="right"/>
        <w:rPr>
          <w:sz w:val="31"/>
        </w:rPr>
      </w:pPr>
      <w:r>
        <w:rPr>
          <w:color w:val="0D0D0D"/>
          <w:sz w:val="31"/>
        </w:rPr>
        <w:t>速动比率；</w:t>
      </w:r>
    </w:p>
    <w:p>
      <w:pPr>
        <w:pStyle w:val="ListParagraph"/>
        <w:numPr>
          <w:ilvl w:val="1"/>
          <w:numId w:val="30"/>
        </w:numPr>
        <w:tabs>
          <w:tab w:val="left" w:pos="790"/>
        </w:tabs>
        <w:spacing w:before="13" w:after="0" w:line="240" w:lineRule="auto"/>
        <w:ind w:left="7429" w:right="8845" w:hanging="7430"/>
        <w:jc w:val="right"/>
        <w:rPr>
          <w:sz w:val="31"/>
        </w:rPr>
      </w:pPr>
      <w:r>
        <w:rPr>
          <w:color w:val="0D0D0D"/>
          <w:sz w:val="31"/>
        </w:rPr>
        <w:t>现金比率；</w:t>
      </w:r>
    </w:p>
    <w:p>
      <w:pPr>
        <w:pStyle w:val="ListParagraph"/>
        <w:numPr>
          <w:ilvl w:val="1"/>
          <w:numId w:val="30"/>
        </w:numPr>
        <w:tabs>
          <w:tab w:val="left" w:pos="7430"/>
        </w:tabs>
        <w:spacing w:before="10" w:after="0" w:line="240" w:lineRule="auto"/>
        <w:ind w:left="7429" w:right="0" w:hanging="791"/>
        <w:jc w:val="left"/>
        <w:rPr>
          <w:sz w:val="31"/>
        </w:rPr>
      </w:pPr>
      <w:r>
        <w:rPr>
          <w:color w:val="0D0D0D"/>
          <w:sz w:val="31"/>
        </w:rPr>
        <w:t>资产负债率；</w:t>
      </w:r>
    </w:p>
    <w:p>
      <w:pPr>
        <w:pStyle w:val="ListParagraph"/>
        <w:numPr>
          <w:ilvl w:val="1"/>
          <w:numId w:val="30"/>
        </w:numPr>
        <w:tabs>
          <w:tab w:val="left" w:pos="7430"/>
        </w:tabs>
        <w:spacing w:before="14" w:after="0" w:line="240" w:lineRule="auto"/>
        <w:ind w:left="7429" w:right="0" w:hanging="791"/>
        <w:jc w:val="left"/>
        <w:rPr>
          <w:sz w:val="31"/>
        </w:rPr>
      </w:pPr>
      <w:r>
        <w:rPr>
          <w:color w:val="0D0D0D"/>
          <w:sz w:val="31"/>
        </w:rPr>
        <w:t>权益乘数。</w:t>
      </w:r>
    </w:p>
    <w:p>
      <w:pPr>
        <w:pStyle w:val="BodyText"/>
        <w:spacing w:before="9"/>
        <w:ind w:left="3172"/>
      </w:pPr>
      <w:r>
        <w:rPr>
          <w:b/>
          <w:color w:val="0D0D0D"/>
        </w:rPr>
        <w:t>答案</w:t>
      </w:r>
      <w:r>
        <w:rPr>
          <w:color w:val="0D0D0D"/>
        </w:rPr>
        <w:t>：(1)流动比率=流动资产÷流动负债=(21+70+20+6+6+31) ÷(30+8+30)=2.26（次）</w:t>
      </w:r>
    </w:p>
    <w:p>
      <w:pPr>
        <w:pStyle w:val="BodyText"/>
        <w:spacing w:before="13"/>
        <w:ind w:left="4126"/>
      </w:pPr>
      <w:r>
        <w:rPr>
          <w:color w:val="0D0D0D"/>
        </w:rPr>
        <w:t>(2)速动比率=速动资产÷流动负债=(21+70+20+6+6) ÷(30+8+30)=1.81</w:t>
      </w:r>
    </w:p>
    <w:p>
      <w:pPr>
        <w:pStyle w:val="BodyText"/>
        <w:spacing w:before="10"/>
        <w:ind w:left="4126"/>
      </w:pPr>
      <w:r>
        <w:rPr>
          <w:color w:val="0D0D0D"/>
        </w:rPr>
        <w:t>(3)现金比率=现金类资产÷流动负债=(21+70+20) ÷(30+8+30)=1.63</w:t>
      </w:r>
    </w:p>
    <w:p>
      <w:pPr>
        <w:pStyle w:val="BodyText"/>
        <w:spacing w:before="13" w:line="244" w:lineRule="auto"/>
        <w:ind w:left="4119" w:right="6173" w:firstLine="7"/>
      </w:pPr>
      <w:r>
        <w:rPr>
          <w:color w:val="0D0D0D"/>
        </w:rPr>
        <w:t>(4)资产负债率=负债总额÷资产总额=178÷990=0.18 (5)权益乘数=1÷(1-资产负债率) =1÷(1-0.18)=1.22</w:t>
      </w:r>
    </w:p>
    <w:p>
      <w:pPr>
        <w:pStyle w:val="BodyText"/>
        <w:ind w:left="0"/>
        <w:rPr>
          <w:sz w:val="20"/>
        </w:rPr>
      </w:pPr>
    </w:p>
    <w:p>
      <w:pPr>
        <w:pStyle w:val="BodyText"/>
        <w:ind w:left="0"/>
        <w:rPr>
          <w:sz w:val="20"/>
        </w:rPr>
      </w:pPr>
    </w:p>
    <w:p>
      <w:pPr>
        <w:pStyle w:val="BodyText"/>
        <w:spacing w:before="1"/>
        <w:ind w:left="0"/>
        <w:rPr>
          <w:sz w:val="18"/>
        </w:rPr>
      </w:pPr>
    </w:p>
    <w:p>
      <w:pPr>
        <w:spacing w:after="0"/>
        <w:rPr>
          <w:sz w:val="18"/>
        </w:rPr>
        <w:sectPr>
          <w:headerReference w:type="default" r:id="rId77"/>
          <w:footerReference w:type="default" r:id="rId78"/>
          <w:pgSz w:w="17860" w:h="25260"/>
          <w:pgMar w:top="1720" w:right="0" w:bottom="1940" w:left="0" w:header="1129" w:footer="1752"/>
          <w:pgNumType w:start="1"/>
          <w:cols w:space="708"/>
        </w:sectPr>
      </w:pPr>
    </w:p>
    <w:p>
      <w:pPr>
        <w:pStyle w:val="BodyText"/>
        <w:ind w:left="0"/>
        <w:rPr>
          <w:sz w:val="32"/>
        </w:rPr>
      </w:pPr>
    </w:p>
    <w:p>
      <w:pPr>
        <w:pStyle w:val="Heading2"/>
        <w:spacing w:before="271"/>
      </w:pPr>
      <w:r>
        <w:rPr>
          <w:color w:val="0D0D0D"/>
        </w:rPr>
        <w:t>一、单项选择题</w:t>
      </w:r>
    </w:p>
    <w:p>
      <w:pPr>
        <w:tabs>
          <w:tab w:val="left" w:pos="3974"/>
        </w:tabs>
        <w:spacing w:before="42"/>
        <w:ind w:left="2286" w:right="0" w:firstLine="0"/>
        <w:jc w:val="left"/>
        <w:rPr>
          <w:b/>
          <w:sz w:val="42"/>
        </w:rPr>
      </w:pPr>
      <w:r>
        <w:br w:type="column"/>
      </w:r>
      <w:r>
        <w:rPr>
          <w:b/>
          <w:color w:val="0D0D0D"/>
          <w:sz w:val="42"/>
        </w:rPr>
        <w:t>第四章</w:t>
        <w:tab/>
        <w:t>筹资管理</w:t>
      </w:r>
    </w:p>
    <w:p>
      <w:pPr>
        <w:spacing w:after="0"/>
        <w:jc w:val="left"/>
        <w:rPr>
          <w:sz w:val="42"/>
        </w:rPr>
        <w:sectPr>
          <w:headerReference w:type="default" r:id="rId79"/>
          <w:footerReference w:type="default" r:id="rId80"/>
          <w:type w:val="continuous"/>
          <w:pgSz w:w="17860" w:h="25260"/>
          <w:pgMar w:top="1720" w:right="0" w:bottom="1940" w:left="0" w:header="708" w:footer="708"/>
          <w:pgNumType w:start="2"/>
          <w:cols w:num="2" w:space="708" w:equalWidth="0">
            <w:col w:w="4919" w:space="40"/>
            <w:col w:w="12901" w:space="0"/>
          </w:cols>
        </w:sectPr>
      </w:pPr>
    </w:p>
    <w:p>
      <w:pPr>
        <w:pStyle w:val="BodyText"/>
        <w:spacing w:before="14"/>
      </w:pPr>
      <w:r>
        <w:rPr>
          <w:color w:val="0D0D0D"/>
        </w:rPr>
        <w:t>1、大华公司为股份有限公司，该公司2003 年净资产额为 5000 万元，2002 年该公司已发行</w:t>
      </w:r>
    </w:p>
    <w:p>
      <w:pPr>
        <w:pStyle w:val="BodyText"/>
        <w:spacing w:before="9"/>
      </w:pPr>
      <w:r>
        <w:rPr>
          <w:color w:val="0D0D0D"/>
        </w:rPr>
        <w:t>1200 万元债券，则该公司 2003 年最多可再发行（ ）万元债券。</w:t>
      </w:r>
    </w:p>
    <w:p>
      <w:pPr>
        <w:pStyle w:val="BodyText"/>
        <w:tabs>
          <w:tab w:val="left" w:pos="5537"/>
          <w:tab w:val="left" w:pos="7745"/>
          <w:tab w:val="left" w:pos="9945"/>
        </w:tabs>
        <w:spacing w:before="13"/>
        <w:ind w:left="3334"/>
      </w:pPr>
      <w:r>
        <w:rPr>
          <w:color w:val="0D0D0D"/>
          <w:spacing w:val="-4"/>
        </w:rPr>
        <w:t>A</w:t>
      </w:r>
      <w:r>
        <w:rPr>
          <w:color w:val="0D0D0D"/>
        </w:rPr>
        <w:t>、2000</w:t>
        <w:tab/>
        <w:t>B、1600</w:t>
        <w:tab/>
      </w:r>
      <w:r>
        <w:rPr>
          <w:color w:val="0D0D0D"/>
          <w:spacing w:val="-4"/>
        </w:rPr>
        <w:t>C</w:t>
      </w:r>
      <w:r>
        <w:rPr>
          <w:color w:val="0D0D0D"/>
        </w:rPr>
        <w:t>、3000</w:t>
        <w:tab/>
        <w:t>D、800</w:t>
      </w:r>
    </w:p>
    <w:p>
      <w:pPr>
        <w:spacing w:before="11"/>
        <w:ind w:left="3330" w:right="0" w:firstLine="0"/>
        <w:jc w:val="left"/>
        <w:rPr>
          <w:sz w:val="31"/>
        </w:rPr>
      </w:pPr>
      <w:r>
        <w:rPr>
          <w:b/>
          <w:color w:val="0D0D0D"/>
          <w:sz w:val="31"/>
        </w:rPr>
        <w:t>答案:</w:t>
      </w:r>
      <w:r>
        <w:rPr>
          <w:color w:val="0D0D0D"/>
          <w:sz w:val="31"/>
        </w:rPr>
        <w:t>D</w:t>
      </w:r>
    </w:p>
    <w:p>
      <w:pPr>
        <w:pStyle w:val="BodyText"/>
        <w:spacing w:before="13" w:line="244" w:lineRule="auto"/>
        <w:ind w:right="2691" w:firstLine="629"/>
      </w:pPr>
      <w:r>
        <w:rPr>
          <w:b/>
          <w:color w:val="0D0D0D"/>
        </w:rPr>
        <w:t>解析:</w:t>
      </w:r>
      <w:r>
        <w:rPr>
          <w:color w:val="0D0D0D"/>
        </w:rPr>
        <w:t xml:space="preserve">我国《公司法》规定，发行债券时，累计债券总额不超过公司净资产额的 </w:t>
      </w:r>
      <w:r>
        <w:rPr>
          <w:color w:val="0D0D0D"/>
          <w:spacing w:val="-5"/>
        </w:rPr>
        <w:t xml:space="preserve">40%， </w:t>
      </w:r>
      <w:r>
        <w:rPr>
          <w:color w:val="0D0D0D"/>
        </w:rPr>
        <w:t>因此，本题答案为：5000×40%－1200=800（万元</w:t>
      </w:r>
      <w:r>
        <w:rPr>
          <w:color w:val="0D0D0D"/>
          <w:spacing w:val="-166"/>
        </w:rPr>
        <w:t>）</w:t>
      </w:r>
      <w:r>
        <w:rPr>
          <w:color w:val="0D0D0D"/>
        </w:rPr>
        <w:t>。</w:t>
      </w:r>
    </w:p>
    <w:p>
      <w:pPr>
        <w:pStyle w:val="BodyText"/>
        <w:spacing w:before="7"/>
      </w:pPr>
      <w:r>
        <w:rPr>
          <w:color w:val="0D0D0D"/>
        </w:rPr>
        <w:t xml:space="preserve">2、下列不属于认股权证的特点的是（ </w:t>
      </w:r>
      <w:r>
        <w:rPr>
          <w:color w:val="0D0D0D"/>
          <w:spacing w:val="-159"/>
        </w:rPr>
        <w:t>）</w:t>
      </w:r>
      <w:r>
        <w:rPr>
          <w:color w:val="0D0D0D"/>
        </w:rPr>
        <w:t>。</w:t>
      </w:r>
    </w:p>
    <w:p>
      <w:pPr>
        <w:pStyle w:val="BodyText"/>
        <w:tabs>
          <w:tab w:val="left" w:pos="11007"/>
        </w:tabs>
        <w:spacing w:before="10" w:line="247" w:lineRule="auto"/>
        <w:ind w:right="2688" w:firstLine="316"/>
      </w:pPr>
      <w:r>
        <w:rPr>
          <w:color w:val="0D0D0D"/>
        </w:rPr>
        <w:t>A</w:t>
      </w:r>
      <w:r>
        <w:rPr>
          <w:color w:val="0D0D0D"/>
          <w:spacing w:val="-51"/>
        </w:rPr>
        <w:t>、</w:t>
      </w:r>
      <w:r>
        <w:rPr>
          <w:color w:val="0D0D0D"/>
        </w:rPr>
        <w:t>对于公司发行新债券或优先股股票具有促销作用</w:t>
        <w:tab/>
      </w:r>
      <w:r>
        <w:rPr>
          <w:color w:val="0D0D0D"/>
          <w:spacing w:val="-4"/>
        </w:rPr>
        <w:t>B</w:t>
      </w:r>
      <w:r>
        <w:rPr>
          <w:color w:val="0D0D0D"/>
          <w:spacing w:val="-47"/>
        </w:rPr>
        <w:t>、</w:t>
      </w:r>
      <w:r>
        <w:rPr>
          <w:color w:val="0D0D0D"/>
        </w:rPr>
        <w:t>持有人在认股之前</w:t>
      </w:r>
      <w:r>
        <w:rPr>
          <w:color w:val="0D0D0D"/>
          <w:spacing w:val="-65"/>
        </w:rPr>
        <w:t>，</w:t>
      </w:r>
      <w:r>
        <w:rPr>
          <w:color w:val="0D0D0D"/>
        </w:rPr>
        <w:t>只拥</w:t>
      </w:r>
      <w:r>
        <w:rPr>
          <w:color w:val="0D0D0D"/>
          <w:spacing w:val="-17"/>
        </w:rPr>
        <w:t>有</w:t>
      </w:r>
      <w:r>
        <w:rPr>
          <w:color w:val="0D0D0D"/>
        </w:rPr>
        <w:t>股票认购权</w:t>
      </w:r>
    </w:p>
    <w:p>
      <w:pPr>
        <w:pStyle w:val="BodyText"/>
        <w:tabs>
          <w:tab w:val="left" w:pos="11057"/>
        </w:tabs>
        <w:spacing w:line="247" w:lineRule="auto"/>
        <w:ind w:left="3330" w:right="3797" w:hanging="630"/>
      </w:pPr>
      <w:r>
        <w:rPr>
          <w:color w:val="0D0D0D"/>
        </w:rPr>
        <w:t>C、用认股权证购买普通股票，其价格一般低于市价</w:t>
        <w:tab/>
      </w:r>
      <w:r>
        <w:rPr>
          <w:color w:val="0D0D0D"/>
          <w:spacing w:val="-8"/>
        </w:rPr>
        <w:t>D</w:t>
      </w:r>
      <w:r>
        <w:rPr>
          <w:color w:val="0D0D0D"/>
        </w:rPr>
        <w:t>、认股权证容易转</w:t>
      </w:r>
      <w:r>
        <w:rPr>
          <w:color w:val="0D0D0D"/>
          <w:spacing w:val="-17"/>
        </w:rPr>
        <w:t>让</w:t>
      </w:r>
      <w:r>
        <w:rPr>
          <w:b/>
          <w:color w:val="0D0D0D"/>
        </w:rPr>
        <w:t>答案:</w:t>
      </w:r>
      <w:r>
        <w:rPr>
          <w:color w:val="0D0D0D"/>
        </w:rPr>
        <w:t>D</w:t>
      </w:r>
    </w:p>
    <w:p>
      <w:pPr>
        <w:pStyle w:val="BodyText"/>
        <w:spacing w:line="247" w:lineRule="auto"/>
        <w:ind w:right="2643" w:firstLine="629"/>
      </w:pPr>
      <w:r>
        <w:rPr>
          <w:b/>
          <w:color w:val="0D0D0D"/>
        </w:rPr>
        <w:t>解析:</w:t>
      </w:r>
      <w:r>
        <w:rPr>
          <w:color w:val="0D0D0D"/>
          <w:spacing w:val="-1"/>
        </w:rPr>
        <w:t>认股权证是由股份公司发行的，能够按特定的价格，在特定的时间内购买一定数</w:t>
      </w:r>
      <w:r>
        <w:rPr>
          <w:color w:val="0D0D0D"/>
          <w:w w:val="102"/>
        </w:rPr>
        <w:t>量该公司股标的选择权凭证。认股权证的特点</w:t>
      </w:r>
      <w:r>
        <w:rPr>
          <w:color w:val="0D0D0D"/>
          <w:spacing w:val="-262"/>
          <w:w w:val="102"/>
        </w:rPr>
        <w:t>：</w:t>
      </w:r>
      <w:r>
        <w:rPr>
          <w:color w:val="0D0D0D"/>
          <w:w w:val="102"/>
        </w:rPr>
        <w:t>（1</w:t>
      </w:r>
      <w:r>
        <w:rPr>
          <w:color w:val="0D0D0D"/>
          <w:spacing w:val="-40"/>
          <w:w w:val="102"/>
        </w:rPr>
        <w:t>）</w:t>
      </w:r>
      <w:r>
        <w:rPr>
          <w:color w:val="0D0D0D"/>
          <w:spacing w:val="-4"/>
          <w:w w:val="102"/>
        </w:rPr>
        <w:t>认股权证作为一种特殊的筹资手段，对</w:t>
      </w:r>
    </w:p>
    <w:p>
      <w:pPr>
        <w:spacing w:after="0" w:line="247" w:lineRule="auto"/>
        <w:sectPr>
          <w:headerReference w:type="default" r:id="rId81"/>
          <w:footerReference w:type="default" r:id="rId82"/>
          <w:type w:val="continuous"/>
          <w:pgSz w:w="17860" w:h="25260"/>
          <w:pgMar w:top="1720" w:right="0" w:bottom="1940" w:left="0" w:header="708" w:footer="708"/>
          <w:pgNumType w:start="3"/>
          <w:cols w:space="708"/>
        </w:sectPr>
      </w:pPr>
    </w:p>
    <w:p>
      <w:pPr>
        <w:pStyle w:val="BodyText"/>
        <w:spacing w:before="3"/>
        <w:ind w:left="0"/>
        <w:rPr>
          <w:sz w:val="8"/>
        </w:rPr>
      </w:pPr>
    </w:p>
    <w:p>
      <w:pPr>
        <w:pStyle w:val="BodyText"/>
        <w:spacing w:before="63" w:line="247" w:lineRule="auto"/>
        <w:ind w:right="2677"/>
      </w:pPr>
      <w:r>
        <w:rPr>
          <w:color w:val="0D0D0D"/>
        </w:rPr>
        <w:t>于公司发行新债券或优先股股票具有促销作用</w:t>
      </w:r>
      <w:r>
        <w:rPr>
          <w:color w:val="0D0D0D"/>
          <w:spacing w:val="-237"/>
        </w:rPr>
        <w:t>。</w:t>
      </w:r>
      <w:r>
        <w:rPr>
          <w:color w:val="0D0D0D"/>
          <w:spacing w:val="-17"/>
        </w:rPr>
        <w:t>（2）</w:t>
      </w:r>
      <w:r>
        <w:rPr>
          <w:color w:val="0D0D0D"/>
          <w:spacing w:val="-9"/>
        </w:rPr>
        <w:t>持有人在认股之前，既不拥有债权也不</w:t>
      </w:r>
      <w:r>
        <w:rPr>
          <w:color w:val="0D0D0D"/>
        </w:rPr>
        <w:t>拥有股权，只拥有股票认购权</w:t>
      </w:r>
      <w:r>
        <w:rPr>
          <w:color w:val="0D0D0D"/>
          <w:spacing w:val="-180"/>
        </w:rPr>
        <w:t>。</w:t>
      </w:r>
      <w:r>
        <w:rPr>
          <w:color w:val="0D0D0D"/>
        </w:rPr>
        <w:t>（3）用认股权证购买普通股标，其价格一般低于市价。</w:t>
      </w:r>
    </w:p>
    <w:p>
      <w:pPr>
        <w:pStyle w:val="BodyText"/>
        <w:spacing w:line="397" w:lineRule="exact"/>
      </w:pPr>
      <w:r>
        <w:rPr>
          <w:color w:val="0D0D0D"/>
        </w:rPr>
        <w:t xml:space="preserve">3、下列不属于来源于国家财政资金渠道的资金是（ </w:t>
      </w:r>
      <w:r>
        <w:rPr>
          <w:color w:val="0D0D0D"/>
          <w:spacing w:val="-159"/>
        </w:rPr>
        <w:t>）</w:t>
      </w:r>
      <w:r>
        <w:rPr>
          <w:color w:val="0D0D0D"/>
        </w:rPr>
        <w:t>。</w:t>
      </w:r>
    </w:p>
    <w:p>
      <w:pPr>
        <w:pStyle w:val="BodyText"/>
        <w:tabs>
          <w:tab w:val="left" w:pos="11856"/>
        </w:tabs>
        <w:spacing w:before="9" w:line="247" w:lineRule="auto"/>
        <w:ind w:right="2677" w:firstLine="633"/>
      </w:pPr>
      <w:r>
        <w:rPr>
          <w:color w:val="0D0D0D"/>
        </w:rPr>
        <w:t>A、国家政策性银行提供的政策性贷款形成的资金</w:t>
        <w:tab/>
      </w:r>
      <w:r>
        <w:rPr>
          <w:color w:val="0D0D0D"/>
          <w:spacing w:val="-4"/>
        </w:rPr>
        <w:t>B</w:t>
      </w:r>
      <w:r>
        <w:rPr>
          <w:color w:val="0D0D0D"/>
        </w:rPr>
        <w:t>、国家财政直接拨款</w:t>
      </w:r>
      <w:r>
        <w:rPr>
          <w:color w:val="0D0D0D"/>
          <w:spacing w:val="-16"/>
        </w:rPr>
        <w:t>形</w:t>
      </w:r>
      <w:r>
        <w:rPr>
          <w:color w:val="0D0D0D"/>
        </w:rPr>
        <w:t>成的资金</w:t>
      </w:r>
    </w:p>
    <w:p>
      <w:pPr>
        <w:pStyle w:val="BodyText"/>
        <w:tabs>
          <w:tab w:val="left" w:pos="11540"/>
        </w:tabs>
        <w:spacing w:line="247" w:lineRule="auto"/>
        <w:ind w:right="2679" w:firstLine="633"/>
      </w:pPr>
      <w:r>
        <w:rPr>
          <w:color w:val="0D0D0D"/>
          <w:spacing w:val="-4"/>
        </w:rPr>
        <w:t>C</w:t>
      </w:r>
      <w:r>
        <w:rPr>
          <w:color w:val="0D0D0D"/>
        </w:rPr>
        <w:t>、国家给予企业的“税前还贷”优惠形成的资金</w:t>
        <w:tab/>
      </w:r>
      <w:r>
        <w:rPr>
          <w:color w:val="0D0D0D"/>
          <w:spacing w:val="-4"/>
        </w:rPr>
        <w:t>D</w:t>
      </w:r>
      <w:r>
        <w:rPr>
          <w:color w:val="0D0D0D"/>
        </w:rPr>
        <w:t>、国家对企业减免各种</w:t>
      </w:r>
      <w:r>
        <w:rPr>
          <w:color w:val="0D0D0D"/>
          <w:spacing w:val="-19"/>
        </w:rPr>
        <w:t>税</w:t>
      </w:r>
      <w:r>
        <w:rPr>
          <w:color w:val="0D0D0D"/>
        </w:rPr>
        <w:t>款形成的资金</w:t>
      </w:r>
    </w:p>
    <w:p>
      <w:pPr>
        <w:spacing w:before="0" w:line="396" w:lineRule="exact"/>
        <w:ind w:left="3330" w:right="0" w:firstLine="0"/>
        <w:jc w:val="left"/>
        <w:rPr>
          <w:sz w:val="31"/>
        </w:rPr>
      </w:pPr>
      <w:r>
        <w:rPr>
          <w:b/>
          <w:color w:val="0D0D0D"/>
          <w:sz w:val="31"/>
        </w:rPr>
        <w:t>答案:</w:t>
      </w:r>
      <w:r>
        <w:rPr>
          <w:color w:val="0D0D0D"/>
          <w:sz w:val="31"/>
        </w:rPr>
        <w:t>A</w:t>
      </w:r>
    </w:p>
    <w:p>
      <w:pPr>
        <w:pStyle w:val="BodyText"/>
        <w:spacing w:before="12"/>
        <w:ind w:left="3330"/>
      </w:pPr>
      <w:r>
        <w:rPr>
          <w:b/>
          <w:color w:val="0D0D0D"/>
        </w:rPr>
        <w:t>解析:</w:t>
      </w:r>
      <w:r>
        <w:rPr>
          <w:color w:val="0D0D0D"/>
        </w:rPr>
        <w:t>国家政策性银行提供的政策性贷款形成的资金属于银行信贷资金。</w:t>
      </w:r>
    </w:p>
    <w:p>
      <w:pPr>
        <w:pStyle w:val="BodyText"/>
        <w:spacing w:before="10" w:line="247" w:lineRule="auto"/>
        <w:ind w:right="2679"/>
      </w:pPr>
      <w:r>
        <w:rPr>
          <w:color w:val="0D0D0D"/>
        </w:rPr>
        <w:t>4、某企业与银行商定的周转信贷额为 200 万元，承诺费率为 0.5％，借款企业年度内使用了 120 万元，那么，借款企业向银行支付承诺费（ ）元。</w:t>
      </w:r>
    </w:p>
    <w:p>
      <w:pPr>
        <w:pStyle w:val="BodyText"/>
        <w:tabs>
          <w:tab w:val="left" w:pos="5696"/>
          <w:tab w:val="left" w:pos="7903"/>
          <w:tab w:val="left" w:pos="10107"/>
        </w:tabs>
        <w:spacing w:line="396" w:lineRule="exact"/>
        <w:ind w:left="3334"/>
      </w:pPr>
      <w:r>
        <w:rPr>
          <w:color w:val="0D0D0D"/>
          <w:spacing w:val="-4"/>
        </w:rPr>
        <w:t>A</w:t>
      </w:r>
      <w:r>
        <w:rPr>
          <w:color w:val="0D0D0D"/>
        </w:rPr>
        <w:t>、10000</w:t>
        <w:tab/>
        <w:t>B</w:t>
      </w:r>
      <w:r>
        <w:rPr>
          <w:color w:val="0D0D0D"/>
          <w:spacing w:val="-4"/>
        </w:rPr>
        <w:t>、</w:t>
      </w:r>
      <w:r>
        <w:rPr>
          <w:color w:val="0D0D0D"/>
        </w:rPr>
        <w:t>6000</w:t>
        <w:tab/>
      </w:r>
      <w:r>
        <w:rPr>
          <w:color w:val="0D0D0D"/>
          <w:spacing w:val="-4"/>
        </w:rPr>
        <w:t>C</w:t>
      </w:r>
      <w:r>
        <w:rPr>
          <w:color w:val="0D0D0D"/>
        </w:rPr>
        <w:t>、4000</w:t>
        <w:tab/>
      </w:r>
      <w:r>
        <w:rPr>
          <w:color w:val="0D0D0D"/>
          <w:spacing w:val="-4"/>
        </w:rPr>
        <w:t>D</w:t>
      </w:r>
      <w:r>
        <w:rPr>
          <w:color w:val="0D0D0D"/>
        </w:rPr>
        <w:t>、8000</w:t>
      </w:r>
    </w:p>
    <w:p>
      <w:pPr>
        <w:spacing w:before="13"/>
        <w:ind w:left="3330" w:right="0" w:firstLine="0"/>
        <w:jc w:val="left"/>
        <w:rPr>
          <w:sz w:val="31"/>
        </w:rPr>
      </w:pPr>
      <w:r>
        <w:rPr>
          <w:b/>
          <w:color w:val="0D0D0D"/>
          <w:sz w:val="31"/>
        </w:rPr>
        <w:t>答案:</w:t>
      </w:r>
      <w:r>
        <w:rPr>
          <w:color w:val="0D0D0D"/>
          <w:sz w:val="31"/>
        </w:rPr>
        <w:t>C</w:t>
      </w:r>
    </w:p>
    <w:p>
      <w:pPr>
        <w:pStyle w:val="BodyText"/>
        <w:spacing w:before="10"/>
        <w:ind w:left="3330"/>
      </w:pPr>
      <w:r>
        <w:rPr>
          <w:b/>
          <w:color w:val="0D0D0D"/>
        </w:rPr>
        <w:t>解析:</w:t>
      </w:r>
      <w:r>
        <w:rPr>
          <w:color w:val="0D0D0D"/>
        </w:rPr>
        <w:t>借款企业向银行支付承诺费=(2 000 000－1 200 000)×0.5%=4000（元）</w:t>
      </w:r>
    </w:p>
    <w:p>
      <w:pPr>
        <w:pStyle w:val="BodyText"/>
        <w:spacing w:before="14" w:line="244" w:lineRule="auto"/>
        <w:ind w:right="2663"/>
      </w:pPr>
      <w:r>
        <w:rPr>
          <w:color w:val="0D0D0D"/>
        </w:rPr>
        <w:t>5</w:t>
      </w:r>
      <w:r>
        <w:rPr>
          <w:color w:val="0D0D0D"/>
          <w:spacing w:val="-1"/>
        </w:rPr>
        <w:t>、某企业按“</w:t>
      </w:r>
      <w:r>
        <w:rPr>
          <w:color w:val="0D0D0D"/>
          <w:spacing w:val="-3"/>
        </w:rPr>
        <w:t>2/10，N/60</w:t>
      </w:r>
      <w:r>
        <w:rPr>
          <w:color w:val="0D0D0D"/>
          <w:spacing w:val="2"/>
        </w:rPr>
        <w:t xml:space="preserve">”条件购进商品 </w:t>
      </w:r>
      <w:r>
        <w:rPr>
          <w:color w:val="0D0D0D"/>
        </w:rPr>
        <w:t>20000</w:t>
      </w:r>
      <w:r>
        <w:rPr>
          <w:color w:val="0D0D0D"/>
          <w:spacing w:val="-1"/>
        </w:rPr>
        <w:t xml:space="preserve"> 元，若放弃现金折扣，则其资金的机会成</w:t>
      </w:r>
      <w:r>
        <w:rPr>
          <w:color w:val="0D0D0D"/>
          <w:w w:val="102"/>
        </w:rPr>
        <w:t>本率为（</w:t>
      </w:r>
      <w:r>
        <w:rPr>
          <w:color w:val="0D0D0D"/>
          <w:spacing w:val="-166"/>
          <w:w w:val="102"/>
        </w:rPr>
        <w:t>）</w:t>
      </w:r>
      <w:r>
        <w:rPr>
          <w:color w:val="0D0D0D"/>
          <w:w w:val="102"/>
        </w:rPr>
        <w:t>。</w:t>
      </w:r>
    </w:p>
    <w:p>
      <w:pPr>
        <w:pStyle w:val="BodyText"/>
        <w:tabs>
          <w:tab w:val="left" w:pos="5696"/>
          <w:tab w:val="left" w:pos="8058"/>
          <w:tab w:val="left" w:pos="10420"/>
        </w:tabs>
        <w:spacing w:before="7"/>
        <w:ind w:left="3334"/>
      </w:pPr>
      <w:r>
        <w:rPr>
          <w:color w:val="0D0D0D"/>
          <w:spacing w:val="-4"/>
        </w:rPr>
        <w:t>A</w:t>
      </w:r>
      <w:r>
        <w:rPr>
          <w:color w:val="0D0D0D"/>
        </w:rPr>
        <w:t>、12.3%</w:t>
        <w:tab/>
        <w:t>B</w:t>
      </w:r>
      <w:r>
        <w:rPr>
          <w:color w:val="0D0D0D"/>
          <w:spacing w:val="-4"/>
        </w:rPr>
        <w:t>、</w:t>
      </w:r>
      <w:r>
        <w:rPr>
          <w:color w:val="0D0D0D"/>
        </w:rPr>
        <w:t>12.6%</w:t>
        <w:tab/>
        <w:t>C</w:t>
      </w:r>
      <w:r>
        <w:rPr>
          <w:color w:val="0D0D0D"/>
          <w:spacing w:val="-4"/>
        </w:rPr>
        <w:t>、</w:t>
      </w:r>
      <w:r>
        <w:rPr>
          <w:color w:val="0D0D0D"/>
        </w:rPr>
        <w:t>11.4%</w:t>
        <w:tab/>
        <w:t>D</w:t>
      </w:r>
      <w:r>
        <w:rPr>
          <w:color w:val="0D0D0D"/>
          <w:spacing w:val="-4"/>
        </w:rPr>
        <w:t>、</w:t>
      </w:r>
      <w:r>
        <w:rPr>
          <w:color w:val="0D0D0D"/>
        </w:rPr>
        <w:t>14.7%</w:t>
      </w:r>
    </w:p>
    <w:p>
      <w:pPr>
        <w:spacing w:before="10"/>
        <w:ind w:left="3330" w:right="0" w:firstLine="0"/>
        <w:jc w:val="left"/>
        <w:rPr>
          <w:sz w:val="31"/>
        </w:rPr>
      </w:pPr>
      <w:r>
        <w:rPr>
          <w:b/>
          <w:color w:val="0D0D0D"/>
          <w:sz w:val="31"/>
        </w:rPr>
        <w:t>答案:</w:t>
      </w:r>
      <w:r>
        <w:rPr>
          <w:color w:val="0D0D0D"/>
          <w:sz w:val="31"/>
        </w:rPr>
        <w:t>D</w:t>
      </w:r>
    </w:p>
    <w:p>
      <w:pPr>
        <w:pStyle w:val="BodyText"/>
        <w:spacing w:before="13" w:line="244" w:lineRule="auto"/>
        <w:ind w:right="5219" w:firstLine="629"/>
      </w:pPr>
      <w:r>
        <w:rPr>
          <w:b/>
          <w:color w:val="0D0D0D"/>
          <w:spacing w:val="-1"/>
        </w:rPr>
        <w:t>解析:</w:t>
      </w:r>
      <w:r>
        <w:rPr>
          <w:color w:val="0D0D0D"/>
          <w:spacing w:val="-3"/>
        </w:rPr>
        <w:t>资金的机会成本率</w:t>
      </w:r>
      <w:r>
        <w:rPr>
          <w:color w:val="0D0D0D"/>
          <w:spacing w:val="-1"/>
        </w:rPr>
        <w:t xml:space="preserve">=[2%/（1－2%）]×360÷（60－10）=14.7% </w:t>
      </w:r>
      <w:r>
        <w:rPr>
          <w:color w:val="0D0D0D"/>
        </w:rPr>
        <w:t>6、下列优先股中，对股份公司有利的是（</w:t>
      </w:r>
      <w:r>
        <w:rPr>
          <w:color w:val="0D0D0D"/>
          <w:spacing w:val="-25"/>
        </w:rPr>
        <w:t xml:space="preserve"> </w:t>
      </w:r>
      <w:r>
        <w:rPr>
          <w:color w:val="0D0D0D"/>
          <w:spacing w:val="-159"/>
        </w:rPr>
        <w:t>）</w:t>
      </w:r>
      <w:r>
        <w:rPr>
          <w:color w:val="0D0D0D"/>
        </w:rPr>
        <w:t>。</w:t>
      </w:r>
    </w:p>
    <w:p>
      <w:pPr>
        <w:pStyle w:val="BodyText"/>
        <w:tabs>
          <w:tab w:val="left" w:pos="6488"/>
          <w:tab w:val="left" w:pos="9963"/>
          <w:tab w:val="left" w:pos="13116"/>
        </w:tabs>
        <w:spacing w:before="7"/>
        <w:ind w:left="3334"/>
      </w:pPr>
      <w:r>
        <w:rPr>
          <w:color w:val="0D0D0D"/>
        </w:rPr>
        <w:t>A、累积优先股</w:t>
        <w:tab/>
        <w:t>B、可转换优先股</w:t>
        <w:tab/>
      </w:r>
      <w:r>
        <w:rPr>
          <w:color w:val="0D0D0D"/>
          <w:spacing w:val="-4"/>
        </w:rPr>
        <w:t>C</w:t>
      </w:r>
      <w:r>
        <w:rPr>
          <w:color w:val="0D0D0D"/>
        </w:rPr>
        <w:t>、参加优先股</w:t>
        <w:tab/>
      </w:r>
      <w:r>
        <w:rPr>
          <w:color w:val="0D0D0D"/>
          <w:spacing w:val="-3"/>
        </w:rPr>
        <w:t>D</w:t>
      </w:r>
      <w:r>
        <w:rPr>
          <w:color w:val="0D0D0D"/>
        </w:rPr>
        <w:t>、可赎回优先</w:t>
      </w:r>
    </w:p>
    <w:p>
      <w:pPr>
        <w:pStyle w:val="BodyText"/>
        <w:spacing w:before="9"/>
      </w:pPr>
      <w:r>
        <w:rPr>
          <w:color w:val="0D0D0D"/>
          <w:w w:val="102"/>
        </w:rPr>
        <w:t>股</w:t>
      </w:r>
    </w:p>
    <w:p>
      <w:pPr>
        <w:spacing w:before="10"/>
        <w:ind w:left="3330" w:right="0" w:firstLine="0"/>
        <w:jc w:val="left"/>
        <w:rPr>
          <w:sz w:val="31"/>
        </w:rPr>
      </w:pPr>
      <w:r>
        <w:rPr>
          <w:b/>
          <w:color w:val="0D0D0D"/>
          <w:sz w:val="31"/>
        </w:rPr>
        <w:t>答案:</w:t>
      </w:r>
      <w:r>
        <w:rPr>
          <w:color w:val="0D0D0D"/>
          <w:sz w:val="31"/>
        </w:rPr>
        <w:t>D</w:t>
      </w:r>
    </w:p>
    <w:p>
      <w:pPr>
        <w:pStyle w:val="BodyText"/>
        <w:spacing w:before="13"/>
        <w:ind w:left="3330"/>
      </w:pPr>
      <w:r>
        <w:rPr>
          <w:b/>
          <w:color w:val="0D0D0D"/>
        </w:rPr>
        <w:t>解析:</w:t>
      </w:r>
      <w:r>
        <w:rPr>
          <w:color w:val="0D0D0D"/>
        </w:rPr>
        <w:t>累积优先股、可转换优先股和参加优先股对股东有利；而可赎回优先股对股份公</w:t>
      </w:r>
    </w:p>
    <w:p>
      <w:pPr>
        <w:pStyle w:val="BodyText"/>
        <w:spacing w:before="10"/>
      </w:pPr>
      <w:r>
        <w:rPr>
          <w:color w:val="0D0D0D"/>
        </w:rPr>
        <w:t>司有利。</w:t>
      </w:r>
    </w:p>
    <w:p>
      <w:pPr>
        <w:pStyle w:val="BodyText"/>
        <w:spacing w:before="13" w:line="244" w:lineRule="auto"/>
        <w:ind w:right="2649"/>
      </w:pPr>
      <w:r>
        <w:rPr>
          <w:color w:val="0D0D0D"/>
        </w:rPr>
        <w:t>7</w:t>
      </w:r>
      <w:r>
        <w:rPr>
          <w:color w:val="0D0D0D"/>
          <w:spacing w:val="4"/>
        </w:rPr>
        <w:t>、某企业需借入资金</w:t>
      </w:r>
      <w:r>
        <w:rPr>
          <w:color w:val="0D0D0D"/>
        </w:rPr>
        <w:t>60</w:t>
      </w:r>
      <w:r>
        <w:rPr>
          <w:color w:val="0D0D0D"/>
          <w:spacing w:val="6"/>
        </w:rPr>
        <w:t xml:space="preserve"> 万元，由于银行要求将贷款数额的</w:t>
      </w:r>
      <w:r>
        <w:rPr>
          <w:color w:val="0D0D0D"/>
        </w:rPr>
        <w:t>20</w:t>
      </w:r>
      <w:r>
        <w:rPr>
          <w:color w:val="0D0D0D"/>
          <w:spacing w:val="-2"/>
        </w:rPr>
        <w:t>%作为补偿性余额，故企业需</w:t>
      </w:r>
      <w:r>
        <w:rPr>
          <w:color w:val="0D0D0D"/>
          <w:w w:val="102"/>
        </w:rPr>
        <w:t>向银行申请的贷款数额为（</w:t>
      </w:r>
      <w:r>
        <w:rPr>
          <w:color w:val="0D0D0D"/>
          <w:spacing w:val="-176"/>
          <w:w w:val="102"/>
        </w:rPr>
        <w:t>）</w:t>
      </w:r>
      <w:r>
        <w:rPr>
          <w:color w:val="0D0D0D"/>
          <w:w w:val="102"/>
        </w:rPr>
        <w:t>。</w:t>
      </w:r>
    </w:p>
    <w:p>
      <w:pPr>
        <w:pStyle w:val="BodyText"/>
        <w:tabs>
          <w:tab w:val="left" w:pos="5382"/>
          <w:tab w:val="left" w:pos="7269"/>
          <w:tab w:val="left" w:pos="9318"/>
        </w:tabs>
        <w:spacing w:before="8"/>
        <w:ind w:left="3334"/>
      </w:pPr>
      <w:r>
        <w:rPr>
          <w:color w:val="0D0D0D"/>
          <w:spacing w:val="-4"/>
        </w:rPr>
        <w:t>A</w:t>
      </w:r>
      <w:r>
        <w:rPr>
          <w:color w:val="0D0D0D"/>
        </w:rPr>
        <w:t>、60</w:t>
        <w:tab/>
      </w:r>
      <w:r>
        <w:rPr>
          <w:color w:val="0D0D0D"/>
          <w:spacing w:val="-4"/>
        </w:rPr>
        <w:t>B</w:t>
      </w:r>
      <w:r>
        <w:rPr>
          <w:color w:val="0D0D0D"/>
        </w:rPr>
        <w:t>、72</w:t>
        <w:tab/>
        <w:t>C、75</w:t>
        <w:tab/>
        <w:t>D</w:t>
      </w:r>
      <w:r>
        <w:rPr>
          <w:color w:val="0D0D0D"/>
          <w:spacing w:val="-4"/>
        </w:rPr>
        <w:t>、</w:t>
      </w:r>
      <w:r>
        <w:rPr>
          <w:color w:val="0D0D0D"/>
        </w:rPr>
        <w:t>67.2</w:t>
      </w:r>
    </w:p>
    <w:p>
      <w:pPr>
        <w:spacing w:before="9"/>
        <w:ind w:left="3330" w:right="0" w:firstLine="0"/>
        <w:jc w:val="left"/>
        <w:rPr>
          <w:sz w:val="31"/>
        </w:rPr>
      </w:pPr>
      <w:r>
        <w:drawing>
          <wp:anchor distT="0" distB="0" distL="0" distR="0" simplePos="0" relativeHeight="251670528" behindDoc="1" locked="0" layoutInCell="1" allowOverlap="1">
            <wp:simplePos x="0" y="0"/>
            <wp:positionH relativeFrom="page">
              <wp:posOffset>5417820</wp:posOffset>
            </wp:positionH>
            <wp:positionV relativeFrom="paragraph">
              <wp:posOffset>280669</wp:posOffset>
            </wp:positionV>
            <wp:extent cx="813435" cy="499491"/>
            <wp:effectExtent l="0" t="0" r="0" b="0"/>
            <wp:wrapNone/>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8.png"/>
                    <pic:cNvPicPr/>
                  </pic:nvPicPr>
                  <pic:blipFill>
                    <a:blip xmlns:r="http://schemas.openxmlformats.org/officeDocument/2006/relationships" r:embed="rId83" cstate="print"/>
                    <a:stretch>
                      <a:fillRect/>
                    </a:stretch>
                  </pic:blipFill>
                  <pic:spPr>
                    <a:xfrm>
                      <a:off x="0" y="0"/>
                      <a:ext cx="813435" cy="499491"/>
                    </a:xfrm>
                    <a:prstGeom prst="rect">
                      <a:avLst/>
                    </a:prstGeom>
                  </pic:spPr>
                </pic:pic>
              </a:graphicData>
            </a:graphic>
          </wp:anchor>
        </w:drawing>
      </w:r>
      <w:r>
        <w:rPr>
          <w:b/>
          <w:color w:val="0D0D0D"/>
          <w:sz w:val="31"/>
        </w:rPr>
        <w:t>答案:</w:t>
      </w:r>
      <w:r>
        <w:rPr>
          <w:color w:val="0D0D0D"/>
          <w:sz w:val="31"/>
        </w:rPr>
        <w:t>C</w:t>
      </w:r>
    </w:p>
    <w:p>
      <w:pPr>
        <w:pStyle w:val="BodyText"/>
        <w:spacing w:before="12"/>
        <w:ind w:left="0"/>
        <w:rPr>
          <w:sz w:val="47"/>
        </w:rPr>
      </w:pPr>
    </w:p>
    <w:p>
      <w:pPr>
        <w:pStyle w:val="BodyText"/>
        <w:tabs>
          <w:tab w:val="left" w:pos="9815"/>
        </w:tabs>
        <w:ind w:left="3013"/>
      </w:pPr>
      <w:r>
        <w:rPr>
          <w:b/>
          <w:color w:val="0D0D0D"/>
        </w:rPr>
        <w:t>解析</w:t>
      </w:r>
      <w:r>
        <w:rPr>
          <w:b/>
          <w:color w:val="0D0D0D"/>
          <w:spacing w:val="3"/>
        </w:rPr>
        <w:t>:</w:t>
      </w:r>
      <w:r>
        <w:rPr>
          <w:color w:val="0D0D0D"/>
        </w:rPr>
        <w:t>企业需向银行申请的贷款数额为：</w:t>
        <w:tab/>
        <w:t>=75（万元）</w:t>
      </w:r>
    </w:p>
    <w:p>
      <w:pPr>
        <w:pStyle w:val="BodyText"/>
        <w:spacing w:before="10" w:line="247" w:lineRule="auto"/>
        <w:ind w:right="2603"/>
      </w:pPr>
      <w:r>
        <w:rPr>
          <w:color w:val="0D0D0D"/>
        </w:rPr>
        <w:t>8、某普通股股票现行市场价格每股 50 元,认股权证规定认购价格为 40 元,每张认股权证可认购 2 张普通股股票。则每张认股权证的理论价值为（）元。</w:t>
      </w:r>
    </w:p>
    <w:p>
      <w:pPr>
        <w:pStyle w:val="BodyText"/>
        <w:tabs>
          <w:tab w:val="left" w:pos="5224"/>
          <w:tab w:val="left" w:pos="7273"/>
          <w:tab w:val="left" w:pos="9005"/>
        </w:tabs>
        <w:spacing w:line="396" w:lineRule="exact"/>
        <w:ind w:left="3334"/>
      </w:pPr>
      <w:r>
        <w:rPr>
          <w:color w:val="0D0D0D"/>
          <w:spacing w:val="-4"/>
        </w:rPr>
        <w:t>A</w:t>
      </w:r>
      <w:r>
        <w:rPr>
          <w:color w:val="0D0D0D"/>
        </w:rPr>
        <w:t>、10</w:t>
        <w:tab/>
      </w:r>
      <w:r>
        <w:rPr>
          <w:color w:val="0D0D0D"/>
          <w:spacing w:val="-4"/>
        </w:rPr>
        <w:t>B</w:t>
      </w:r>
      <w:r>
        <w:rPr>
          <w:color w:val="0D0D0D"/>
        </w:rPr>
        <w:t>、20</w:t>
        <w:tab/>
        <w:t>C</w:t>
      </w:r>
      <w:r>
        <w:rPr>
          <w:color w:val="0D0D0D"/>
          <w:spacing w:val="-4"/>
        </w:rPr>
        <w:t>、</w:t>
      </w:r>
      <w:r>
        <w:rPr>
          <w:color w:val="0D0D0D"/>
        </w:rPr>
        <w:t>5</w:t>
        <w:tab/>
        <w:t>D、15</w:t>
      </w:r>
    </w:p>
    <w:p>
      <w:pPr>
        <w:spacing w:before="13"/>
        <w:ind w:left="3330" w:right="0" w:firstLine="0"/>
        <w:jc w:val="left"/>
        <w:rPr>
          <w:sz w:val="31"/>
        </w:rPr>
      </w:pPr>
      <w:r>
        <w:rPr>
          <w:b/>
          <w:color w:val="0D0D0D"/>
          <w:sz w:val="31"/>
        </w:rPr>
        <w:t>答案:</w:t>
      </w:r>
      <w:r>
        <w:rPr>
          <w:color w:val="0D0D0D"/>
          <w:sz w:val="31"/>
        </w:rPr>
        <w:t>B</w:t>
      </w:r>
    </w:p>
    <w:p>
      <w:pPr>
        <w:pStyle w:val="BodyText"/>
        <w:spacing w:before="10"/>
        <w:ind w:left="3330"/>
      </w:pPr>
      <w:r>
        <w:rPr>
          <w:b/>
          <w:color w:val="0D0D0D"/>
        </w:rPr>
        <w:t>解析:</w:t>
      </w:r>
      <w:r>
        <w:rPr>
          <w:color w:val="0D0D0D"/>
        </w:rPr>
        <w:t>V=(P-E)×N＝（50-40）×2＝20 元。</w:t>
      </w:r>
    </w:p>
    <w:p>
      <w:pPr>
        <w:pStyle w:val="BodyText"/>
        <w:spacing w:before="13"/>
      </w:pPr>
      <w:r>
        <w:rPr>
          <w:color w:val="0D0D0D"/>
        </w:rPr>
        <w:t xml:space="preserve">9、下列各项中，不属于融资租赁租金构成项目的是（ </w:t>
      </w:r>
      <w:r>
        <w:rPr>
          <w:color w:val="0D0D0D"/>
          <w:spacing w:val="-159"/>
        </w:rPr>
        <w:t>）</w:t>
      </w:r>
      <w:r>
        <w:rPr>
          <w:color w:val="0D0D0D"/>
        </w:rPr>
        <w:t>。</w:t>
      </w:r>
    </w:p>
    <w:p>
      <w:pPr>
        <w:pStyle w:val="BodyText"/>
        <w:tabs>
          <w:tab w:val="left" w:pos="7438"/>
          <w:tab w:val="left" w:pos="10910"/>
          <w:tab w:val="left" w:pos="14064"/>
        </w:tabs>
        <w:spacing w:before="10" w:line="247" w:lineRule="auto"/>
        <w:ind w:right="2684" w:firstLine="633"/>
      </w:pPr>
      <w:r>
        <w:rPr>
          <w:color w:val="0D0D0D"/>
        </w:rPr>
        <w:t>A、租赁设备的价款</w:t>
        <w:tab/>
      </w:r>
      <w:r>
        <w:rPr>
          <w:color w:val="0D0D0D"/>
          <w:spacing w:val="-4"/>
        </w:rPr>
        <w:t>B</w:t>
      </w:r>
      <w:r>
        <w:rPr>
          <w:color w:val="0D0D0D"/>
        </w:rPr>
        <w:t>、租赁期间利息</w:t>
        <w:tab/>
      </w:r>
      <w:r>
        <w:rPr>
          <w:color w:val="0D0D0D"/>
          <w:spacing w:val="-4"/>
        </w:rPr>
        <w:t>C</w:t>
      </w:r>
      <w:r>
        <w:rPr>
          <w:color w:val="0D0D0D"/>
        </w:rPr>
        <w:t>、租赁手续费</w:t>
        <w:tab/>
        <w:t>D、租</w:t>
      </w:r>
      <w:r>
        <w:rPr>
          <w:color w:val="0D0D0D"/>
          <w:spacing w:val="-18"/>
        </w:rPr>
        <w:t>赁</w:t>
      </w:r>
      <w:r>
        <w:rPr>
          <w:color w:val="0D0D0D"/>
        </w:rPr>
        <w:t>设备维护费</w:t>
      </w:r>
    </w:p>
    <w:p>
      <w:pPr>
        <w:spacing w:before="0" w:line="396" w:lineRule="exact"/>
        <w:ind w:left="3330" w:right="0" w:firstLine="0"/>
        <w:jc w:val="left"/>
        <w:rPr>
          <w:sz w:val="31"/>
        </w:rPr>
      </w:pPr>
      <w:r>
        <w:rPr>
          <w:b/>
          <w:color w:val="0D0D0D"/>
          <w:sz w:val="31"/>
        </w:rPr>
        <w:t>答案:</w:t>
      </w:r>
      <w:r>
        <w:rPr>
          <w:color w:val="0D0D0D"/>
          <w:sz w:val="31"/>
        </w:rPr>
        <w:t>D</w:t>
      </w:r>
    </w:p>
    <w:p>
      <w:pPr>
        <w:pStyle w:val="BodyText"/>
        <w:spacing w:before="14" w:line="244" w:lineRule="auto"/>
        <w:ind w:right="2643" w:firstLine="629"/>
      </w:pPr>
      <w:r>
        <w:rPr>
          <w:b/>
          <w:color w:val="0D0D0D"/>
        </w:rPr>
        <w:t>解析:</w:t>
      </w:r>
      <w:r>
        <w:rPr>
          <w:color w:val="0D0D0D"/>
          <w:spacing w:val="-1"/>
        </w:rPr>
        <w:t xml:space="preserve">采用融资租赁时，在租赁期内，出租人一般不提供维修和保养设备方面的服务， </w:t>
      </w:r>
      <w:r>
        <w:rPr>
          <w:color w:val="0D0D0D"/>
        </w:rPr>
        <w:t>由承租人自己承担，所以租赁设备维护费不属于融资租赁租金构成项目。</w:t>
      </w:r>
    </w:p>
    <w:p>
      <w:pPr>
        <w:pStyle w:val="BodyText"/>
        <w:spacing w:before="7"/>
      </w:pPr>
      <w:r>
        <w:rPr>
          <w:color w:val="0D0D0D"/>
        </w:rPr>
        <w:t>10、用比率预测法进行企业资金需要量预测，所采用的比率不包括（</w:t>
      </w:r>
      <w:r>
        <w:rPr>
          <w:color w:val="0D0D0D"/>
          <w:spacing w:val="9"/>
        </w:rPr>
        <w:t xml:space="preserve">  </w:t>
      </w:r>
      <w:r>
        <w:rPr>
          <w:color w:val="0D0D0D"/>
          <w:spacing w:val="-162"/>
        </w:rPr>
        <w:t>）</w:t>
      </w:r>
      <w:r>
        <w:rPr>
          <w:color w:val="0D0D0D"/>
        </w:rPr>
        <w:t>。</w:t>
      </w:r>
    </w:p>
    <w:p>
      <w:pPr>
        <w:pStyle w:val="BodyText"/>
        <w:tabs>
          <w:tab w:val="left" w:pos="6448"/>
          <w:tab w:val="left" w:pos="10197"/>
          <w:tab w:val="left" w:pos="13156"/>
        </w:tabs>
        <w:spacing w:before="9" w:line="247" w:lineRule="auto"/>
        <w:ind w:right="2644" w:firstLine="633"/>
      </w:pPr>
      <w:r>
        <w:rPr>
          <w:color w:val="0D0D0D"/>
          <w:spacing w:val="-4"/>
        </w:rPr>
        <w:t>A</w:t>
      </w:r>
      <w:r>
        <w:rPr>
          <w:color w:val="0D0D0D"/>
        </w:rPr>
        <w:t>、存货周转率</w:t>
        <w:tab/>
        <w:t>B</w:t>
      </w:r>
      <w:r>
        <w:rPr>
          <w:color w:val="0D0D0D"/>
          <w:spacing w:val="-40"/>
        </w:rPr>
        <w:t>、</w:t>
      </w:r>
      <w:r>
        <w:rPr>
          <w:color w:val="0D0D0D"/>
        </w:rPr>
        <w:t>应收账款周转率</w:t>
        <w:tab/>
        <w:t>C</w:t>
      </w:r>
      <w:r>
        <w:rPr>
          <w:color w:val="0D0D0D"/>
          <w:spacing w:val="-40"/>
        </w:rPr>
        <w:t>、</w:t>
      </w:r>
      <w:r>
        <w:rPr>
          <w:color w:val="0D0D0D"/>
        </w:rPr>
        <w:t>权益比率</w:t>
        <w:tab/>
      </w:r>
      <w:r>
        <w:rPr>
          <w:color w:val="0D0D0D"/>
          <w:spacing w:val="-3"/>
        </w:rPr>
        <w:t>D</w:t>
      </w:r>
      <w:r>
        <w:rPr>
          <w:color w:val="0D0D0D"/>
        </w:rPr>
        <w:t>、资金与销</w:t>
      </w:r>
      <w:r>
        <w:rPr>
          <w:color w:val="0D0D0D"/>
          <w:spacing w:val="-17"/>
        </w:rPr>
        <w:t>售</w:t>
      </w:r>
      <w:r>
        <w:rPr>
          <w:color w:val="0D0D0D"/>
        </w:rPr>
        <w:t>额之间的比率</w:t>
      </w:r>
    </w:p>
    <w:p>
      <w:pPr>
        <w:spacing w:before="0" w:line="396" w:lineRule="exact"/>
        <w:ind w:left="3330" w:right="0" w:firstLine="0"/>
        <w:jc w:val="left"/>
        <w:rPr>
          <w:sz w:val="31"/>
        </w:rPr>
      </w:pPr>
      <w:r>
        <w:rPr>
          <w:b/>
          <w:color w:val="0D0D0D"/>
          <w:sz w:val="31"/>
        </w:rPr>
        <w:t>答案:</w:t>
      </w:r>
      <w:r>
        <w:rPr>
          <w:color w:val="0D0D0D"/>
          <w:sz w:val="31"/>
        </w:rPr>
        <w:t>C</w:t>
      </w:r>
    </w:p>
    <w:p>
      <w:pPr>
        <w:pStyle w:val="BodyText"/>
        <w:spacing w:before="14" w:line="247" w:lineRule="auto"/>
        <w:ind w:right="2643" w:firstLine="629"/>
        <w:jc w:val="both"/>
      </w:pPr>
      <w:r>
        <w:rPr>
          <w:b/>
          <w:color w:val="0D0D0D"/>
        </w:rPr>
        <w:t>解析:</w:t>
      </w:r>
      <w:r>
        <w:rPr>
          <w:color w:val="0D0D0D"/>
          <w:spacing w:val="-1"/>
        </w:rPr>
        <w:t>用比率预测法进行企业资金需要量预测时，要利用资金需要量与相关因素间的比</w:t>
      </w:r>
      <w:r>
        <w:rPr>
          <w:color w:val="0D0D0D"/>
          <w:spacing w:val="-14"/>
        </w:rPr>
        <w:t xml:space="preserve">率关系。存货周围率，能够反映出存货的资金需要量与销售成本间的变动关系；应收账款周 </w:t>
      </w:r>
      <w:r>
        <w:rPr>
          <w:color w:val="0D0D0D"/>
          <w:spacing w:val="-15"/>
        </w:rPr>
        <w:t>转率，能够反映出应收账款占用的资金与销售收入间的变动关系。比率预测法最常用的就是资金与销售额之间的比率关系；但权益比率无法反映资金需要量，所以不选。</w:t>
      </w:r>
    </w:p>
    <w:p>
      <w:pPr>
        <w:spacing w:after="0" w:line="247" w:lineRule="auto"/>
        <w:jc w:val="both"/>
        <w:sectPr>
          <w:headerReference w:type="default" r:id="rId84"/>
          <w:footerReference w:type="default" r:id="rId85"/>
          <w:pgSz w:w="17860" w:h="25260"/>
          <w:pgMar w:top="1720" w:right="0" w:bottom="1940" w:left="0" w:header="1129" w:footer="1752"/>
          <w:pgNumType w:start="4"/>
          <w:cols w:space="708"/>
        </w:sectPr>
      </w:pPr>
    </w:p>
    <w:p>
      <w:pPr>
        <w:pStyle w:val="BodyText"/>
        <w:spacing w:before="3"/>
        <w:ind w:left="0"/>
        <w:rPr>
          <w:sz w:val="8"/>
        </w:rPr>
      </w:pPr>
    </w:p>
    <w:p>
      <w:pPr>
        <w:pStyle w:val="BodyText"/>
        <w:spacing w:before="63"/>
      </w:pPr>
      <w:r>
        <w:rPr>
          <w:color w:val="0D0D0D"/>
        </w:rPr>
        <w:t xml:space="preserve">11、相对于普通股股东而言，优先股股东所拥有的优先权是（ </w:t>
      </w:r>
      <w:r>
        <w:rPr>
          <w:color w:val="0D0D0D"/>
          <w:spacing w:val="-159"/>
        </w:rPr>
        <w:t>）</w:t>
      </w:r>
      <w:r>
        <w:rPr>
          <w:color w:val="0D0D0D"/>
        </w:rPr>
        <w:t>。</w:t>
      </w:r>
    </w:p>
    <w:p>
      <w:pPr>
        <w:pStyle w:val="BodyText"/>
        <w:tabs>
          <w:tab w:val="left" w:pos="6448"/>
          <w:tab w:val="left" w:pos="9567"/>
          <w:tab w:val="left" w:pos="13473"/>
        </w:tabs>
        <w:spacing w:before="10"/>
        <w:ind w:left="3334"/>
      </w:pPr>
      <w:r>
        <w:rPr>
          <w:color w:val="0D0D0D"/>
          <w:spacing w:val="-4"/>
        </w:rPr>
        <w:t>A</w:t>
      </w:r>
      <w:r>
        <w:rPr>
          <w:color w:val="0D0D0D"/>
        </w:rPr>
        <w:t>、优先表决权</w:t>
        <w:tab/>
        <w:t>B</w:t>
      </w:r>
      <w:r>
        <w:rPr>
          <w:color w:val="0D0D0D"/>
          <w:spacing w:val="-40"/>
        </w:rPr>
        <w:t>、</w:t>
      </w:r>
      <w:r>
        <w:rPr>
          <w:color w:val="0D0D0D"/>
        </w:rPr>
        <w:t>优先购股权</w:t>
        <w:tab/>
      </w:r>
      <w:r>
        <w:rPr>
          <w:color w:val="0D0D0D"/>
          <w:spacing w:val="-4"/>
        </w:rPr>
        <w:t>C</w:t>
      </w:r>
      <w:r>
        <w:rPr>
          <w:color w:val="0D0D0D"/>
        </w:rPr>
        <w:t>、优先分配股利权</w:t>
        <w:tab/>
      </w:r>
      <w:r>
        <w:rPr>
          <w:color w:val="0D0D0D"/>
          <w:spacing w:val="-3"/>
        </w:rPr>
        <w:t>D</w:t>
      </w:r>
      <w:r>
        <w:rPr>
          <w:color w:val="0D0D0D"/>
        </w:rPr>
        <w:t>、优先查账</w:t>
      </w:r>
    </w:p>
    <w:p>
      <w:pPr>
        <w:pStyle w:val="BodyText"/>
        <w:spacing w:before="13"/>
      </w:pPr>
      <w:r>
        <w:rPr>
          <w:color w:val="0D0D0D"/>
          <w:w w:val="102"/>
        </w:rPr>
        <w:t>权</w:t>
      </w:r>
    </w:p>
    <w:p>
      <w:pPr>
        <w:spacing w:before="10"/>
        <w:ind w:left="3330" w:right="0" w:firstLine="0"/>
        <w:jc w:val="left"/>
        <w:rPr>
          <w:sz w:val="31"/>
        </w:rPr>
      </w:pPr>
      <w:r>
        <w:rPr>
          <w:b/>
          <w:color w:val="0D0D0D"/>
          <w:sz w:val="31"/>
        </w:rPr>
        <w:t>答案:</w:t>
      </w:r>
      <w:r>
        <w:rPr>
          <w:color w:val="0D0D0D"/>
          <w:sz w:val="31"/>
        </w:rPr>
        <w:t>C</w:t>
      </w:r>
    </w:p>
    <w:p>
      <w:pPr>
        <w:pStyle w:val="BodyText"/>
        <w:spacing w:before="13"/>
        <w:ind w:left="3330"/>
      </w:pPr>
      <w:r>
        <w:rPr>
          <w:b/>
          <w:color w:val="0D0D0D"/>
        </w:rPr>
        <w:t>解析:</w:t>
      </w:r>
      <w:r>
        <w:rPr>
          <w:color w:val="0D0D0D"/>
        </w:rPr>
        <w:t>优先股的“优先”是相对普通股的“普通”而言的，这种优先权主要表现在：优</w:t>
      </w:r>
    </w:p>
    <w:p>
      <w:pPr>
        <w:pStyle w:val="BodyText"/>
        <w:spacing w:before="10"/>
      </w:pPr>
      <w:r>
        <w:rPr>
          <w:color w:val="0D0D0D"/>
        </w:rPr>
        <w:t>先分配股利权、优先分配剩余资产权、部分管理权。</w:t>
      </w:r>
    </w:p>
    <w:p>
      <w:pPr>
        <w:pStyle w:val="BodyText"/>
        <w:spacing w:before="13"/>
      </w:pPr>
      <w:r>
        <w:rPr>
          <w:color w:val="0D0D0D"/>
        </w:rPr>
        <w:t xml:space="preserve">12、下列各项资金，可以利用商业信用方式筹借的是（ </w:t>
      </w:r>
      <w:r>
        <w:rPr>
          <w:color w:val="0D0D0D"/>
          <w:spacing w:val="-162"/>
        </w:rPr>
        <w:t>）</w:t>
      </w:r>
      <w:r>
        <w:rPr>
          <w:color w:val="0D0D0D"/>
        </w:rPr>
        <w:t>。</w:t>
      </w:r>
    </w:p>
    <w:p>
      <w:pPr>
        <w:pStyle w:val="BodyText"/>
        <w:tabs>
          <w:tab w:val="left" w:pos="6805"/>
          <w:tab w:val="left" w:pos="10593"/>
          <w:tab w:val="left" w:pos="14381"/>
        </w:tabs>
        <w:spacing w:before="9" w:line="247" w:lineRule="auto"/>
        <w:ind w:right="2687" w:firstLine="633"/>
      </w:pPr>
      <w:r>
        <w:rPr>
          <w:color w:val="0D0D0D"/>
        </w:rPr>
        <w:t>A、国家财政资金</w:t>
        <w:tab/>
        <w:t>B、银行信贷资金</w:t>
        <w:tab/>
        <w:t>C、其他企业资金</w:t>
        <w:tab/>
      </w:r>
      <w:r>
        <w:rPr>
          <w:color w:val="0D0D0D"/>
          <w:spacing w:val="-4"/>
        </w:rPr>
        <w:t>D</w:t>
      </w:r>
      <w:r>
        <w:rPr>
          <w:color w:val="0D0D0D"/>
        </w:rPr>
        <w:t>、</w:t>
      </w:r>
      <w:r>
        <w:rPr>
          <w:color w:val="0D0D0D"/>
          <w:spacing w:val="-17"/>
        </w:rPr>
        <w:t>企</w:t>
      </w:r>
      <w:r>
        <w:rPr>
          <w:color w:val="0D0D0D"/>
        </w:rPr>
        <w:t>业自留资金</w:t>
      </w:r>
    </w:p>
    <w:p>
      <w:pPr>
        <w:spacing w:before="0" w:line="396" w:lineRule="exact"/>
        <w:ind w:left="3330" w:right="0" w:firstLine="0"/>
        <w:jc w:val="left"/>
        <w:rPr>
          <w:sz w:val="31"/>
        </w:rPr>
      </w:pPr>
      <w:r>
        <w:rPr>
          <w:b/>
          <w:color w:val="0D0D0D"/>
          <w:sz w:val="31"/>
        </w:rPr>
        <w:t>答案:</w:t>
      </w:r>
      <w:r>
        <w:rPr>
          <w:color w:val="0D0D0D"/>
          <w:sz w:val="31"/>
        </w:rPr>
        <w:t>C</w:t>
      </w:r>
    </w:p>
    <w:p>
      <w:pPr>
        <w:pStyle w:val="BodyText"/>
        <w:spacing w:before="14" w:line="244" w:lineRule="auto"/>
        <w:ind w:right="2643" w:firstLine="629"/>
      </w:pPr>
      <w:r>
        <w:rPr>
          <w:b/>
          <w:color w:val="0D0D0D"/>
        </w:rPr>
        <w:t>解析:</w:t>
      </w:r>
      <w:r>
        <w:rPr>
          <w:color w:val="0D0D0D"/>
        </w:rPr>
        <w:t>商业信用是指商品交易中的延期付款或延期交货所形成的借贷关系，是企业之间的一种直接信用关系。</w:t>
      </w:r>
    </w:p>
    <w:p>
      <w:pPr>
        <w:pStyle w:val="BodyText"/>
        <w:tabs>
          <w:tab w:val="left" w:pos="7428"/>
        </w:tabs>
        <w:spacing w:before="7" w:line="244" w:lineRule="auto"/>
        <w:ind w:left="3334" w:right="7104" w:hanging="634"/>
      </w:pPr>
      <w:r>
        <w:rPr>
          <w:color w:val="0D0D0D"/>
        </w:rPr>
        <w:t xml:space="preserve">13、下列各种筹资渠道中，属于企业自留资金的是（ </w:t>
      </w:r>
      <w:r>
        <w:rPr>
          <w:color w:val="0D0D0D"/>
          <w:spacing w:val="4"/>
        </w:rPr>
        <w:t xml:space="preserve"> </w:t>
      </w:r>
      <w:r>
        <w:rPr>
          <w:color w:val="0D0D0D"/>
          <w:spacing w:val="-159"/>
        </w:rPr>
        <w:t>）</w:t>
      </w:r>
      <w:r>
        <w:rPr>
          <w:color w:val="0D0D0D"/>
        </w:rPr>
        <w:t>。</w:t>
      </w:r>
      <w:r>
        <w:rPr>
          <w:color w:val="0D0D0D"/>
          <w:spacing w:val="-4"/>
        </w:rPr>
        <w:t>A</w:t>
      </w:r>
      <w:r>
        <w:rPr>
          <w:color w:val="0D0D0D"/>
        </w:rPr>
        <w:t>、银行信贷资金</w:t>
        <w:tab/>
        <w:t>B、非银行金融机构资</w:t>
      </w:r>
      <w:r>
        <w:rPr>
          <w:color w:val="0D0D0D"/>
          <w:spacing w:val="-19"/>
        </w:rPr>
        <w:t>金</w:t>
      </w:r>
    </w:p>
    <w:p>
      <w:pPr>
        <w:pStyle w:val="BodyText"/>
        <w:tabs>
          <w:tab w:val="left" w:pos="7431"/>
        </w:tabs>
        <w:spacing w:before="7" w:line="244" w:lineRule="auto"/>
        <w:ind w:left="3330" w:right="5835" w:firstLine="3"/>
      </w:pPr>
      <w:r>
        <w:rPr>
          <w:color w:val="0D0D0D"/>
          <w:spacing w:val="-4"/>
        </w:rPr>
        <w:t>C</w:t>
      </w:r>
      <w:r>
        <w:rPr>
          <w:color w:val="0D0D0D"/>
        </w:rPr>
        <w:t>、企业提取的公积金</w:t>
        <w:tab/>
      </w:r>
      <w:r>
        <w:rPr>
          <w:color w:val="0D0D0D"/>
          <w:spacing w:val="-4"/>
        </w:rPr>
        <w:t>D</w:t>
      </w:r>
      <w:r>
        <w:rPr>
          <w:color w:val="0D0D0D"/>
        </w:rPr>
        <w:t>、职工购买企业债券的投入资</w:t>
      </w:r>
      <w:r>
        <w:rPr>
          <w:color w:val="0D0D0D"/>
          <w:spacing w:val="-17"/>
        </w:rPr>
        <w:t>金</w:t>
      </w:r>
      <w:r>
        <w:rPr>
          <w:b/>
          <w:color w:val="0D0D0D"/>
        </w:rPr>
        <w:t>答案:</w:t>
      </w:r>
      <w:r>
        <w:rPr>
          <w:color w:val="0D0D0D"/>
        </w:rPr>
        <w:t>C</w:t>
      </w:r>
    </w:p>
    <w:p>
      <w:pPr>
        <w:pStyle w:val="BodyText"/>
        <w:spacing w:before="7" w:line="244" w:lineRule="auto"/>
        <w:ind w:right="2643" w:firstLine="629"/>
      </w:pPr>
      <w:r>
        <w:rPr>
          <w:b/>
          <w:color w:val="0D0D0D"/>
        </w:rPr>
        <w:t>解析:</w:t>
      </w:r>
      <w:r>
        <w:rPr>
          <w:color w:val="0D0D0D"/>
        </w:rPr>
        <w:t>企业自留资金是指企业内部形成的资金，主要包括计提折旧、提取公积金和未分配利润等。这些资金的特征是直接由企业内部自动生成或转移。</w:t>
      </w:r>
    </w:p>
    <w:p>
      <w:pPr>
        <w:pStyle w:val="BodyText"/>
        <w:spacing w:before="7" w:line="244" w:lineRule="auto"/>
        <w:ind w:right="2534"/>
      </w:pPr>
      <w:r>
        <w:rPr>
          <w:color w:val="0D0D0D"/>
        </w:rPr>
        <w:t>14、某企业变动资产和变动负债占销售收入的百分比分别为0.66</w:t>
      </w:r>
      <w:r>
        <w:rPr>
          <w:color w:val="0D0D0D"/>
          <w:spacing w:val="-5"/>
        </w:rPr>
        <w:t xml:space="preserve"> 和 </w:t>
      </w:r>
      <w:r>
        <w:rPr>
          <w:color w:val="0D0D0D"/>
        </w:rPr>
        <w:t>0.06，计划销售净利率</w:t>
      </w:r>
      <w:r>
        <w:rPr>
          <w:color w:val="0D0D0D"/>
          <w:w w:val="102"/>
        </w:rPr>
        <w:t>为</w:t>
      </w:r>
      <w:r>
        <w:rPr>
          <w:color w:val="0D0D0D"/>
          <w:spacing w:val="-76"/>
        </w:rPr>
        <w:t xml:space="preserve"> </w:t>
      </w:r>
      <w:r>
        <w:rPr>
          <w:color w:val="0D0D0D"/>
          <w:w w:val="102"/>
        </w:rPr>
        <w:t>5%</w:t>
      </w:r>
      <w:r>
        <w:rPr>
          <w:color w:val="0D0D0D"/>
          <w:spacing w:val="-24"/>
          <w:w w:val="102"/>
        </w:rPr>
        <w:t>，股利支付率为</w:t>
      </w:r>
      <w:r>
        <w:rPr>
          <w:color w:val="0D0D0D"/>
          <w:spacing w:val="-87"/>
        </w:rPr>
        <w:t xml:space="preserve"> </w:t>
      </w:r>
      <w:r>
        <w:rPr>
          <w:color w:val="0D0D0D"/>
          <w:w w:val="102"/>
        </w:rPr>
        <w:t>40</w:t>
      </w:r>
      <w:r>
        <w:rPr>
          <w:color w:val="0D0D0D"/>
          <w:spacing w:val="-14"/>
          <w:w w:val="102"/>
        </w:rPr>
        <w:t>%，如果预计该企业的外界融资额为零</w:t>
      </w:r>
      <w:r>
        <w:rPr>
          <w:color w:val="0D0D0D"/>
          <w:spacing w:val="-31"/>
          <w:w w:val="102"/>
        </w:rPr>
        <w:t>，则该企业的销售增长率为</w:t>
      </w:r>
      <w:r>
        <w:rPr>
          <w:color w:val="0D0D0D"/>
          <w:w w:val="102"/>
        </w:rPr>
        <w:t>（</w:t>
      </w:r>
      <w:r>
        <w:rPr>
          <w:color w:val="0D0D0D"/>
        </w:rPr>
        <w:t xml:space="preserve"> </w:t>
      </w:r>
      <w:r>
        <w:rPr>
          <w:color w:val="0D0D0D"/>
          <w:spacing w:val="-159"/>
          <w:w w:val="102"/>
        </w:rPr>
        <w:t>）</w:t>
      </w:r>
      <w:r>
        <w:rPr>
          <w:color w:val="0D0D0D"/>
          <w:spacing w:val="-15"/>
          <w:w w:val="102"/>
        </w:rPr>
        <w:t>。</w:t>
      </w:r>
    </w:p>
    <w:p>
      <w:pPr>
        <w:pStyle w:val="BodyText"/>
        <w:tabs>
          <w:tab w:val="left" w:pos="5857"/>
          <w:tab w:val="left" w:pos="8375"/>
          <w:tab w:val="left" w:pos="10737"/>
        </w:tabs>
        <w:spacing w:before="7"/>
        <w:ind w:left="3334"/>
      </w:pPr>
      <w:r>
        <w:rPr>
          <w:color w:val="0D0D0D"/>
          <w:spacing w:val="-4"/>
        </w:rPr>
        <w:t>A</w:t>
      </w:r>
      <w:r>
        <w:rPr>
          <w:color w:val="0D0D0D"/>
        </w:rPr>
        <w:t>、5.26%</w:t>
        <w:tab/>
      </w:r>
      <w:r>
        <w:rPr>
          <w:color w:val="0D0D0D"/>
          <w:spacing w:val="-7"/>
        </w:rPr>
        <w:t>B</w:t>
      </w:r>
      <w:r>
        <w:rPr>
          <w:color w:val="0D0D0D"/>
          <w:spacing w:val="-4"/>
        </w:rPr>
        <w:t>、</w:t>
      </w:r>
      <w:r>
        <w:rPr>
          <w:color w:val="0D0D0D"/>
        </w:rPr>
        <w:t>6.34%</w:t>
        <w:tab/>
      </w:r>
      <w:r>
        <w:rPr>
          <w:color w:val="0D0D0D"/>
          <w:spacing w:val="-4"/>
        </w:rPr>
        <w:t>C</w:t>
      </w:r>
      <w:r>
        <w:rPr>
          <w:color w:val="0D0D0D"/>
        </w:rPr>
        <w:t>、4.78%</w:t>
        <w:tab/>
        <w:t>D、9.09%</w:t>
      </w:r>
    </w:p>
    <w:p>
      <w:pPr>
        <w:spacing w:before="10"/>
        <w:ind w:left="3330" w:right="0" w:firstLine="0"/>
        <w:jc w:val="left"/>
        <w:rPr>
          <w:sz w:val="31"/>
        </w:rPr>
      </w:pPr>
      <w:r>
        <w:rPr>
          <w:b/>
          <w:color w:val="0D0D0D"/>
          <w:sz w:val="31"/>
        </w:rPr>
        <w:t>答案:</w:t>
      </w:r>
      <w:r>
        <w:rPr>
          <w:color w:val="0D0D0D"/>
          <w:sz w:val="31"/>
        </w:rPr>
        <w:t>A</w:t>
      </w:r>
    </w:p>
    <w:p>
      <w:pPr>
        <w:pStyle w:val="BodyText"/>
        <w:spacing w:before="9"/>
        <w:ind w:left="3330"/>
      </w:pPr>
      <w:r>
        <w:rPr>
          <w:b/>
          <w:color w:val="0D0D0D"/>
        </w:rPr>
        <w:t>解析:</w:t>
      </w:r>
      <w:r>
        <w:rPr>
          <w:color w:val="0D0D0D"/>
        </w:rPr>
        <w:t>假设销售增长就率为 g，△s=slg，根据外界资金需要求量计算公式：0.66×△S</w:t>
      </w:r>
    </w:p>
    <w:p>
      <w:pPr>
        <w:pStyle w:val="BodyText"/>
        <w:spacing w:before="14"/>
      </w:pPr>
      <w:r>
        <w:rPr>
          <w:color w:val="0D0D0D"/>
        </w:rPr>
        <w:t>－0.06×△S－5%×(1－40%)×Sl×（1+g）=0，解得，g=5.26%。</w:t>
      </w:r>
    </w:p>
    <w:p>
      <w:pPr>
        <w:pStyle w:val="BodyText"/>
        <w:spacing w:before="9"/>
      </w:pPr>
      <w:r>
        <w:rPr>
          <w:color w:val="0D0D0D"/>
        </w:rPr>
        <w:t>15、按照筹资的取得方式不同,可分为( )。</w:t>
      </w:r>
    </w:p>
    <w:p>
      <w:pPr>
        <w:pStyle w:val="BodyText"/>
        <w:spacing w:before="14" w:line="247" w:lineRule="auto"/>
        <w:ind w:left="3330" w:right="6631" w:firstLine="3"/>
        <w:jc w:val="both"/>
      </w:pPr>
      <w:r>
        <w:rPr>
          <w:color w:val="0D0D0D"/>
        </w:rPr>
        <w:t>A、权益筹资和负债筹资        B、内源筹资和外源筹资C、直接筹资和间接筹资       D、表内筹资和表外筹资</w:t>
      </w:r>
      <w:r>
        <w:rPr>
          <w:b/>
          <w:color w:val="0D0D0D"/>
        </w:rPr>
        <w:t>答案:</w:t>
      </w:r>
      <w:r>
        <w:rPr>
          <w:color w:val="0D0D0D"/>
        </w:rPr>
        <w:t>B</w:t>
      </w:r>
    </w:p>
    <w:p>
      <w:pPr>
        <w:pStyle w:val="BodyText"/>
        <w:spacing w:line="394" w:lineRule="exact"/>
        <w:ind w:left="3330"/>
        <w:jc w:val="both"/>
      </w:pPr>
      <w:r>
        <w:rPr>
          <w:b/>
          <w:color w:val="0D0D0D"/>
        </w:rPr>
        <w:t>解析:</w:t>
      </w:r>
      <w:r>
        <w:rPr>
          <w:color w:val="0D0D0D"/>
        </w:rPr>
        <w:t>参见教材 57 页筹资的分类。</w:t>
      </w:r>
    </w:p>
    <w:p>
      <w:pPr>
        <w:pStyle w:val="BodyText"/>
        <w:spacing w:before="13"/>
      </w:pPr>
      <w:r>
        <w:rPr>
          <w:color w:val="0D0D0D"/>
        </w:rPr>
        <w:t xml:space="preserve">16、运用定性预测法预测企业资金需要量的不足之处是（ </w:t>
      </w:r>
      <w:r>
        <w:rPr>
          <w:color w:val="0D0D0D"/>
          <w:spacing w:val="-159"/>
        </w:rPr>
        <w:t>）</w:t>
      </w:r>
      <w:r>
        <w:rPr>
          <w:color w:val="0D0D0D"/>
        </w:rPr>
        <w:t>。</w:t>
      </w:r>
    </w:p>
    <w:p>
      <w:pPr>
        <w:pStyle w:val="BodyText"/>
        <w:tabs>
          <w:tab w:val="left" w:pos="8846"/>
        </w:tabs>
        <w:spacing w:before="9"/>
        <w:ind w:left="3334"/>
      </w:pPr>
      <w:r>
        <w:rPr>
          <w:color w:val="0D0D0D"/>
          <w:spacing w:val="-4"/>
        </w:rPr>
        <w:t>A</w:t>
      </w:r>
      <w:r>
        <w:rPr>
          <w:color w:val="0D0D0D"/>
        </w:rPr>
        <w:t>、预测过程复杂</w:t>
        <w:tab/>
      </w:r>
      <w:r>
        <w:rPr>
          <w:color w:val="0D0D0D"/>
          <w:spacing w:val="-4"/>
        </w:rPr>
        <w:t>B</w:t>
      </w:r>
      <w:r>
        <w:rPr>
          <w:color w:val="0D0D0D"/>
        </w:rPr>
        <w:t>、所需资料不易取得</w:t>
      </w:r>
    </w:p>
    <w:p>
      <w:pPr>
        <w:pStyle w:val="BodyText"/>
        <w:tabs>
          <w:tab w:val="left" w:pos="9015"/>
        </w:tabs>
        <w:spacing w:before="14" w:line="244" w:lineRule="auto"/>
        <w:ind w:right="2667" w:firstLine="633"/>
      </w:pPr>
      <w:r>
        <w:rPr>
          <w:color w:val="0D0D0D"/>
        </w:rPr>
        <w:t>C、完全依靠个人的经验和主观判断</w:t>
        <w:tab/>
      </w:r>
      <w:r>
        <w:rPr>
          <w:color w:val="0D0D0D"/>
          <w:spacing w:val="-4"/>
        </w:rPr>
        <w:t>D</w:t>
      </w:r>
      <w:r>
        <w:rPr>
          <w:color w:val="0D0D0D"/>
        </w:rPr>
        <w:t>、不能提示资金需要量与有关因素之间的</w:t>
      </w:r>
      <w:r>
        <w:rPr>
          <w:color w:val="0D0D0D"/>
          <w:spacing w:val="-17"/>
        </w:rPr>
        <w:t>数</w:t>
      </w:r>
      <w:r>
        <w:rPr>
          <w:color w:val="0D0D0D"/>
        </w:rPr>
        <w:t>量关系</w:t>
      </w:r>
    </w:p>
    <w:p>
      <w:pPr>
        <w:spacing w:before="6"/>
        <w:ind w:left="3330" w:right="0" w:firstLine="0"/>
        <w:jc w:val="left"/>
        <w:rPr>
          <w:sz w:val="31"/>
        </w:rPr>
      </w:pPr>
      <w:r>
        <w:rPr>
          <w:b/>
          <w:color w:val="0D0D0D"/>
          <w:sz w:val="31"/>
        </w:rPr>
        <w:t>答案:</w:t>
      </w:r>
      <w:r>
        <w:rPr>
          <w:color w:val="0D0D0D"/>
          <w:sz w:val="31"/>
        </w:rPr>
        <w:t>D</w:t>
      </w:r>
    </w:p>
    <w:p>
      <w:pPr>
        <w:pStyle w:val="BodyText"/>
        <w:spacing w:before="10" w:line="247" w:lineRule="auto"/>
        <w:ind w:right="2643" w:firstLine="629"/>
      </w:pPr>
      <w:r>
        <w:rPr>
          <w:b/>
          <w:color w:val="0D0D0D"/>
        </w:rPr>
        <w:t>解析:</w:t>
      </w:r>
      <w:r>
        <w:rPr>
          <w:color w:val="0D0D0D"/>
        </w:rPr>
        <w:t>定性预测法的主要缺陷在于欠缺科学性和客观性，且不能揭示资金需要量与有关因素之间的数量关系。</w:t>
      </w:r>
    </w:p>
    <w:p>
      <w:pPr>
        <w:pStyle w:val="BodyText"/>
        <w:spacing w:line="396" w:lineRule="exact"/>
      </w:pPr>
      <w:r>
        <w:rPr>
          <w:color w:val="0D0D0D"/>
        </w:rPr>
        <w:t xml:space="preserve">17、企业发行信用债券时最重要的限制条件是（ </w:t>
      </w:r>
      <w:r>
        <w:rPr>
          <w:color w:val="0D0D0D"/>
          <w:spacing w:val="-162"/>
        </w:rPr>
        <w:t>）</w:t>
      </w:r>
      <w:r>
        <w:rPr>
          <w:color w:val="0D0D0D"/>
        </w:rPr>
        <w:t>。</w:t>
      </w:r>
    </w:p>
    <w:p>
      <w:pPr>
        <w:pStyle w:val="BodyText"/>
        <w:tabs>
          <w:tab w:val="left" w:pos="6647"/>
          <w:tab w:val="left" w:pos="10276"/>
          <w:tab w:val="left" w:pos="14381"/>
        </w:tabs>
        <w:spacing w:before="13" w:line="244" w:lineRule="auto"/>
        <w:ind w:right="2684" w:firstLine="633"/>
      </w:pPr>
      <w:r>
        <w:rPr>
          <w:color w:val="0D0D0D"/>
          <w:spacing w:val="-4"/>
        </w:rPr>
        <w:t>A</w:t>
      </w:r>
      <w:r>
        <w:rPr>
          <w:color w:val="0D0D0D"/>
        </w:rPr>
        <w:t>、抵押条款</w:t>
        <w:tab/>
        <w:t>B、反抵押条款</w:t>
        <w:tab/>
        <w:t>C、流动性要求条款</w:t>
        <w:tab/>
        <w:t>D、</w:t>
      </w:r>
      <w:r>
        <w:rPr>
          <w:color w:val="0D0D0D"/>
          <w:spacing w:val="-18"/>
        </w:rPr>
        <w:t>物</w:t>
      </w:r>
      <w:r>
        <w:rPr>
          <w:color w:val="0D0D0D"/>
        </w:rPr>
        <w:t>资保证条款</w:t>
      </w:r>
    </w:p>
    <w:p>
      <w:pPr>
        <w:spacing w:before="7"/>
        <w:ind w:left="3330" w:right="0" w:firstLine="0"/>
        <w:jc w:val="left"/>
        <w:rPr>
          <w:sz w:val="31"/>
        </w:rPr>
      </w:pPr>
      <w:r>
        <w:rPr>
          <w:b/>
          <w:color w:val="0D0D0D"/>
          <w:sz w:val="31"/>
        </w:rPr>
        <w:t>答案:</w:t>
      </w:r>
      <w:r>
        <w:rPr>
          <w:color w:val="0D0D0D"/>
          <w:sz w:val="31"/>
        </w:rPr>
        <w:t>B</w:t>
      </w:r>
    </w:p>
    <w:p>
      <w:pPr>
        <w:pStyle w:val="BodyText"/>
        <w:spacing w:before="11" w:line="247" w:lineRule="auto"/>
        <w:ind w:right="2643" w:firstLine="629"/>
      </w:pPr>
      <w:r>
        <w:rPr>
          <w:b/>
          <w:color w:val="0D0D0D"/>
        </w:rPr>
        <w:t>解析:</w:t>
      </w:r>
      <w:r>
        <w:rPr>
          <w:color w:val="0D0D0D"/>
        </w:rPr>
        <w:t>企业发行信用债券时往往有许多限制条件，其中最重要的是反抵押条款，即禁止企业将其资产抵押给其他债权人。</w:t>
      </w:r>
    </w:p>
    <w:p>
      <w:pPr>
        <w:pStyle w:val="BodyText"/>
        <w:spacing w:line="396" w:lineRule="exact"/>
      </w:pPr>
      <w:r>
        <w:rPr>
          <w:color w:val="0D0D0D"/>
        </w:rPr>
        <w:t xml:space="preserve">18、发行浮动利率债券的主要目的是（ </w:t>
      </w:r>
      <w:r>
        <w:rPr>
          <w:color w:val="0D0D0D"/>
          <w:spacing w:val="-162"/>
        </w:rPr>
        <w:t>）</w:t>
      </w:r>
      <w:r>
        <w:rPr>
          <w:color w:val="0D0D0D"/>
        </w:rPr>
        <w:t>。</w:t>
      </w:r>
    </w:p>
    <w:p>
      <w:pPr>
        <w:pStyle w:val="BodyText"/>
        <w:tabs>
          <w:tab w:val="left" w:pos="8526"/>
        </w:tabs>
        <w:spacing w:before="9" w:line="247" w:lineRule="auto"/>
        <w:ind w:left="3330" w:right="5684" w:firstLine="3"/>
        <w:jc w:val="both"/>
      </w:pPr>
      <w:r>
        <w:rPr>
          <w:color w:val="0D0D0D"/>
          <w:spacing w:val="-4"/>
        </w:rPr>
        <w:t>A</w:t>
      </w:r>
      <w:r>
        <w:rPr>
          <w:color w:val="0D0D0D"/>
        </w:rPr>
        <w:t xml:space="preserve">、增加债券持有人的收益          </w:t>
      </w:r>
      <w:r>
        <w:rPr>
          <w:color w:val="0D0D0D"/>
          <w:spacing w:val="5"/>
        </w:rPr>
        <w:t xml:space="preserve"> </w:t>
      </w:r>
      <w:r>
        <w:rPr>
          <w:color w:val="0D0D0D"/>
        </w:rPr>
        <w:t>B、可使企业融资具有弹</w:t>
      </w:r>
      <w:r>
        <w:rPr>
          <w:color w:val="0D0D0D"/>
          <w:spacing w:val="-16"/>
        </w:rPr>
        <w:t>性</w:t>
      </w:r>
      <w:r>
        <w:rPr>
          <w:color w:val="0D0D0D"/>
          <w:spacing w:val="-4"/>
        </w:rPr>
        <w:t>C</w:t>
      </w:r>
      <w:r>
        <w:rPr>
          <w:color w:val="0D0D0D"/>
        </w:rPr>
        <w:t>、为了对付通货膨胀</w:t>
        <w:tab/>
        <w:t>D、遵循公司法的有关规</w:t>
      </w:r>
      <w:r>
        <w:rPr>
          <w:color w:val="0D0D0D"/>
          <w:spacing w:val="-14"/>
        </w:rPr>
        <w:t>定</w:t>
      </w:r>
      <w:r>
        <w:rPr>
          <w:b/>
          <w:color w:val="0D0D0D"/>
        </w:rPr>
        <w:t>答案:</w:t>
      </w:r>
      <w:r>
        <w:rPr>
          <w:color w:val="0D0D0D"/>
        </w:rPr>
        <w:t>C</w:t>
      </w:r>
    </w:p>
    <w:p>
      <w:pPr>
        <w:pStyle w:val="BodyText"/>
        <w:spacing w:before="1" w:line="244" w:lineRule="auto"/>
        <w:ind w:right="2643" w:firstLine="629"/>
      </w:pPr>
      <w:r>
        <w:rPr>
          <w:b/>
          <w:color w:val="0D0D0D"/>
        </w:rPr>
        <w:t>解析:</w:t>
      </w:r>
      <w:r>
        <w:rPr>
          <w:color w:val="0D0D0D"/>
        </w:rPr>
        <w:t>浮动利率债券是指利息率随基本利率变动而变动的债券。发行浮动利率债券的主要目的是为了对付通货膨胀。</w:t>
      </w:r>
    </w:p>
    <w:p>
      <w:pPr>
        <w:pStyle w:val="BodyText"/>
        <w:tabs>
          <w:tab w:val="left" w:pos="6481"/>
          <w:tab w:val="left" w:pos="9318"/>
          <w:tab w:val="left" w:pos="12151"/>
        </w:tabs>
        <w:spacing w:before="7" w:line="247" w:lineRule="auto"/>
        <w:ind w:left="3330" w:right="3959" w:hanging="630"/>
      </w:pPr>
      <w:r>
        <w:rPr>
          <w:color w:val="0D0D0D"/>
        </w:rPr>
        <w:t xml:space="preserve">19、出租人既出租某项资产，又以该项资产为担保借入资金的租赁方式是（ </w:t>
      </w:r>
      <w:r>
        <w:rPr>
          <w:color w:val="0D0D0D"/>
          <w:spacing w:val="49"/>
        </w:rPr>
        <w:t xml:space="preserve"> </w:t>
      </w:r>
      <w:r>
        <w:rPr>
          <w:color w:val="0D0D0D"/>
          <w:spacing w:val="-159"/>
        </w:rPr>
        <w:t>）</w:t>
      </w:r>
      <w:r>
        <w:rPr>
          <w:color w:val="0D0D0D"/>
        </w:rPr>
        <w:t>。</w:t>
      </w:r>
      <w:r>
        <w:rPr>
          <w:color w:val="0D0D0D"/>
          <w:spacing w:val="-4"/>
        </w:rPr>
        <w:t>A</w:t>
      </w:r>
      <w:r>
        <w:rPr>
          <w:color w:val="0D0D0D"/>
        </w:rPr>
        <w:t>、经营租赁</w:t>
        <w:tab/>
        <w:t>B、售后回租</w:t>
        <w:tab/>
      </w:r>
      <w:r>
        <w:rPr>
          <w:color w:val="0D0D0D"/>
          <w:spacing w:val="-3"/>
        </w:rPr>
        <w:t>C</w:t>
      </w:r>
      <w:r>
        <w:rPr>
          <w:color w:val="0D0D0D"/>
        </w:rPr>
        <w:t>、杠杆租赁</w:t>
        <w:tab/>
        <w:t>D、直接租</w:t>
      </w:r>
      <w:r>
        <w:rPr>
          <w:color w:val="0D0D0D"/>
          <w:spacing w:val="-13"/>
        </w:rPr>
        <w:t>赁</w:t>
      </w:r>
      <w:r>
        <w:rPr>
          <w:b/>
          <w:color w:val="0D0D0D"/>
        </w:rPr>
        <w:t>答案:</w:t>
      </w:r>
      <w:r>
        <w:rPr>
          <w:color w:val="0D0D0D"/>
        </w:rPr>
        <w:t>C</w:t>
      </w:r>
    </w:p>
    <w:p>
      <w:pPr>
        <w:spacing w:after="0" w:line="247" w:lineRule="auto"/>
        <w:sectPr>
          <w:headerReference w:type="default" r:id="rId86"/>
          <w:footerReference w:type="default" r:id="rId87"/>
          <w:pgSz w:w="17860" w:h="25260"/>
          <w:pgMar w:top="1720" w:right="0" w:bottom="1940" w:left="0" w:header="1129" w:footer="1752"/>
          <w:pgNumType w:start="5"/>
          <w:cols w:space="708"/>
        </w:sectPr>
      </w:pPr>
    </w:p>
    <w:p>
      <w:pPr>
        <w:pStyle w:val="BodyText"/>
        <w:spacing w:before="3"/>
        <w:ind w:left="0"/>
        <w:rPr>
          <w:sz w:val="8"/>
        </w:rPr>
      </w:pPr>
    </w:p>
    <w:p>
      <w:pPr>
        <w:pStyle w:val="BodyText"/>
        <w:spacing w:before="63" w:line="247" w:lineRule="auto"/>
        <w:ind w:right="2643" w:firstLine="629"/>
        <w:jc w:val="both"/>
      </w:pPr>
      <w:r>
        <w:rPr>
          <w:b/>
          <w:color w:val="0D0D0D"/>
        </w:rPr>
        <w:t>解析:</w:t>
      </w:r>
      <w:r>
        <w:rPr>
          <w:color w:val="0D0D0D"/>
          <w:spacing w:val="-1"/>
        </w:rPr>
        <w:t>杠杆租赁要涉及承租人、出租人和资金出借者三方当事人，出租人只出购买资产</w:t>
      </w:r>
      <w:r>
        <w:rPr>
          <w:color w:val="0D0D0D"/>
          <w:spacing w:val="-13"/>
        </w:rPr>
        <w:t>所需的部分资金，另外以该资产作为担保向资金出借者借入其余资金，因此，出租人又是借 款人，同时拥有对资产的所有权，既收取租金又要偿付债务。</w:t>
      </w:r>
    </w:p>
    <w:p>
      <w:pPr>
        <w:pStyle w:val="BodyText"/>
        <w:spacing w:line="247" w:lineRule="auto"/>
        <w:ind w:right="2543"/>
      </w:pPr>
      <w:r>
        <w:rPr>
          <w:color w:val="0D0D0D"/>
        </w:rPr>
        <w:t>20</w:t>
      </w:r>
      <w:r>
        <w:rPr>
          <w:color w:val="0D0D0D"/>
          <w:spacing w:val="1"/>
        </w:rPr>
        <w:t>、某企业发行期限为五年的可转换债券，每张债券面值为</w:t>
      </w:r>
      <w:r>
        <w:rPr>
          <w:color w:val="0D0D0D"/>
        </w:rPr>
        <w:t>10</w:t>
      </w:r>
      <w:r>
        <w:rPr>
          <w:color w:val="0D0D0D"/>
          <w:spacing w:val="-2"/>
        </w:rPr>
        <w:t xml:space="preserve"> 万元，发行价为 </w:t>
      </w:r>
      <w:r>
        <w:rPr>
          <w:color w:val="0D0D0D"/>
        </w:rPr>
        <w:t>10.5</w:t>
      </w:r>
      <w:r>
        <w:rPr>
          <w:color w:val="0D0D0D"/>
          <w:spacing w:val="-3"/>
        </w:rPr>
        <w:t xml:space="preserve"> 万元， </w:t>
      </w:r>
      <w:r>
        <w:rPr>
          <w:color w:val="0D0D0D"/>
          <w:spacing w:val="4"/>
        </w:rPr>
        <w:t xml:space="preserve">共发行 </w:t>
      </w:r>
      <w:r>
        <w:rPr>
          <w:color w:val="0D0D0D"/>
        </w:rPr>
        <w:t>100</w:t>
      </w:r>
      <w:r>
        <w:rPr>
          <w:color w:val="0D0D0D"/>
          <w:spacing w:val="1"/>
        </w:rPr>
        <w:t xml:space="preserve"> 张，年利率为 </w:t>
      </w:r>
      <w:r>
        <w:rPr>
          <w:color w:val="0D0D0D"/>
        </w:rPr>
        <w:t>10％，到期还本付息，两年后可转换为普通股，第三年末该债券</w:t>
      </w:r>
      <w:r>
        <w:rPr>
          <w:color w:val="0D0D0D"/>
          <w:spacing w:val="-9"/>
        </w:rPr>
        <w:t xml:space="preserve">一次全部转换为普通股 </w:t>
      </w:r>
      <w:r>
        <w:rPr>
          <w:color w:val="0D0D0D"/>
        </w:rPr>
        <w:t>200</w:t>
      </w:r>
      <w:r>
        <w:rPr>
          <w:color w:val="0D0D0D"/>
          <w:spacing w:val="-10"/>
        </w:rPr>
        <w:t xml:space="preserve"> 万股，其转换价格为</w:t>
      </w:r>
      <w:r>
        <w:rPr>
          <w:color w:val="0D0D0D"/>
        </w:rPr>
        <w:t xml:space="preserve">（ </w:t>
      </w:r>
      <w:r>
        <w:rPr>
          <w:color w:val="0D0D0D"/>
          <w:spacing w:val="-159"/>
        </w:rPr>
        <w:t>）</w:t>
      </w:r>
      <w:r>
        <w:rPr>
          <w:color w:val="0D0D0D"/>
        </w:rPr>
        <w:t>。</w:t>
      </w:r>
    </w:p>
    <w:p>
      <w:pPr>
        <w:pStyle w:val="BodyText"/>
        <w:tabs>
          <w:tab w:val="left" w:pos="5065"/>
          <w:tab w:val="left" w:pos="6956"/>
          <w:tab w:val="left" w:pos="9159"/>
        </w:tabs>
        <w:ind w:left="3334"/>
      </w:pPr>
      <w:r>
        <w:rPr>
          <w:color w:val="0D0D0D"/>
          <w:spacing w:val="-4"/>
        </w:rPr>
        <w:t>A</w:t>
      </w:r>
      <w:r>
        <w:rPr>
          <w:color w:val="0D0D0D"/>
        </w:rPr>
        <w:t>、2</w:t>
        <w:tab/>
        <w:t>B</w:t>
      </w:r>
      <w:r>
        <w:rPr>
          <w:color w:val="0D0D0D"/>
          <w:spacing w:val="-4"/>
        </w:rPr>
        <w:t>、</w:t>
      </w:r>
      <w:r>
        <w:rPr>
          <w:color w:val="0D0D0D"/>
        </w:rPr>
        <w:t>5</w:t>
        <w:tab/>
      </w:r>
      <w:r>
        <w:rPr>
          <w:color w:val="0D0D0D"/>
          <w:spacing w:val="-4"/>
        </w:rPr>
        <w:t>C</w:t>
      </w:r>
      <w:r>
        <w:rPr>
          <w:color w:val="0D0D0D"/>
        </w:rPr>
        <w:t>、6.5</w:t>
        <w:tab/>
        <w:t>D、6.5</w:t>
      </w:r>
    </w:p>
    <w:p>
      <w:pPr>
        <w:spacing w:before="7"/>
        <w:ind w:left="3330" w:right="0" w:firstLine="0"/>
        <w:jc w:val="left"/>
        <w:rPr>
          <w:sz w:val="31"/>
        </w:rPr>
      </w:pPr>
      <w:r>
        <w:rPr>
          <w:b/>
          <w:color w:val="0D0D0D"/>
          <w:sz w:val="31"/>
        </w:rPr>
        <w:t>答案:</w:t>
      </w:r>
      <w:r>
        <w:rPr>
          <w:color w:val="0D0D0D"/>
          <w:sz w:val="31"/>
        </w:rPr>
        <w:t>B</w:t>
      </w:r>
    </w:p>
    <w:p>
      <w:pPr>
        <w:spacing w:before="13" w:line="244" w:lineRule="auto"/>
        <w:ind w:left="2700" w:right="5223" w:firstLine="629"/>
        <w:jc w:val="left"/>
        <w:rPr>
          <w:b/>
          <w:sz w:val="31"/>
        </w:rPr>
      </w:pPr>
      <w:r>
        <w:rPr>
          <w:b/>
          <w:color w:val="0D0D0D"/>
          <w:sz w:val="31"/>
        </w:rPr>
        <w:t>解析:</w:t>
      </w:r>
      <w:r>
        <w:rPr>
          <w:color w:val="0D0D0D"/>
          <w:sz w:val="31"/>
        </w:rPr>
        <w:t>转换比率＝200/100＝2 万股/张，转换价格＝10/2＝5 元/股。</w:t>
      </w:r>
      <w:r>
        <w:rPr>
          <w:b/>
          <w:color w:val="0D0D0D"/>
          <w:sz w:val="31"/>
        </w:rPr>
        <w:t>二、多项选择题</w:t>
      </w:r>
    </w:p>
    <w:p>
      <w:pPr>
        <w:pStyle w:val="BodyText"/>
        <w:spacing w:before="7"/>
      </w:pPr>
      <w:r>
        <w:rPr>
          <w:color w:val="0D0D0D"/>
        </w:rPr>
        <w:t xml:space="preserve">1、有下列情况之一者，可能被暂停股票上市（ </w:t>
      </w:r>
      <w:r>
        <w:rPr>
          <w:color w:val="0D0D0D"/>
          <w:spacing w:val="-159"/>
        </w:rPr>
        <w:t>）</w:t>
      </w:r>
      <w:r>
        <w:rPr>
          <w:color w:val="0D0D0D"/>
        </w:rPr>
        <w:t>。</w:t>
      </w:r>
    </w:p>
    <w:p>
      <w:pPr>
        <w:pStyle w:val="BodyText"/>
        <w:tabs>
          <w:tab w:val="left" w:pos="7251"/>
          <w:tab w:val="left" w:pos="11802"/>
        </w:tabs>
        <w:spacing w:before="10"/>
        <w:ind w:left="3334"/>
      </w:pPr>
      <w:r>
        <w:rPr>
          <w:color w:val="0D0D0D"/>
        </w:rPr>
        <w:t>A、财务报告虚假</w:t>
        <w:tab/>
        <w:t>B、最近两年连续亏损</w:t>
        <w:tab/>
        <w:t>C、公司股本总额</w:t>
      </w:r>
      <w:r>
        <w:rPr>
          <w:color w:val="0D0D0D"/>
          <w:spacing w:val="44"/>
        </w:rPr>
        <w:t>为</w:t>
      </w:r>
      <w:r>
        <w:rPr>
          <w:color w:val="0D0D0D"/>
        </w:rPr>
        <w:t>4900</w:t>
      </w:r>
    </w:p>
    <w:p>
      <w:pPr>
        <w:pStyle w:val="BodyText"/>
        <w:spacing w:before="13"/>
      </w:pPr>
      <w:r>
        <w:rPr>
          <w:color w:val="0D0D0D"/>
        </w:rPr>
        <w:t>万元</w:t>
      </w:r>
    </w:p>
    <w:p>
      <w:pPr>
        <w:pStyle w:val="BodyText"/>
        <w:spacing w:before="9" w:line="249" w:lineRule="auto"/>
        <w:ind w:left="3330" w:right="4521" w:firstLine="3"/>
      </w:pPr>
      <w:r>
        <w:rPr>
          <w:color w:val="0D0D0D"/>
        </w:rPr>
        <w:t xml:space="preserve">D、股本总额为 40800 万元，向社会公众发行的股份达股份总数的16.8％ </w:t>
      </w:r>
      <w:r>
        <w:rPr>
          <w:b/>
          <w:color w:val="0D0D0D"/>
        </w:rPr>
        <w:t>答案:</w:t>
      </w:r>
      <w:r>
        <w:rPr>
          <w:color w:val="0D0D0D"/>
        </w:rPr>
        <w:t>AC</w:t>
      </w:r>
    </w:p>
    <w:p>
      <w:pPr>
        <w:pStyle w:val="BodyText"/>
        <w:spacing w:line="247" w:lineRule="auto"/>
        <w:ind w:right="2643" w:firstLine="629"/>
        <w:jc w:val="both"/>
      </w:pPr>
      <w:r>
        <w:rPr>
          <w:b/>
          <w:color w:val="0D0D0D"/>
        </w:rPr>
        <w:t>解析:</w:t>
      </w:r>
      <w:r>
        <w:rPr>
          <w:color w:val="0D0D0D"/>
        </w:rPr>
        <w:t>暂停企业股票上市的情况包括：公司不按规定公开其财务状况，或者对财务报告做虚假记载，所以应选A；公司最近三年连续亏损，所以不应选B；公司股本总额、股权分布等发生变化不再具备上市条件，C 中股本总额为 4900 万元已不符合条件，所以应选；股本总额超过 4 亿元的，其向社会公众发行的股份达股份总数的比例可以低于 25％，但不低于 15％，所以D 不选。</w:t>
      </w:r>
    </w:p>
    <w:p>
      <w:pPr>
        <w:pStyle w:val="BodyText"/>
        <w:spacing w:line="396" w:lineRule="exact"/>
      </w:pPr>
      <w:r>
        <w:rPr>
          <w:color w:val="0D0D0D"/>
        </w:rPr>
        <w:t xml:space="preserve">2、下列各项中，属于融资租赁特点的是（ </w:t>
      </w:r>
      <w:r>
        <w:rPr>
          <w:color w:val="0D0D0D"/>
          <w:spacing w:val="-159"/>
        </w:rPr>
        <w:t>）</w:t>
      </w:r>
      <w:r>
        <w:rPr>
          <w:color w:val="0D0D0D"/>
        </w:rPr>
        <w:t>。</w:t>
      </w:r>
    </w:p>
    <w:p>
      <w:pPr>
        <w:pStyle w:val="BodyText"/>
        <w:tabs>
          <w:tab w:val="left" w:pos="7115"/>
          <w:tab w:val="left" w:pos="10744"/>
        </w:tabs>
        <w:spacing w:before="2" w:line="244" w:lineRule="auto"/>
        <w:ind w:left="3017" w:right="3480" w:firstLine="316"/>
      </w:pPr>
      <w:r>
        <w:rPr>
          <w:color w:val="0D0D0D"/>
          <w:spacing w:val="-4"/>
        </w:rPr>
        <w:t>A</w:t>
      </w:r>
      <w:r>
        <w:rPr>
          <w:color w:val="0D0D0D"/>
        </w:rPr>
        <w:t>、租赁期较长</w:t>
        <w:tab/>
      </w:r>
      <w:r>
        <w:rPr>
          <w:color w:val="0D0D0D"/>
          <w:spacing w:val="-4"/>
        </w:rPr>
        <w:t>B</w:t>
      </w:r>
      <w:r>
        <w:rPr>
          <w:color w:val="0D0D0D"/>
        </w:rPr>
        <w:t>、租金较高</w:t>
        <w:tab/>
      </w:r>
      <w:r>
        <w:rPr>
          <w:color w:val="0D0D0D"/>
          <w:spacing w:val="-11"/>
        </w:rPr>
        <w:t>C</w:t>
      </w:r>
      <w:r>
        <w:rPr>
          <w:color w:val="0D0D0D"/>
        </w:rPr>
        <w:t>、不得任意中止租赁合</w:t>
      </w:r>
      <w:r>
        <w:rPr>
          <w:color w:val="0D0D0D"/>
          <w:spacing w:val="-17"/>
        </w:rPr>
        <w:t>同</w:t>
      </w:r>
      <w:r>
        <w:rPr>
          <w:color w:val="0D0D0D"/>
        </w:rPr>
        <w:t>D、出租人和承租人之间并未形成债权债务关系</w:t>
      </w:r>
    </w:p>
    <w:p>
      <w:pPr>
        <w:spacing w:before="7"/>
        <w:ind w:left="3330" w:right="0" w:firstLine="0"/>
        <w:jc w:val="left"/>
        <w:rPr>
          <w:sz w:val="31"/>
        </w:rPr>
      </w:pPr>
      <w:r>
        <w:rPr>
          <w:b/>
          <w:color w:val="0D0D0D"/>
          <w:sz w:val="31"/>
        </w:rPr>
        <w:t>答案:</w:t>
      </w:r>
      <w:r>
        <w:rPr>
          <w:color w:val="0D0D0D"/>
          <w:sz w:val="31"/>
        </w:rPr>
        <w:t>ABC</w:t>
      </w:r>
    </w:p>
    <w:p>
      <w:pPr>
        <w:pStyle w:val="BodyText"/>
        <w:spacing w:before="10"/>
        <w:ind w:left="3330"/>
      </w:pPr>
      <w:r>
        <w:rPr>
          <w:b/>
          <w:color w:val="0D0D0D"/>
        </w:rPr>
        <w:t>解析:</w:t>
      </w:r>
      <w:r>
        <w:rPr>
          <w:color w:val="0D0D0D"/>
        </w:rPr>
        <w:t>融资租赁的特点是租赁期较长、租金较高、企业不得任意中止租赁合同。</w:t>
      </w:r>
    </w:p>
    <w:p>
      <w:pPr>
        <w:pStyle w:val="BodyText"/>
        <w:spacing w:before="13"/>
      </w:pPr>
      <w:r>
        <w:rPr>
          <w:color w:val="0D0D0D"/>
        </w:rPr>
        <w:t xml:space="preserve">3、企业筹资的动机可分为（ </w:t>
      </w:r>
      <w:r>
        <w:rPr>
          <w:color w:val="0D0D0D"/>
          <w:spacing w:val="-159"/>
        </w:rPr>
        <w:t>）</w:t>
      </w:r>
      <w:r>
        <w:rPr>
          <w:color w:val="0D0D0D"/>
        </w:rPr>
        <w:t>。</w:t>
      </w:r>
    </w:p>
    <w:p>
      <w:pPr>
        <w:pStyle w:val="BodyText"/>
        <w:tabs>
          <w:tab w:val="left" w:pos="6765"/>
          <w:tab w:val="left" w:pos="10038"/>
          <w:tab w:val="left" w:pos="13156"/>
        </w:tabs>
        <w:spacing w:before="9" w:line="247" w:lineRule="auto"/>
        <w:ind w:left="3330" w:right="2644" w:firstLine="3"/>
      </w:pPr>
      <w:r>
        <w:rPr>
          <w:color w:val="0D0D0D"/>
          <w:spacing w:val="-4"/>
        </w:rPr>
        <w:t>A</w:t>
      </w:r>
      <w:r>
        <w:rPr>
          <w:color w:val="0D0D0D"/>
        </w:rPr>
        <w:t>、设立性筹资</w:t>
        <w:tab/>
        <w:t>B</w:t>
      </w:r>
      <w:r>
        <w:rPr>
          <w:color w:val="0D0D0D"/>
          <w:spacing w:val="-40"/>
        </w:rPr>
        <w:t>、</w:t>
      </w:r>
      <w:r>
        <w:rPr>
          <w:color w:val="0D0D0D"/>
        </w:rPr>
        <w:t>扩张性筹资</w:t>
        <w:tab/>
        <w:t>C</w:t>
      </w:r>
      <w:r>
        <w:rPr>
          <w:color w:val="0D0D0D"/>
          <w:spacing w:val="-40"/>
        </w:rPr>
        <w:t>、</w:t>
      </w:r>
      <w:r>
        <w:rPr>
          <w:color w:val="0D0D0D"/>
        </w:rPr>
        <w:t>调整性筹资</w:t>
        <w:tab/>
      </w:r>
      <w:r>
        <w:rPr>
          <w:color w:val="0D0D0D"/>
          <w:spacing w:val="-3"/>
        </w:rPr>
        <w:t>D</w:t>
      </w:r>
      <w:r>
        <w:rPr>
          <w:color w:val="0D0D0D"/>
        </w:rPr>
        <w:t>、混合性筹</w:t>
      </w:r>
      <w:r>
        <w:rPr>
          <w:color w:val="0D0D0D"/>
          <w:spacing w:val="-17"/>
        </w:rPr>
        <w:t>资</w:t>
      </w:r>
      <w:r>
        <w:rPr>
          <w:b/>
          <w:color w:val="0D0D0D"/>
        </w:rPr>
        <w:t>答案:</w:t>
      </w:r>
      <w:r>
        <w:rPr>
          <w:color w:val="0D0D0D"/>
        </w:rPr>
        <w:t>ABCD</w:t>
      </w:r>
    </w:p>
    <w:p>
      <w:pPr>
        <w:pStyle w:val="BodyText"/>
        <w:spacing w:line="397" w:lineRule="exact"/>
        <w:ind w:left="3330"/>
      </w:pPr>
      <w:r>
        <w:rPr>
          <w:b/>
          <w:color w:val="0D0D0D"/>
        </w:rPr>
        <w:t>解析:</w:t>
      </w:r>
      <w:r>
        <w:rPr>
          <w:color w:val="0D0D0D"/>
        </w:rPr>
        <w:t>参见教材 56 页企业筹资动机的相关内容。</w:t>
      </w:r>
    </w:p>
    <w:p>
      <w:pPr>
        <w:pStyle w:val="BodyText"/>
        <w:spacing w:before="14"/>
      </w:pPr>
      <w:r>
        <w:rPr>
          <w:color w:val="0D0D0D"/>
        </w:rPr>
        <w:t xml:space="preserve">4、下列关于筹资分类的说法正确的是（ </w:t>
      </w:r>
      <w:r>
        <w:rPr>
          <w:color w:val="0D0D0D"/>
          <w:spacing w:val="-163"/>
        </w:rPr>
        <w:t>）</w:t>
      </w:r>
      <w:r>
        <w:rPr>
          <w:color w:val="0D0D0D"/>
        </w:rPr>
        <w:t>。</w:t>
      </w:r>
    </w:p>
    <w:p>
      <w:pPr>
        <w:pStyle w:val="BodyText"/>
        <w:spacing w:before="9" w:line="247" w:lineRule="auto"/>
        <w:ind w:left="3334" w:right="6765"/>
      </w:pPr>
      <w:r>
        <w:rPr>
          <w:color w:val="0D0D0D"/>
          <w:spacing w:val="-4"/>
        </w:rPr>
        <w:t>A</w:t>
      </w:r>
      <w:r>
        <w:rPr>
          <w:color w:val="0D0D0D"/>
          <w:spacing w:val="-1"/>
        </w:rPr>
        <w:t xml:space="preserve">、按照资金的来源渠道不同，分为直接筹资和间接筹资 </w:t>
      </w:r>
      <w:r>
        <w:rPr>
          <w:color w:val="0D0D0D"/>
          <w:spacing w:val="-4"/>
        </w:rPr>
        <w:t>B</w:t>
      </w:r>
      <w:r>
        <w:rPr>
          <w:color w:val="0D0D0D"/>
          <w:spacing w:val="-1"/>
        </w:rPr>
        <w:t>、按照资金的取得方式不同，分为内源等资和外源筹资</w:t>
      </w:r>
    </w:p>
    <w:p>
      <w:pPr>
        <w:pStyle w:val="BodyText"/>
        <w:spacing w:line="247" w:lineRule="auto"/>
        <w:ind w:left="3334" w:right="3914"/>
      </w:pPr>
      <w:r>
        <w:rPr>
          <w:color w:val="0D0D0D"/>
          <w:spacing w:val="-4"/>
        </w:rPr>
        <w:t>C</w:t>
      </w:r>
      <w:r>
        <w:rPr>
          <w:color w:val="0D0D0D"/>
          <w:spacing w:val="-1"/>
        </w:rPr>
        <w:t xml:space="preserve">、按照筹资的结果是否在资产负债表上得以反映，分为表内筹资和表外筹资 </w:t>
      </w:r>
      <w:r>
        <w:rPr>
          <w:color w:val="0D0D0D"/>
          <w:spacing w:val="-4"/>
        </w:rPr>
        <w:t>D</w:t>
      </w:r>
      <w:r>
        <w:rPr>
          <w:color w:val="0D0D0D"/>
        </w:rPr>
        <w:t>、按照所筹资金使用期限的长短，分为短期资金筹集与长期资金筹集</w:t>
      </w:r>
    </w:p>
    <w:p>
      <w:pPr>
        <w:spacing w:before="0" w:line="396" w:lineRule="exact"/>
        <w:ind w:left="3330" w:right="0" w:firstLine="0"/>
        <w:jc w:val="left"/>
        <w:rPr>
          <w:sz w:val="31"/>
        </w:rPr>
      </w:pPr>
      <w:r>
        <w:rPr>
          <w:b/>
          <w:color w:val="0D0D0D"/>
          <w:sz w:val="31"/>
        </w:rPr>
        <w:t>答案:</w:t>
      </w:r>
      <w:r>
        <w:rPr>
          <w:color w:val="0D0D0D"/>
          <w:sz w:val="31"/>
        </w:rPr>
        <w:t>BCD</w:t>
      </w:r>
    </w:p>
    <w:p>
      <w:pPr>
        <w:pStyle w:val="BodyText"/>
        <w:spacing w:before="13" w:line="247" w:lineRule="auto"/>
        <w:ind w:right="2643" w:firstLine="629"/>
        <w:jc w:val="both"/>
      </w:pPr>
      <w:r>
        <w:rPr>
          <w:b/>
          <w:color w:val="0D0D0D"/>
        </w:rPr>
        <w:t>解析:</w:t>
      </w:r>
      <w:r>
        <w:rPr>
          <w:color w:val="0D0D0D"/>
          <w:spacing w:val="-1"/>
        </w:rPr>
        <w:t>筹资按照资金的来源渠道不同，分为权益筹资和负债筹资；按照是否通过金融机</w:t>
      </w:r>
      <w:r>
        <w:rPr>
          <w:color w:val="0D0D0D"/>
          <w:spacing w:val="-10"/>
        </w:rPr>
        <w:t xml:space="preserve">构，分为直接筹资和间接筹资；按照资金的取得方式不同，分为内源筹资和外源筹资；按照 </w:t>
      </w:r>
      <w:r>
        <w:rPr>
          <w:color w:val="0D0D0D"/>
          <w:spacing w:val="-18"/>
        </w:rPr>
        <w:t>筹资的结果是否在资产负债表上得以反映，分为表内筹资和表外筹资；按照所筹资金期限的 长短，分为短期资金筹集与长期资金筹集。</w:t>
      </w:r>
    </w:p>
    <w:p>
      <w:pPr>
        <w:pStyle w:val="BodyText"/>
        <w:spacing w:line="395" w:lineRule="exact"/>
        <w:jc w:val="both"/>
      </w:pPr>
      <w:r>
        <w:rPr>
          <w:color w:val="0D0D0D"/>
        </w:rPr>
        <w:t>5、股票是股份有限公司股份的表现形式，下列（ ）属于股票的特点。</w:t>
      </w:r>
    </w:p>
    <w:p>
      <w:pPr>
        <w:pStyle w:val="BodyText"/>
        <w:spacing w:before="10" w:line="247" w:lineRule="auto"/>
        <w:ind w:left="3330" w:right="4589" w:firstLine="3"/>
        <w:jc w:val="both"/>
      </w:pPr>
      <w:r>
        <w:rPr>
          <w:color w:val="0D0D0D"/>
        </w:rPr>
        <w:t>A、法定性      B、风险性       C、无限期性       D、价格波动性</w:t>
      </w:r>
      <w:r>
        <w:rPr>
          <w:b/>
          <w:color w:val="0D0D0D"/>
        </w:rPr>
        <w:t>答案:</w:t>
      </w:r>
      <w:r>
        <w:rPr>
          <w:color w:val="0D0D0D"/>
        </w:rPr>
        <w:t>ABCD</w:t>
      </w:r>
    </w:p>
    <w:p>
      <w:pPr>
        <w:pStyle w:val="BodyText"/>
        <w:spacing w:line="247" w:lineRule="auto"/>
        <w:ind w:right="2643" w:firstLine="629"/>
        <w:jc w:val="both"/>
      </w:pPr>
      <w:r>
        <w:rPr>
          <w:b/>
          <w:color w:val="0D0D0D"/>
        </w:rPr>
        <w:t>解析:</w:t>
      </w:r>
      <w:r>
        <w:rPr>
          <w:color w:val="0D0D0D"/>
          <w:spacing w:val="-1"/>
        </w:rPr>
        <w:t>股票是股份有限公司发行的用以证明投资者的股本身份和权益，并据以获得股利</w:t>
      </w:r>
      <w:r>
        <w:rPr>
          <w:color w:val="0D0D0D"/>
          <w:spacing w:val="-8"/>
        </w:rPr>
        <w:t>的一种可转让的书面凭证它是股份有限公司股份的表现形式。股票作为一种筹资工具，具有 法定性、收益性、风险性、参与性、无限期性、可转让性和价格波动性等特点。</w:t>
      </w:r>
    </w:p>
    <w:p>
      <w:pPr>
        <w:pStyle w:val="BodyText"/>
        <w:spacing w:line="394" w:lineRule="exact"/>
        <w:jc w:val="both"/>
      </w:pPr>
      <w:r>
        <w:rPr>
          <w:color w:val="0D0D0D"/>
        </w:rPr>
        <w:t>6、股价指数的计算方法有（ ）等。</w:t>
      </w:r>
    </w:p>
    <w:p>
      <w:pPr>
        <w:pStyle w:val="BodyText"/>
        <w:spacing w:before="12" w:line="244" w:lineRule="auto"/>
        <w:ind w:left="3330" w:right="2644" w:firstLine="3"/>
        <w:jc w:val="both"/>
      </w:pPr>
      <w:r>
        <w:rPr>
          <w:color w:val="0D0D0D"/>
        </w:rPr>
        <w:t>A、简单算术平均法      B、综合平均法      C、几何平均法       D、加权综合法</w:t>
      </w:r>
      <w:r>
        <w:rPr>
          <w:b/>
          <w:color w:val="0D0D0D"/>
        </w:rPr>
        <w:t>答案:</w:t>
      </w:r>
      <w:r>
        <w:rPr>
          <w:color w:val="0D0D0D"/>
        </w:rPr>
        <w:t>ABCD</w:t>
      </w:r>
    </w:p>
    <w:p>
      <w:pPr>
        <w:pStyle w:val="BodyText"/>
        <w:spacing w:before="7" w:line="247" w:lineRule="auto"/>
        <w:ind w:right="2522" w:firstLine="629"/>
      </w:pPr>
      <w:r>
        <w:rPr>
          <w:b/>
          <w:color w:val="0D0D0D"/>
        </w:rPr>
        <w:t>解析:</w:t>
      </w:r>
      <w:r>
        <w:rPr>
          <w:color w:val="0D0D0D"/>
        </w:rPr>
        <w:t>股价指数是指金融机构通过对股票市场上一些有代表性的公司发行的股票价格进 行平均计算和动态对比后得出的数值</w:t>
      </w:r>
      <w:r>
        <w:rPr>
          <w:color w:val="0D0D0D"/>
          <w:spacing w:val="-14"/>
        </w:rPr>
        <w:t>。股价指数的计算方法有简单算术平均法</w:t>
      </w:r>
      <w:r>
        <w:rPr>
          <w:color w:val="0D0D0D"/>
          <w:spacing w:val="-29"/>
        </w:rPr>
        <w:t>、综合平均法、</w:t>
      </w:r>
      <w:r>
        <w:rPr>
          <w:color w:val="0D0D0D"/>
        </w:rPr>
        <w:t>几何平均法和加权综合法等。</w:t>
      </w:r>
    </w:p>
    <w:p>
      <w:pPr>
        <w:spacing w:after="0" w:line="247" w:lineRule="auto"/>
        <w:sectPr>
          <w:headerReference w:type="default" r:id="rId88"/>
          <w:footerReference w:type="default" r:id="rId89"/>
          <w:pgSz w:w="17860" w:h="25260"/>
          <w:pgMar w:top="1720" w:right="0" w:bottom="1940" w:left="0" w:header="1129" w:footer="1752"/>
          <w:pgNumType w:start="6"/>
          <w:cols w:space="708"/>
        </w:sectPr>
      </w:pPr>
    </w:p>
    <w:p>
      <w:pPr>
        <w:pStyle w:val="BodyText"/>
        <w:spacing w:before="3"/>
        <w:ind w:left="0"/>
        <w:rPr>
          <w:sz w:val="8"/>
        </w:rPr>
      </w:pPr>
    </w:p>
    <w:p>
      <w:pPr>
        <w:pStyle w:val="BodyText"/>
        <w:spacing w:before="63"/>
      </w:pPr>
      <w:r>
        <w:rPr>
          <w:color w:val="0D0D0D"/>
        </w:rPr>
        <w:t xml:space="preserve">7、下列关于认股权证的说法正确的是（ </w:t>
      </w:r>
      <w:r>
        <w:rPr>
          <w:color w:val="0D0D0D"/>
          <w:spacing w:val="-163"/>
        </w:rPr>
        <w:t>）</w:t>
      </w:r>
      <w:r>
        <w:rPr>
          <w:color w:val="0D0D0D"/>
        </w:rPr>
        <w:t>。</w:t>
      </w:r>
    </w:p>
    <w:p>
      <w:pPr>
        <w:pStyle w:val="BodyText"/>
        <w:spacing w:before="10" w:line="247" w:lineRule="auto"/>
        <w:ind w:left="3334" w:right="3914"/>
      </w:pPr>
      <w:r>
        <w:rPr>
          <w:color w:val="0D0D0D"/>
          <w:spacing w:val="-4"/>
        </w:rPr>
        <w:t>A</w:t>
      </w:r>
      <w:r>
        <w:rPr>
          <w:color w:val="0D0D0D"/>
          <w:spacing w:val="-1"/>
        </w:rPr>
        <w:t xml:space="preserve">、按认股权证的发行方式不同，分为单独发行认股权证与附带发行认股权证 </w:t>
      </w:r>
      <w:r>
        <w:rPr>
          <w:color w:val="0D0D0D"/>
          <w:spacing w:val="-4"/>
        </w:rPr>
        <w:t>B</w:t>
      </w:r>
      <w:r>
        <w:rPr>
          <w:color w:val="0D0D0D"/>
        </w:rPr>
        <w:t>、认股权证包括认购数量、认购价格和认期限共三个基本要素</w:t>
      </w:r>
    </w:p>
    <w:p>
      <w:pPr>
        <w:pStyle w:val="BodyText"/>
        <w:spacing w:line="247" w:lineRule="auto"/>
        <w:ind w:left="3334" w:right="3139"/>
      </w:pPr>
      <w:r>
        <w:rPr>
          <w:color w:val="0D0D0D"/>
          <w:spacing w:val="-4"/>
        </w:rPr>
        <w:t>C</w:t>
      </w:r>
      <w:r>
        <w:rPr>
          <w:color w:val="0D0D0D"/>
          <w:spacing w:val="-2"/>
        </w:rPr>
        <w:t>、认股权证理论价值</w:t>
      </w:r>
      <w:r>
        <w:rPr>
          <w:color w:val="0D0D0D"/>
        </w:rPr>
        <w:t>=（普通股市场价格—普通股认购价格）×</w:t>
      </w:r>
      <w:r>
        <w:rPr>
          <w:color w:val="0D0D0D"/>
          <w:spacing w:val="-3"/>
        </w:rPr>
        <w:t xml:space="preserve">认股权证换股比率 </w:t>
      </w:r>
      <w:r>
        <w:rPr>
          <w:color w:val="0D0D0D"/>
          <w:spacing w:val="-4"/>
        </w:rPr>
        <w:t>D</w:t>
      </w:r>
      <w:r>
        <w:rPr>
          <w:color w:val="0D0D0D"/>
        </w:rPr>
        <w:t>、认股权证的实际价值大于理论价值的部分称为超理论价值的溢价</w:t>
      </w:r>
    </w:p>
    <w:p>
      <w:pPr>
        <w:spacing w:before="0" w:line="396" w:lineRule="exact"/>
        <w:ind w:left="3330" w:right="0" w:firstLine="0"/>
        <w:jc w:val="left"/>
        <w:rPr>
          <w:sz w:val="31"/>
        </w:rPr>
      </w:pPr>
      <w:r>
        <w:rPr>
          <w:b/>
          <w:color w:val="0D0D0D"/>
          <w:sz w:val="31"/>
        </w:rPr>
        <w:t>答案:</w:t>
      </w:r>
      <w:r>
        <w:rPr>
          <w:color w:val="0D0D0D"/>
          <w:sz w:val="31"/>
        </w:rPr>
        <w:t>ACD</w:t>
      </w:r>
    </w:p>
    <w:p>
      <w:pPr>
        <w:pStyle w:val="BodyText"/>
        <w:spacing w:before="12" w:line="247" w:lineRule="auto"/>
        <w:ind w:right="2505" w:firstLine="629"/>
        <w:jc w:val="both"/>
      </w:pPr>
      <w:r>
        <w:rPr>
          <w:b/>
          <w:color w:val="0D0D0D"/>
        </w:rPr>
        <w:t>解析:</w:t>
      </w:r>
      <w:r>
        <w:rPr>
          <w:color w:val="0D0D0D"/>
        </w:rPr>
        <w:t>按认股权证的发行方式不同，分为单独发行认股权证与附带发行认股权证。认股</w:t>
      </w:r>
      <w:r>
        <w:rPr>
          <w:color w:val="0D0D0D"/>
          <w:w w:val="102"/>
        </w:rPr>
        <w:t>权证的基本要素包括</w:t>
      </w:r>
      <w:r>
        <w:rPr>
          <w:color w:val="0D0D0D"/>
          <w:spacing w:val="-191"/>
          <w:w w:val="102"/>
        </w:rPr>
        <w:t>：</w:t>
      </w:r>
      <w:r>
        <w:rPr>
          <w:color w:val="0D0D0D"/>
          <w:w w:val="102"/>
        </w:rPr>
        <w:t>（</w:t>
      </w:r>
      <w:r>
        <w:rPr>
          <w:color w:val="0D0D0D"/>
          <w:spacing w:val="-4"/>
          <w:w w:val="102"/>
        </w:rPr>
        <w:t>1</w:t>
      </w:r>
      <w:r>
        <w:rPr>
          <w:color w:val="0D0D0D"/>
          <w:w w:val="102"/>
        </w:rPr>
        <w:t>）认购数量</w:t>
      </w:r>
      <w:r>
        <w:rPr>
          <w:color w:val="0D0D0D"/>
          <w:spacing w:val="-198"/>
          <w:w w:val="102"/>
        </w:rPr>
        <w:t>；</w:t>
      </w:r>
      <w:r>
        <w:rPr>
          <w:color w:val="0D0D0D"/>
          <w:spacing w:val="-1"/>
          <w:w w:val="102"/>
        </w:rPr>
        <w:t>（</w:t>
      </w:r>
      <w:r>
        <w:rPr>
          <w:color w:val="0D0D0D"/>
          <w:spacing w:val="-4"/>
          <w:w w:val="102"/>
        </w:rPr>
        <w:t>2</w:t>
      </w:r>
      <w:r>
        <w:rPr>
          <w:color w:val="0D0D0D"/>
          <w:w w:val="102"/>
        </w:rPr>
        <w:t>）认购价格</w:t>
      </w:r>
      <w:r>
        <w:rPr>
          <w:color w:val="0D0D0D"/>
          <w:spacing w:val="-198"/>
          <w:w w:val="102"/>
        </w:rPr>
        <w:t>；</w:t>
      </w:r>
      <w:r>
        <w:rPr>
          <w:color w:val="0D0D0D"/>
          <w:w w:val="102"/>
        </w:rPr>
        <w:t>（</w:t>
      </w:r>
      <w:r>
        <w:rPr>
          <w:color w:val="0D0D0D"/>
          <w:spacing w:val="-4"/>
          <w:w w:val="102"/>
        </w:rPr>
        <w:t>3</w:t>
      </w:r>
      <w:r>
        <w:rPr>
          <w:color w:val="0D0D0D"/>
          <w:w w:val="102"/>
        </w:rPr>
        <w:t>）认购期限</w:t>
      </w:r>
      <w:r>
        <w:rPr>
          <w:color w:val="0D0D0D"/>
          <w:spacing w:val="-198"/>
          <w:w w:val="102"/>
        </w:rPr>
        <w:t>；</w:t>
      </w:r>
      <w:r>
        <w:rPr>
          <w:color w:val="0D0D0D"/>
          <w:spacing w:val="-1"/>
          <w:w w:val="102"/>
        </w:rPr>
        <w:t>（</w:t>
      </w:r>
      <w:r>
        <w:rPr>
          <w:color w:val="0D0D0D"/>
          <w:spacing w:val="-4"/>
          <w:w w:val="102"/>
        </w:rPr>
        <w:t>4</w:t>
      </w:r>
      <w:r>
        <w:rPr>
          <w:color w:val="0D0D0D"/>
          <w:w w:val="102"/>
        </w:rPr>
        <w:t>）赎回条款。认股</w:t>
      </w:r>
      <w:r>
        <w:rPr>
          <w:color w:val="0D0D0D"/>
        </w:rPr>
        <w:t>权</w:t>
      </w:r>
      <w:r>
        <w:rPr>
          <w:color w:val="0D0D0D"/>
          <w:spacing w:val="-10"/>
        </w:rPr>
        <w:t>证有理论价值与实际价值之分。认股权证理论价值=</w:t>
      </w:r>
      <w:r>
        <w:rPr>
          <w:color w:val="0D0D0D"/>
          <w:spacing w:val="-36"/>
        </w:rPr>
        <w:t>（</w:t>
      </w:r>
      <w:r>
        <w:rPr>
          <w:color w:val="0D0D0D"/>
        </w:rPr>
        <w:t>普通股市场价格－普通股认购价格</w:t>
      </w:r>
      <w:r>
        <w:rPr>
          <w:color w:val="0D0D0D"/>
          <w:spacing w:val="-17"/>
        </w:rPr>
        <w:t>）</w:t>
      </w:r>
    </w:p>
    <w:p>
      <w:pPr>
        <w:pStyle w:val="BodyText"/>
        <w:spacing w:line="247" w:lineRule="auto"/>
        <w:ind w:right="2689"/>
      </w:pPr>
      <w:r>
        <w:rPr>
          <w:color w:val="0D0D0D"/>
          <w:spacing w:val="-13"/>
        </w:rPr>
        <w:t>×认股权证换股比率。认股权证的实际价值是认股权证在证券市场上的市场价格或售价。认</w:t>
      </w:r>
      <w:r>
        <w:rPr>
          <w:color w:val="0D0D0D"/>
        </w:rPr>
        <w:t>股权证的实际价值大于理论价值的部分称为超理论价值的溢价。</w:t>
      </w:r>
    </w:p>
    <w:p>
      <w:pPr>
        <w:pStyle w:val="BodyText"/>
        <w:spacing w:line="396" w:lineRule="exact"/>
      </w:pPr>
      <w:r>
        <w:rPr>
          <w:color w:val="0D0D0D"/>
        </w:rPr>
        <w:t xml:space="preserve">8、可转换债券的缺点包括（ </w:t>
      </w:r>
      <w:r>
        <w:rPr>
          <w:color w:val="0D0D0D"/>
          <w:spacing w:val="-159"/>
        </w:rPr>
        <w:t>）</w:t>
      </w:r>
      <w:r>
        <w:rPr>
          <w:color w:val="0D0D0D"/>
        </w:rPr>
        <w:t>。</w:t>
      </w:r>
    </w:p>
    <w:p>
      <w:pPr>
        <w:pStyle w:val="BodyText"/>
        <w:tabs>
          <w:tab w:val="left" w:pos="11050"/>
        </w:tabs>
        <w:spacing w:before="10" w:line="244" w:lineRule="auto"/>
        <w:ind w:left="3334" w:right="3480"/>
      </w:pPr>
      <w:r>
        <w:rPr>
          <w:color w:val="0D0D0D"/>
          <w:spacing w:val="-4"/>
        </w:rPr>
        <w:t>A</w:t>
      </w:r>
      <w:r>
        <w:rPr>
          <w:color w:val="0D0D0D"/>
        </w:rPr>
        <w:t>、利率高于普通债券，增加利息支出</w:t>
        <w:tab/>
        <w:t>B、不能增强筹资灵活</w:t>
      </w:r>
      <w:r>
        <w:rPr>
          <w:color w:val="0D0D0D"/>
          <w:spacing w:val="-16"/>
        </w:rPr>
        <w:t>性</w:t>
      </w:r>
      <w:r>
        <w:rPr>
          <w:color w:val="0D0D0D"/>
          <w:spacing w:val="-4"/>
        </w:rPr>
        <w:t>C</w:t>
      </w:r>
      <w:r>
        <w:rPr>
          <w:color w:val="0D0D0D"/>
        </w:rPr>
        <w:t>、若股价低迷，面临兑付债券本金的压力</w:t>
        <w:tab/>
        <w:t>D、存在回售风险</w:t>
      </w:r>
    </w:p>
    <w:p>
      <w:pPr>
        <w:spacing w:before="8"/>
        <w:ind w:left="3330" w:right="0" w:firstLine="0"/>
        <w:jc w:val="left"/>
        <w:rPr>
          <w:sz w:val="31"/>
        </w:rPr>
      </w:pPr>
      <w:r>
        <w:rPr>
          <w:b/>
          <w:color w:val="0D0D0D"/>
          <w:sz w:val="31"/>
        </w:rPr>
        <w:t>答案:</w:t>
      </w:r>
      <w:r>
        <w:rPr>
          <w:color w:val="0D0D0D"/>
          <w:sz w:val="31"/>
        </w:rPr>
        <w:t>CD</w:t>
      </w:r>
    </w:p>
    <w:p>
      <w:pPr>
        <w:pStyle w:val="BodyText"/>
        <w:spacing w:before="10" w:line="247" w:lineRule="auto"/>
        <w:ind w:right="2526" w:firstLine="629"/>
      </w:pPr>
      <w:r>
        <w:rPr>
          <w:b/>
          <w:color w:val="0D0D0D"/>
          <w:w w:val="101"/>
        </w:rPr>
        <w:t>解析</w:t>
      </w:r>
      <w:r>
        <w:rPr>
          <w:b/>
          <w:color w:val="0D0D0D"/>
          <w:spacing w:val="3"/>
          <w:w w:val="101"/>
        </w:rPr>
        <w:t>:</w:t>
      </w:r>
      <w:r>
        <w:rPr>
          <w:color w:val="0D0D0D"/>
          <w:spacing w:val="-20"/>
          <w:w w:val="102"/>
        </w:rPr>
        <w:t>可转换债券的优点：</w:t>
      </w:r>
      <w:r>
        <w:rPr>
          <w:color w:val="0D0D0D"/>
          <w:w w:val="102"/>
        </w:rPr>
        <w:t>（</w:t>
      </w:r>
      <w:r>
        <w:rPr>
          <w:color w:val="0D0D0D"/>
          <w:spacing w:val="-4"/>
          <w:w w:val="102"/>
        </w:rPr>
        <w:t>1</w:t>
      </w:r>
      <w:r>
        <w:rPr>
          <w:color w:val="0D0D0D"/>
          <w:w w:val="102"/>
        </w:rPr>
        <w:t>）可转换为普通股，有利于稳定股票市价</w:t>
      </w:r>
      <w:r>
        <w:rPr>
          <w:color w:val="0D0D0D"/>
          <w:spacing w:val="-183"/>
          <w:w w:val="102"/>
        </w:rPr>
        <w:t>；</w:t>
      </w:r>
      <w:r>
        <w:rPr>
          <w:color w:val="0D0D0D"/>
          <w:spacing w:val="-3"/>
          <w:w w:val="102"/>
        </w:rPr>
        <w:t>（</w:t>
      </w:r>
      <w:r>
        <w:rPr>
          <w:color w:val="0D0D0D"/>
          <w:w w:val="102"/>
        </w:rPr>
        <w:t>2）利率低于</w:t>
      </w:r>
      <w:r>
        <w:rPr>
          <w:color w:val="0D0D0D"/>
          <w:spacing w:val="-8"/>
          <w:w w:val="102"/>
        </w:rPr>
        <w:t>普通债券，可节约利息支出</w:t>
      </w:r>
      <w:r>
        <w:rPr>
          <w:color w:val="0D0D0D"/>
          <w:spacing w:val="-220"/>
          <w:w w:val="102"/>
        </w:rPr>
        <w:t>；</w:t>
      </w:r>
      <w:r>
        <w:rPr>
          <w:color w:val="0D0D0D"/>
          <w:w w:val="102"/>
        </w:rPr>
        <w:t>（</w:t>
      </w:r>
      <w:r>
        <w:rPr>
          <w:color w:val="0D0D0D"/>
          <w:spacing w:val="-4"/>
          <w:w w:val="102"/>
        </w:rPr>
        <w:t>3</w:t>
      </w:r>
      <w:r>
        <w:rPr>
          <w:color w:val="0D0D0D"/>
          <w:spacing w:val="-51"/>
          <w:w w:val="102"/>
        </w:rPr>
        <w:t>）</w:t>
      </w:r>
      <w:r>
        <w:rPr>
          <w:color w:val="0D0D0D"/>
          <w:spacing w:val="-8"/>
          <w:w w:val="102"/>
        </w:rPr>
        <w:t>可增强筹资灵活性。可转换债券的缺点</w:t>
      </w:r>
      <w:r>
        <w:rPr>
          <w:color w:val="0D0D0D"/>
          <w:spacing w:val="-223"/>
          <w:w w:val="102"/>
        </w:rPr>
        <w:t>：</w:t>
      </w:r>
      <w:r>
        <w:rPr>
          <w:color w:val="0D0D0D"/>
          <w:spacing w:val="-1"/>
          <w:w w:val="102"/>
        </w:rPr>
        <w:t>（</w:t>
      </w:r>
      <w:r>
        <w:rPr>
          <w:color w:val="0D0D0D"/>
          <w:w w:val="102"/>
        </w:rPr>
        <w:t>1</w:t>
      </w:r>
      <w:r>
        <w:rPr>
          <w:color w:val="0D0D0D"/>
          <w:spacing w:val="-54"/>
          <w:w w:val="102"/>
        </w:rPr>
        <w:t>）</w:t>
      </w:r>
      <w:r>
        <w:rPr>
          <w:color w:val="0D0D0D"/>
          <w:spacing w:val="-3"/>
          <w:w w:val="102"/>
        </w:rPr>
        <w:t>若股价低迷，</w:t>
      </w:r>
      <w:r>
        <w:rPr>
          <w:color w:val="0D0D0D"/>
          <w:w w:val="102"/>
        </w:rPr>
        <w:t>面临兑付债券本金的压力</w:t>
      </w:r>
      <w:r>
        <w:rPr>
          <w:color w:val="0D0D0D"/>
          <w:spacing w:val="-180"/>
          <w:w w:val="102"/>
        </w:rPr>
        <w:t>；</w:t>
      </w:r>
      <w:r>
        <w:rPr>
          <w:color w:val="0D0D0D"/>
          <w:w w:val="102"/>
        </w:rPr>
        <w:t>（2）存在回售风险。</w:t>
      </w:r>
    </w:p>
    <w:p>
      <w:pPr>
        <w:pStyle w:val="BodyText"/>
        <w:spacing w:line="244" w:lineRule="auto"/>
        <w:ind w:right="2673"/>
      </w:pPr>
      <w:r>
        <w:rPr>
          <w:color w:val="0D0D0D"/>
        </w:rPr>
        <w:t>9</w:t>
      </w:r>
      <w:r>
        <w:rPr>
          <w:color w:val="0D0D0D"/>
          <w:spacing w:val="3"/>
        </w:rPr>
        <w:t>、已知普通股市场价格为</w:t>
      </w:r>
      <w:r>
        <w:rPr>
          <w:color w:val="0D0D0D"/>
        </w:rPr>
        <w:t>10</w:t>
      </w:r>
      <w:r>
        <w:rPr>
          <w:color w:val="0D0D0D"/>
          <w:spacing w:val="4"/>
        </w:rPr>
        <w:t xml:space="preserve"> 元，普通股认购价格为</w:t>
      </w:r>
      <w:r>
        <w:rPr>
          <w:color w:val="0D0D0D"/>
        </w:rPr>
        <w:t>8</w:t>
      </w:r>
      <w:r>
        <w:rPr>
          <w:color w:val="0D0D0D"/>
          <w:spacing w:val="3"/>
        </w:rPr>
        <w:t xml:space="preserve"> 元，认股权证换股比率为</w:t>
      </w:r>
      <w:r>
        <w:rPr>
          <w:color w:val="0D0D0D"/>
        </w:rPr>
        <w:t>3</w:t>
      </w:r>
      <w:r>
        <w:rPr>
          <w:color w:val="0D0D0D"/>
          <w:spacing w:val="-4"/>
        </w:rPr>
        <w:t>，认股权</w:t>
      </w:r>
      <w:r>
        <w:rPr>
          <w:color w:val="0D0D0D"/>
          <w:spacing w:val="-11"/>
        </w:rPr>
        <w:t xml:space="preserve">证的实际价值为 </w:t>
      </w:r>
      <w:r>
        <w:rPr>
          <w:color w:val="0D0D0D"/>
        </w:rPr>
        <w:t>7</w:t>
      </w:r>
      <w:r>
        <w:rPr>
          <w:color w:val="0D0D0D"/>
          <w:spacing w:val="-9"/>
        </w:rPr>
        <w:t xml:space="preserve"> 元，则下列说法正确的是</w:t>
      </w:r>
      <w:r>
        <w:rPr>
          <w:color w:val="0D0D0D"/>
        </w:rPr>
        <w:t xml:space="preserve">（ </w:t>
      </w:r>
      <w:r>
        <w:rPr>
          <w:color w:val="0D0D0D"/>
          <w:spacing w:val="-159"/>
        </w:rPr>
        <w:t>）</w:t>
      </w:r>
      <w:r>
        <w:rPr>
          <w:color w:val="0D0D0D"/>
        </w:rPr>
        <w:t>。</w:t>
      </w:r>
    </w:p>
    <w:p>
      <w:pPr>
        <w:pStyle w:val="BodyText"/>
        <w:tabs>
          <w:tab w:val="left" w:pos="10970"/>
        </w:tabs>
        <w:spacing w:before="7"/>
        <w:ind w:left="3334"/>
      </w:pPr>
      <w:r>
        <w:rPr>
          <w:color w:val="0D0D0D"/>
          <w:spacing w:val="-4"/>
        </w:rPr>
        <w:t>A</w:t>
      </w:r>
      <w:r>
        <w:rPr>
          <w:color w:val="0D0D0D"/>
        </w:rPr>
        <w:t>、该认股权证的理论价值为</w:t>
      </w:r>
      <w:r>
        <w:rPr>
          <w:color w:val="0D0D0D"/>
          <w:spacing w:val="-43"/>
        </w:rPr>
        <w:t xml:space="preserve"> </w:t>
      </w:r>
      <w:r>
        <w:rPr>
          <w:color w:val="0D0D0D"/>
        </w:rPr>
        <w:t>2</w:t>
      </w:r>
      <w:r>
        <w:rPr>
          <w:color w:val="0D0D0D"/>
          <w:spacing w:val="-22"/>
        </w:rPr>
        <w:t xml:space="preserve"> </w:t>
      </w:r>
      <w:r>
        <w:rPr>
          <w:color w:val="0D0D0D"/>
        </w:rPr>
        <w:t>元</w:t>
        <w:tab/>
      </w:r>
      <w:r>
        <w:rPr>
          <w:color w:val="0D0D0D"/>
          <w:spacing w:val="-14"/>
        </w:rPr>
        <w:t>B</w:t>
      </w:r>
      <w:r>
        <w:rPr>
          <w:color w:val="0D0D0D"/>
        </w:rPr>
        <w:t>、该认股权证的理论价值为</w:t>
      </w:r>
      <w:r>
        <w:rPr>
          <w:color w:val="0D0D0D"/>
          <w:spacing w:val="23"/>
        </w:rPr>
        <w:t xml:space="preserve"> </w:t>
      </w:r>
      <w:r>
        <w:rPr>
          <w:color w:val="0D0D0D"/>
        </w:rPr>
        <w:t>6</w:t>
      </w:r>
    </w:p>
    <w:p>
      <w:pPr>
        <w:pStyle w:val="BodyText"/>
        <w:spacing w:before="9"/>
      </w:pPr>
      <w:r>
        <w:rPr>
          <w:color w:val="0D0D0D"/>
          <w:w w:val="102"/>
        </w:rPr>
        <w:t>元</w:t>
      </w:r>
    </w:p>
    <w:p>
      <w:pPr>
        <w:pStyle w:val="BodyText"/>
        <w:tabs>
          <w:tab w:val="left" w:pos="10910"/>
        </w:tabs>
        <w:spacing w:before="10"/>
        <w:ind w:left="3334"/>
      </w:pPr>
      <w:r>
        <w:rPr>
          <w:color w:val="0D0D0D"/>
          <w:spacing w:val="-4"/>
        </w:rPr>
        <w:t>C</w:t>
      </w:r>
      <w:r>
        <w:rPr>
          <w:color w:val="0D0D0D"/>
        </w:rPr>
        <w:t>、该认股权证的超理论价值溢价为</w:t>
      </w:r>
      <w:r>
        <w:rPr>
          <w:color w:val="0D0D0D"/>
          <w:spacing w:val="-73"/>
        </w:rPr>
        <w:t xml:space="preserve"> </w:t>
      </w:r>
      <w:r>
        <w:rPr>
          <w:color w:val="0D0D0D"/>
        </w:rPr>
        <w:t>5</w:t>
      </w:r>
      <w:r>
        <w:rPr>
          <w:color w:val="0D0D0D"/>
          <w:spacing w:val="-40"/>
        </w:rPr>
        <w:t xml:space="preserve"> </w:t>
      </w:r>
      <w:r>
        <w:rPr>
          <w:color w:val="0D0D0D"/>
        </w:rPr>
        <w:t>元</w:t>
        <w:tab/>
      </w:r>
      <w:r>
        <w:rPr>
          <w:color w:val="0D0D0D"/>
          <w:spacing w:val="-1"/>
        </w:rPr>
        <w:t>D</w:t>
      </w:r>
      <w:r>
        <w:rPr>
          <w:color w:val="0D0D0D"/>
        </w:rPr>
        <w:t>、该认股权证的超理论价值溢</w:t>
      </w:r>
    </w:p>
    <w:p>
      <w:pPr>
        <w:pStyle w:val="BodyText"/>
        <w:spacing w:before="13"/>
      </w:pPr>
      <w:r>
        <w:rPr>
          <w:color w:val="0D0D0D"/>
        </w:rPr>
        <w:t>价为 1 元</w:t>
      </w:r>
    </w:p>
    <w:p>
      <w:pPr>
        <w:spacing w:before="10"/>
        <w:ind w:left="3330" w:right="0" w:firstLine="0"/>
        <w:jc w:val="left"/>
        <w:rPr>
          <w:sz w:val="31"/>
        </w:rPr>
      </w:pPr>
      <w:r>
        <w:rPr>
          <w:b/>
          <w:color w:val="0D0D0D"/>
          <w:sz w:val="31"/>
        </w:rPr>
        <w:t>答案:</w:t>
      </w:r>
      <w:r>
        <w:rPr>
          <w:color w:val="0D0D0D"/>
          <w:sz w:val="31"/>
        </w:rPr>
        <w:t>BD</w:t>
      </w:r>
    </w:p>
    <w:p>
      <w:pPr>
        <w:pStyle w:val="BodyText"/>
        <w:spacing w:before="13" w:line="244" w:lineRule="auto"/>
        <w:ind w:right="2691" w:firstLine="629"/>
      </w:pPr>
      <w:r>
        <w:rPr>
          <w:b/>
          <w:color w:val="0D0D0D"/>
        </w:rPr>
        <w:t>解析:</w:t>
      </w:r>
      <w:r>
        <w:rPr>
          <w:color w:val="0D0D0D"/>
          <w:spacing w:val="-5"/>
        </w:rPr>
        <w:t>认股权证理论价值=</w:t>
      </w:r>
      <w:r>
        <w:rPr>
          <w:color w:val="0D0D0D"/>
          <w:spacing w:val="-26"/>
        </w:rPr>
        <w:t>（</w:t>
      </w:r>
      <w:r>
        <w:rPr>
          <w:color w:val="0D0D0D"/>
        </w:rPr>
        <w:t>普通股市价－普通股认购价格</w:t>
      </w:r>
      <w:r>
        <w:rPr>
          <w:color w:val="0D0D0D"/>
          <w:spacing w:val="-36"/>
        </w:rPr>
        <w:t>）</w:t>
      </w:r>
      <w:r>
        <w:rPr>
          <w:color w:val="0D0D0D"/>
          <w:spacing w:val="-13"/>
        </w:rPr>
        <w:t>×认股权证换股比率，认股</w:t>
      </w:r>
      <w:r>
        <w:rPr>
          <w:color w:val="0D0D0D"/>
          <w:spacing w:val="-3"/>
        </w:rPr>
        <w:t>权证的超理论价值溢价=认股权证实际价值－认股权证理论价值。</w:t>
      </w:r>
    </w:p>
    <w:p>
      <w:pPr>
        <w:pStyle w:val="BodyText"/>
        <w:spacing w:before="8"/>
      </w:pPr>
      <w:r>
        <w:rPr>
          <w:color w:val="0D0D0D"/>
        </w:rPr>
        <w:t xml:space="preserve">10、下列有关优先股的表述，正确的是（ </w:t>
      </w:r>
      <w:r>
        <w:rPr>
          <w:color w:val="0D0D0D"/>
          <w:spacing w:val="-159"/>
        </w:rPr>
        <w:t>）</w:t>
      </w:r>
      <w:r>
        <w:rPr>
          <w:color w:val="0D0D0D"/>
        </w:rPr>
        <w:t>。</w:t>
      </w:r>
    </w:p>
    <w:p>
      <w:pPr>
        <w:pStyle w:val="BodyText"/>
        <w:spacing w:before="9" w:line="247" w:lineRule="auto"/>
        <w:ind w:left="3334" w:right="3280"/>
      </w:pPr>
      <w:r>
        <w:rPr>
          <w:color w:val="0D0D0D"/>
          <w:spacing w:val="-4"/>
        </w:rPr>
        <w:t>A</w:t>
      </w:r>
      <w:r>
        <w:rPr>
          <w:color w:val="0D0D0D"/>
          <w:spacing w:val="-1"/>
        </w:rPr>
        <w:t xml:space="preserve">、可转换优先股是股东可在一定时期内按一定比例把优先股转换成普通股的股票 </w:t>
      </w:r>
      <w:r>
        <w:rPr>
          <w:color w:val="0D0D0D"/>
          <w:spacing w:val="-4"/>
        </w:rPr>
        <w:t>B</w:t>
      </w:r>
      <w:r>
        <w:rPr>
          <w:color w:val="0D0D0D"/>
        </w:rPr>
        <w:t>、非参与优先股是不能参加利润分配的优先股</w:t>
      </w:r>
    </w:p>
    <w:p>
      <w:pPr>
        <w:pStyle w:val="BodyText"/>
        <w:spacing w:line="247" w:lineRule="auto"/>
        <w:ind w:left="3334" w:right="4547"/>
      </w:pPr>
      <w:r>
        <w:rPr>
          <w:color w:val="0D0D0D"/>
          <w:spacing w:val="-4"/>
        </w:rPr>
        <w:t>C</w:t>
      </w:r>
      <w:r>
        <w:rPr>
          <w:color w:val="0D0D0D"/>
          <w:spacing w:val="-1"/>
        </w:rPr>
        <w:t xml:space="preserve">、非累积优先股是仅按当年利润分取股利，而不予以累积补付的优先股 </w:t>
      </w:r>
      <w:r>
        <w:rPr>
          <w:color w:val="0D0D0D"/>
          <w:spacing w:val="-4"/>
        </w:rPr>
        <w:t>D</w:t>
      </w:r>
      <w:r>
        <w:rPr>
          <w:color w:val="0D0D0D"/>
        </w:rPr>
        <w:t>、可赎回优先股是股份公司可以按一定价格收回的优先股</w:t>
      </w:r>
    </w:p>
    <w:p>
      <w:pPr>
        <w:spacing w:before="0" w:line="396" w:lineRule="exact"/>
        <w:ind w:left="3330" w:right="0" w:firstLine="0"/>
        <w:jc w:val="left"/>
        <w:rPr>
          <w:sz w:val="31"/>
        </w:rPr>
      </w:pPr>
      <w:r>
        <w:rPr>
          <w:b/>
          <w:color w:val="0D0D0D"/>
          <w:sz w:val="31"/>
        </w:rPr>
        <w:t>答案:</w:t>
      </w:r>
      <w:r>
        <w:rPr>
          <w:color w:val="0D0D0D"/>
          <w:sz w:val="31"/>
        </w:rPr>
        <w:t>ACD</w:t>
      </w:r>
    </w:p>
    <w:p>
      <w:pPr>
        <w:pStyle w:val="BodyText"/>
        <w:spacing w:before="12" w:line="244" w:lineRule="auto"/>
        <w:ind w:right="2674" w:firstLine="629"/>
      </w:pPr>
      <w:r>
        <w:rPr>
          <w:b/>
          <w:color w:val="0D0D0D"/>
        </w:rPr>
        <w:t>解析:</w:t>
      </w:r>
      <w:r>
        <w:rPr>
          <w:color w:val="0D0D0D"/>
          <w:spacing w:val="7"/>
        </w:rPr>
        <w:t xml:space="preserve">见教材 </w:t>
      </w:r>
      <w:r>
        <w:rPr>
          <w:color w:val="0D0D0D"/>
        </w:rPr>
        <w:t>91</w:t>
      </w:r>
      <w:r>
        <w:rPr>
          <w:color w:val="0D0D0D"/>
          <w:spacing w:val="-13"/>
        </w:rPr>
        <w:t xml:space="preserve"> 页，非参与优先股是指不能参与剩余利润的分配，只能取得固定股利的</w:t>
      </w:r>
      <w:r>
        <w:rPr>
          <w:color w:val="0D0D0D"/>
        </w:rPr>
        <w:t>优先股。</w:t>
      </w:r>
    </w:p>
    <w:p>
      <w:pPr>
        <w:pStyle w:val="BodyText"/>
        <w:spacing w:before="7"/>
      </w:pPr>
      <w:r>
        <w:rPr>
          <w:color w:val="0D0D0D"/>
        </w:rPr>
        <w:t xml:space="preserve">11、影响债券发行价格的因素包括（ </w:t>
      </w:r>
      <w:r>
        <w:rPr>
          <w:color w:val="0D0D0D"/>
          <w:spacing w:val="-159"/>
        </w:rPr>
        <w:t>）</w:t>
      </w:r>
      <w:r>
        <w:rPr>
          <w:color w:val="0D0D0D"/>
        </w:rPr>
        <w:t>。</w:t>
      </w:r>
    </w:p>
    <w:p>
      <w:pPr>
        <w:pStyle w:val="BodyText"/>
        <w:tabs>
          <w:tab w:val="left" w:pos="6485"/>
          <w:tab w:val="left" w:pos="9321"/>
          <w:tab w:val="left" w:pos="12627"/>
        </w:tabs>
        <w:spacing w:before="10" w:line="247" w:lineRule="auto"/>
        <w:ind w:left="3330" w:right="3489" w:firstLine="3"/>
      </w:pPr>
      <w:r>
        <w:rPr>
          <w:color w:val="0D0D0D"/>
          <w:spacing w:val="-4"/>
        </w:rPr>
        <w:t>A</w:t>
      </w:r>
      <w:r>
        <w:rPr>
          <w:color w:val="0D0D0D"/>
        </w:rPr>
        <w:t>、债券面额</w:t>
        <w:tab/>
        <w:t>B、票面利率</w:t>
        <w:tab/>
      </w:r>
      <w:r>
        <w:rPr>
          <w:color w:val="0D0D0D"/>
          <w:spacing w:val="-3"/>
        </w:rPr>
        <w:t>C</w:t>
      </w:r>
      <w:r>
        <w:rPr>
          <w:color w:val="0D0D0D"/>
        </w:rPr>
        <w:t>、市场利率</w:t>
        <w:tab/>
        <w:t>D、债券期</w:t>
      </w:r>
      <w:r>
        <w:rPr>
          <w:color w:val="0D0D0D"/>
          <w:spacing w:val="-19"/>
        </w:rPr>
        <w:t>限</w:t>
      </w:r>
      <w:r>
        <w:rPr>
          <w:b/>
          <w:color w:val="0D0D0D"/>
        </w:rPr>
        <w:t>答案:</w:t>
      </w:r>
      <w:r>
        <w:rPr>
          <w:color w:val="0D0D0D"/>
        </w:rPr>
        <w:t>ABCD</w:t>
      </w:r>
    </w:p>
    <w:p>
      <w:pPr>
        <w:pStyle w:val="BodyText"/>
        <w:spacing w:line="396" w:lineRule="exact"/>
        <w:ind w:left="3330"/>
      </w:pPr>
      <w:r>
        <w:rPr>
          <w:b/>
          <w:color w:val="0D0D0D"/>
        </w:rPr>
        <w:t>解析:</w:t>
      </w:r>
      <w:r>
        <w:rPr>
          <w:color w:val="0D0D0D"/>
        </w:rPr>
        <w:t>债券发行价格=∑各期利息的现值+到期本金（面值）的现值，债券的总利息与A、</w:t>
      </w:r>
    </w:p>
    <w:p>
      <w:pPr>
        <w:pStyle w:val="BodyText"/>
        <w:spacing w:before="13"/>
      </w:pPr>
      <w:r>
        <w:rPr>
          <w:color w:val="0D0D0D"/>
        </w:rPr>
        <w:t>B、D 直接有关，C 为计算现值的折现率。</w:t>
      </w:r>
    </w:p>
    <w:p>
      <w:pPr>
        <w:pStyle w:val="BodyText"/>
        <w:spacing w:before="11"/>
      </w:pPr>
      <w:r>
        <w:rPr>
          <w:color w:val="0D0D0D"/>
        </w:rPr>
        <w:t xml:space="preserve">12、普通股与优先股的共同特征主要有（ </w:t>
      </w:r>
      <w:r>
        <w:rPr>
          <w:color w:val="0D0D0D"/>
          <w:spacing w:val="-159"/>
        </w:rPr>
        <w:t>）</w:t>
      </w:r>
      <w:r>
        <w:rPr>
          <w:color w:val="0D0D0D"/>
        </w:rPr>
        <w:t>。</w:t>
      </w:r>
    </w:p>
    <w:p>
      <w:pPr>
        <w:pStyle w:val="BodyText"/>
        <w:tabs>
          <w:tab w:val="left" w:pos="8061"/>
        </w:tabs>
        <w:spacing w:before="13"/>
        <w:ind w:left="3334"/>
      </w:pPr>
      <w:r>
        <w:rPr>
          <w:color w:val="0D0D0D"/>
          <w:spacing w:val="-4"/>
        </w:rPr>
        <w:t>A</w:t>
      </w:r>
      <w:r>
        <w:rPr>
          <w:color w:val="0D0D0D"/>
        </w:rPr>
        <w:t>、需支付固定股息</w:t>
        <w:tab/>
      </w:r>
      <w:r>
        <w:rPr>
          <w:color w:val="0D0D0D"/>
          <w:spacing w:val="-4"/>
        </w:rPr>
        <w:t>B</w:t>
      </w:r>
      <w:r>
        <w:rPr>
          <w:color w:val="0D0D0D"/>
        </w:rPr>
        <w:t>、股息从净利润中支付</w:t>
      </w:r>
    </w:p>
    <w:p>
      <w:pPr>
        <w:pStyle w:val="BodyText"/>
        <w:tabs>
          <w:tab w:val="left" w:pos="8069"/>
        </w:tabs>
        <w:spacing w:before="9" w:line="244" w:lineRule="auto"/>
        <w:ind w:left="3330" w:right="6474" w:firstLine="3"/>
      </w:pPr>
      <w:r>
        <w:rPr>
          <w:color w:val="0D0D0D"/>
          <w:spacing w:val="-4"/>
        </w:rPr>
        <w:t>C</w:t>
      </w:r>
      <w:r>
        <w:rPr>
          <w:color w:val="0D0D0D"/>
        </w:rPr>
        <w:t>、同属公司股本</w:t>
        <w:tab/>
      </w:r>
      <w:r>
        <w:rPr>
          <w:color w:val="0D0D0D"/>
          <w:spacing w:val="-11"/>
        </w:rPr>
        <w:t>D</w:t>
      </w:r>
      <w:r>
        <w:rPr>
          <w:color w:val="0D0D0D"/>
        </w:rPr>
        <w:t>、可参与公司重大决</w:t>
      </w:r>
      <w:r>
        <w:rPr>
          <w:color w:val="0D0D0D"/>
          <w:spacing w:val="-19"/>
        </w:rPr>
        <w:t>策</w:t>
      </w:r>
      <w:r>
        <w:rPr>
          <w:b/>
          <w:color w:val="0D0D0D"/>
        </w:rPr>
        <w:t>答案:</w:t>
      </w:r>
      <w:r>
        <w:rPr>
          <w:color w:val="0D0D0D"/>
        </w:rPr>
        <w:t>BC</w:t>
      </w:r>
    </w:p>
    <w:p>
      <w:pPr>
        <w:pStyle w:val="BodyText"/>
        <w:spacing w:before="7"/>
        <w:ind w:left="3330"/>
      </w:pPr>
      <w:r>
        <w:rPr>
          <w:b/>
          <w:color w:val="0D0D0D"/>
        </w:rPr>
        <w:t>解析:</w:t>
      </w:r>
      <w:r>
        <w:rPr>
          <w:color w:val="0D0D0D"/>
        </w:rPr>
        <w:t>需支付固定股息属于优先股的特征；优先股股东不能参与公司重大决策。</w:t>
      </w:r>
    </w:p>
    <w:p>
      <w:pPr>
        <w:pStyle w:val="BodyText"/>
        <w:spacing w:before="10"/>
      </w:pPr>
      <w:r>
        <w:rPr>
          <w:color w:val="0D0D0D"/>
        </w:rPr>
        <w:t xml:space="preserve">13、普通股股东所拥有的权利包括（ </w:t>
      </w:r>
      <w:r>
        <w:rPr>
          <w:color w:val="0D0D0D"/>
          <w:spacing w:val="-159"/>
        </w:rPr>
        <w:t>）</w:t>
      </w:r>
      <w:r>
        <w:rPr>
          <w:color w:val="0D0D0D"/>
        </w:rPr>
        <w:t>。</w:t>
      </w:r>
    </w:p>
    <w:p>
      <w:pPr>
        <w:pStyle w:val="BodyText"/>
        <w:tabs>
          <w:tab w:val="left" w:pos="6765"/>
          <w:tab w:val="left" w:pos="10197"/>
          <w:tab w:val="left" w:pos="13470"/>
        </w:tabs>
        <w:spacing w:before="13" w:line="244" w:lineRule="auto"/>
        <w:ind w:right="2644" w:firstLine="633"/>
      </w:pPr>
      <w:r>
        <w:rPr>
          <w:color w:val="0D0D0D"/>
          <w:spacing w:val="-4"/>
        </w:rPr>
        <w:t>A</w:t>
      </w:r>
      <w:r>
        <w:rPr>
          <w:color w:val="0D0D0D"/>
        </w:rPr>
        <w:t>、分享盈余权</w:t>
        <w:tab/>
        <w:t>B</w:t>
      </w:r>
      <w:r>
        <w:rPr>
          <w:color w:val="0D0D0D"/>
          <w:spacing w:val="-40"/>
        </w:rPr>
        <w:t>、</w:t>
      </w:r>
      <w:r>
        <w:rPr>
          <w:color w:val="0D0D0D"/>
        </w:rPr>
        <w:t>优先认股权</w:t>
        <w:tab/>
        <w:t>C</w:t>
      </w:r>
      <w:r>
        <w:rPr>
          <w:color w:val="0D0D0D"/>
          <w:spacing w:val="-40"/>
        </w:rPr>
        <w:t>、</w:t>
      </w:r>
      <w:r>
        <w:rPr>
          <w:color w:val="0D0D0D"/>
        </w:rPr>
        <w:t>转让股份权</w:t>
        <w:tab/>
        <w:t>D、优先分</w:t>
      </w:r>
      <w:r>
        <w:rPr>
          <w:color w:val="0D0D0D"/>
          <w:spacing w:val="-17"/>
        </w:rPr>
        <w:t>配</w:t>
      </w:r>
      <w:r>
        <w:rPr>
          <w:color w:val="0D0D0D"/>
        </w:rPr>
        <w:t>剩余资产权</w:t>
      </w:r>
    </w:p>
    <w:p>
      <w:pPr>
        <w:spacing w:before="7"/>
        <w:ind w:left="3330" w:right="0" w:firstLine="0"/>
        <w:jc w:val="left"/>
        <w:rPr>
          <w:sz w:val="31"/>
        </w:rPr>
      </w:pPr>
      <w:r>
        <w:rPr>
          <w:b/>
          <w:color w:val="0D0D0D"/>
          <w:sz w:val="31"/>
        </w:rPr>
        <w:t>答案:</w:t>
      </w:r>
      <w:r>
        <w:rPr>
          <w:color w:val="0D0D0D"/>
          <w:sz w:val="31"/>
        </w:rPr>
        <w:t>ABC</w:t>
      </w:r>
    </w:p>
    <w:p>
      <w:pPr>
        <w:pStyle w:val="BodyText"/>
        <w:spacing w:before="10"/>
        <w:ind w:left="3330"/>
      </w:pPr>
      <w:r>
        <w:rPr>
          <w:b/>
          <w:color w:val="0D0D0D"/>
        </w:rPr>
        <w:t>解析:</w:t>
      </w:r>
      <w:r>
        <w:rPr>
          <w:color w:val="0D0D0D"/>
        </w:rPr>
        <w:t>优先分配剩余财产权属于优先股股东权利。</w:t>
      </w:r>
    </w:p>
    <w:p>
      <w:pPr>
        <w:pStyle w:val="BodyText"/>
        <w:spacing w:before="13"/>
      </w:pPr>
      <w:r>
        <w:rPr>
          <w:color w:val="0D0D0D"/>
        </w:rPr>
        <w:t xml:space="preserve">14、吸收直接投资的优点包括（ </w:t>
      </w:r>
      <w:r>
        <w:rPr>
          <w:color w:val="0D0D0D"/>
          <w:spacing w:val="-159"/>
        </w:rPr>
        <w:t>）</w:t>
      </w:r>
      <w:r>
        <w:rPr>
          <w:color w:val="0D0D0D"/>
        </w:rPr>
        <w:t>。</w:t>
      </w:r>
    </w:p>
    <w:p>
      <w:pPr>
        <w:spacing w:after="0"/>
        <w:sectPr>
          <w:headerReference w:type="default" r:id="rId90"/>
          <w:footerReference w:type="default" r:id="rId91"/>
          <w:pgSz w:w="17860" w:h="25260"/>
          <w:pgMar w:top="1720" w:right="0" w:bottom="1940" w:left="0" w:header="1129" w:footer="1752"/>
          <w:pgNumType w:start="7"/>
          <w:cols w:space="708"/>
        </w:sectPr>
      </w:pPr>
    </w:p>
    <w:p>
      <w:pPr>
        <w:pStyle w:val="BodyText"/>
        <w:spacing w:before="3"/>
        <w:ind w:left="0"/>
        <w:rPr>
          <w:sz w:val="8"/>
        </w:rPr>
      </w:pPr>
    </w:p>
    <w:p>
      <w:pPr>
        <w:pStyle w:val="BodyText"/>
        <w:spacing w:before="63" w:line="247" w:lineRule="auto"/>
        <w:ind w:left="3330" w:right="5209" w:firstLine="3"/>
        <w:jc w:val="both"/>
      </w:pPr>
      <w:r>
        <w:rPr>
          <w:color w:val="0D0D0D"/>
        </w:rPr>
        <w:t>A、有利于降低企业资金成本          B、有利于加强对企业的控制C、有利于壮大企业经营实力         D、有利于降低企业财务风险</w:t>
      </w:r>
      <w:r>
        <w:rPr>
          <w:b/>
          <w:color w:val="0D0D0D"/>
        </w:rPr>
        <w:t>答案:</w:t>
      </w:r>
      <w:r>
        <w:rPr>
          <w:color w:val="0D0D0D"/>
        </w:rPr>
        <w:t>CD</w:t>
      </w:r>
    </w:p>
    <w:p>
      <w:pPr>
        <w:pStyle w:val="BodyText"/>
        <w:spacing w:line="247" w:lineRule="auto"/>
        <w:ind w:right="2643" w:firstLine="629"/>
      </w:pPr>
      <w:r>
        <w:rPr>
          <w:b/>
          <w:color w:val="0D0D0D"/>
        </w:rPr>
        <w:t>解析:</w:t>
      </w:r>
      <w:r>
        <w:rPr>
          <w:color w:val="0D0D0D"/>
        </w:rPr>
        <w:t>吸收直接投资的优点为：有利于增强企业信誉；有利于尽快形成生产能力；有利于降低财务风险。</w:t>
      </w:r>
    </w:p>
    <w:p>
      <w:pPr>
        <w:pStyle w:val="BodyText"/>
        <w:spacing w:line="396" w:lineRule="exact"/>
      </w:pPr>
      <w:r>
        <w:rPr>
          <w:color w:val="0D0D0D"/>
        </w:rPr>
        <w:t xml:space="preserve">15、杠杆收购筹资的特点有（ </w:t>
      </w:r>
      <w:r>
        <w:rPr>
          <w:color w:val="0D0D0D"/>
          <w:spacing w:val="-162"/>
        </w:rPr>
        <w:t>）</w:t>
      </w:r>
      <w:r>
        <w:rPr>
          <w:color w:val="0D0D0D"/>
        </w:rPr>
        <w:t>。</w:t>
      </w:r>
    </w:p>
    <w:p>
      <w:pPr>
        <w:pStyle w:val="BodyText"/>
        <w:spacing w:before="10"/>
        <w:ind w:left="3334"/>
      </w:pPr>
      <w:r>
        <w:rPr>
          <w:color w:val="0D0D0D"/>
        </w:rPr>
        <w:t>A、杠杆收购筹资的财务杠杆比率非常高</w:t>
      </w:r>
    </w:p>
    <w:p>
      <w:pPr>
        <w:pStyle w:val="BodyText"/>
        <w:spacing w:before="10" w:line="247" w:lineRule="auto"/>
        <w:ind w:left="3334" w:right="4864"/>
      </w:pPr>
      <w:r>
        <w:rPr>
          <w:color w:val="0D0D0D"/>
          <w:spacing w:val="-4"/>
        </w:rPr>
        <w:t>B</w:t>
      </w:r>
      <w:r>
        <w:rPr>
          <w:color w:val="0D0D0D"/>
          <w:spacing w:val="-1"/>
        </w:rPr>
        <w:t xml:space="preserve">、以杠杆筹资方式进行企业兼并、改组，有助于促进企业的优胜劣汰 </w:t>
      </w:r>
      <w:r>
        <w:rPr>
          <w:color w:val="0D0D0D"/>
          <w:spacing w:val="-4"/>
        </w:rPr>
        <w:t>C</w:t>
      </w:r>
      <w:r>
        <w:rPr>
          <w:color w:val="0D0D0D"/>
        </w:rPr>
        <w:t>、对于银行而言，贷款的安全性保障程度高</w:t>
      </w:r>
    </w:p>
    <w:p>
      <w:pPr>
        <w:pStyle w:val="BodyText"/>
        <w:spacing w:line="247" w:lineRule="auto"/>
        <w:ind w:left="3330" w:right="2648" w:firstLine="3"/>
      </w:pPr>
      <w:r>
        <w:rPr>
          <w:color w:val="0D0D0D"/>
        </w:rPr>
        <w:t>D、筹资企业利用杠杆收购筹资有时还可以得到意外的收益，即所收购企业的资产增值</w:t>
      </w:r>
      <w:r>
        <w:rPr>
          <w:b/>
          <w:color w:val="0D0D0D"/>
        </w:rPr>
        <w:t>答案:</w:t>
      </w:r>
      <w:r>
        <w:rPr>
          <w:color w:val="0D0D0D"/>
        </w:rPr>
        <w:t>ABCD</w:t>
      </w:r>
    </w:p>
    <w:p>
      <w:pPr>
        <w:pStyle w:val="BodyText"/>
        <w:spacing w:line="247" w:lineRule="auto"/>
        <w:ind w:right="2614" w:firstLine="629"/>
      </w:pPr>
      <w:r>
        <w:rPr>
          <w:b/>
          <w:color w:val="0D0D0D"/>
          <w:w w:val="101"/>
        </w:rPr>
        <w:t>解析</w:t>
      </w:r>
      <w:r>
        <w:rPr>
          <w:b/>
          <w:color w:val="0D0D0D"/>
          <w:spacing w:val="3"/>
          <w:w w:val="101"/>
        </w:rPr>
        <w:t>:</w:t>
      </w:r>
      <w:r>
        <w:rPr>
          <w:color w:val="0D0D0D"/>
          <w:w w:val="102"/>
        </w:rPr>
        <w:t>杠杆收购筹资的优势有</w:t>
      </w:r>
      <w:r>
        <w:rPr>
          <w:color w:val="0D0D0D"/>
          <w:spacing w:val="-176"/>
          <w:w w:val="102"/>
        </w:rPr>
        <w:t>：</w:t>
      </w:r>
      <w:r>
        <w:rPr>
          <w:color w:val="0D0D0D"/>
          <w:w w:val="102"/>
        </w:rPr>
        <w:t>（1）杠杆收购筹资的财务杠杆比率非常高</w:t>
      </w:r>
      <w:r>
        <w:rPr>
          <w:color w:val="0D0D0D"/>
          <w:spacing w:val="-187"/>
          <w:w w:val="102"/>
        </w:rPr>
        <w:t>；</w:t>
      </w:r>
      <w:r>
        <w:rPr>
          <w:color w:val="0D0D0D"/>
          <w:w w:val="102"/>
        </w:rPr>
        <w:t>（2）以杠杆筹资方式进行企业兼并、改组，有助于促进企业的优胜劣汰</w:t>
      </w:r>
      <w:r>
        <w:rPr>
          <w:color w:val="0D0D0D"/>
          <w:spacing w:val="-287"/>
          <w:w w:val="102"/>
        </w:rPr>
        <w:t>；</w:t>
      </w:r>
      <w:r>
        <w:rPr>
          <w:color w:val="0D0D0D"/>
          <w:w w:val="102"/>
        </w:rPr>
        <w:t>（3）</w:t>
      </w:r>
      <w:r>
        <w:rPr>
          <w:color w:val="0D0D0D"/>
          <w:spacing w:val="-2"/>
          <w:w w:val="102"/>
        </w:rPr>
        <w:t>对于银行而言，贷款的安</w:t>
      </w:r>
      <w:r>
        <w:rPr>
          <w:color w:val="0D0D0D"/>
          <w:w w:val="102"/>
        </w:rPr>
        <w:t>全性保障程度高</w:t>
      </w:r>
      <w:r>
        <w:rPr>
          <w:color w:val="0D0D0D"/>
          <w:spacing w:val="-216"/>
          <w:w w:val="102"/>
        </w:rPr>
        <w:t>；</w:t>
      </w:r>
      <w:r>
        <w:rPr>
          <w:color w:val="0D0D0D"/>
          <w:spacing w:val="-1"/>
          <w:w w:val="102"/>
        </w:rPr>
        <w:t>（</w:t>
      </w:r>
      <w:r>
        <w:rPr>
          <w:color w:val="0D0D0D"/>
          <w:spacing w:val="-4"/>
          <w:w w:val="102"/>
        </w:rPr>
        <w:t>4</w:t>
      </w:r>
      <w:r>
        <w:rPr>
          <w:color w:val="0D0D0D"/>
          <w:spacing w:val="-51"/>
          <w:w w:val="102"/>
        </w:rPr>
        <w:t>）</w:t>
      </w:r>
      <w:r>
        <w:rPr>
          <w:color w:val="0D0D0D"/>
          <w:spacing w:val="-4"/>
          <w:w w:val="102"/>
        </w:rPr>
        <w:t>筹资企业利用杠杆收购筹资有时还可以得到意外的收益，即所收购企</w:t>
      </w:r>
      <w:r>
        <w:rPr>
          <w:color w:val="0D0D0D"/>
          <w:spacing w:val="-28"/>
          <w:w w:val="102"/>
        </w:rPr>
        <w:t>业的资产增值；</w:t>
      </w:r>
      <w:r>
        <w:rPr>
          <w:color w:val="0D0D0D"/>
          <w:spacing w:val="-1"/>
          <w:w w:val="102"/>
        </w:rPr>
        <w:t>（</w:t>
      </w:r>
      <w:r>
        <w:rPr>
          <w:color w:val="0D0D0D"/>
          <w:w w:val="102"/>
        </w:rPr>
        <w:t xml:space="preserve">5）杠杆收购，可以充分调动参股者的积极性，提高投资者的收益能力。 </w:t>
      </w:r>
      <w:r>
        <w:rPr>
          <w:color w:val="0D0D0D"/>
        </w:rPr>
        <w:t xml:space="preserve">16、下列有关公司债券与股票的区别有（ </w:t>
      </w:r>
      <w:r>
        <w:rPr>
          <w:color w:val="0D0D0D"/>
          <w:spacing w:val="-159"/>
        </w:rPr>
        <w:t>）</w:t>
      </w:r>
      <w:r>
        <w:rPr>
          <w:color w:val="0D0D0D"/>
        </w:rPr>
        <w:t>。</w:t>
      </w:r>
    </w:p>
    <w:p>
      <w:pPr>
        <w:pStyle w:val="BodyText"/>
        <w:tabs>
          <w:tab w:val="left" w:pos="11856"/>
        </w:tabs>
        <w:spacing w:line="244" w:lineRule="auto"/>
        <w:ind w:right="2677" w:firstLine="633"/>
      </w:pPr>
      <w:r>
        <w:rPr>
          <w:color w:val="0D0D0D"/>
        </w:rPr>
        <w:t>A、债券是固定收益证券，股票多为变动收益证券</w:t>
        <w:tab/>
      </w:r>
      <w:r>
        <w:rPr>
          <w:color w:val="0D0D0D"/>
          <w:spacing w:val="-4"/>
        </w:rPr>
        <w:t>B</w:t>
      </w:r>
      <w:r>
        <w:rPr>
          <w:color w:val="0D0D0D"/>
        </w:rPr>
        <w:t>、债券风险较小，股</w:t>
      </w:r>
      <w:r>
        <w:rPr>
          <w:color w:val="0D0D0D"/>
          <w:spacing w:val="-16"/>
        </w:rPr>
        <w:t>票</w:t>
      </w:r>
      <w:r>
        <w:rPr>
          <w:color w:val="0D0D0D"/>
        </w:rPr>
        <w:t>风险较大</w:t>
      </w:r>
    </w:p>
    <w:p>
      <w:pPr>
        <w:pStyle w:val="BodyText"/>
        <w:tabs>
          <w:tab w:val="left" w:pos="11856"/>
        </w:tabs>
        <w:spacing w:before="5" w:line="244" w:lineRule="auto"/>
        <w:ind w:right="2677" w:firstLine="633"/>
      </w:pPr>
      <w:r>
        <w:rPr>
          <w:color w:val="0D0D0D"/>
        </w:rPr>
        <w:t>C、债券到期必须还本付息，股票一般不退还股本</w:t>
        <w:tab/>
      </w:r>
      <w:r>
        <w:rPr>
          <w:color w:val="0D0D0D"/>
          <w:spacing w:val="-4"/>
        </w:rPr>
        <w:t>D</w:t>
      </w:r>
      <w:r>
        <w:rPr>
          <w:color w:val="0D0D0D"/>
        </w:rPr>
        <w:t>、债券在剩余财产分</w:t>
      </w:r>
      <w:r>
        <w:rPr>
          <w:color w:val="0D0D0D"/>
          <w:spacing w:val="-16"/>
        </w:rPr>
        <w:t>配</w:t>
      </w:r>
      <w:r>
        <w:rPr>
          <w:color w:val="0D0D0D"/>
        </w:rPr>
        <w:t>中优于股票</w:t>
      </w:r>
    </w:p>
    <w:p>
      <w:pPr>
        <w:spacing w:before="7"/>
        <w:ind w:left="3330" w:right="0" w:firstLine="0"/>
        <w:jc w:val="left"/>
        <w:rPr>
          <w:sz w:val="31"/>
        </w:rPr>
      </w:pPr>
      <w:r>
        <w:rPr>
          <w:b/>
          <w:color w:val="0D0D0D"/>
          <w:sz w:val="31"/>
        </w:rPr>
        <w:t>答案:</w:t>
      </w:r>
      <w:r>
        <w:rPr>
          <w:color w:val="0D0D0D"/>
          <w:sz w:val="31"/>
        </w:rPr>
        <w:t>ABCD</w:t>
      </w:r>
    </w:p>
    <w:p>
      <w:pPr>
        <w:pStyle w:val="BodyText"/>
        <w:spacing w:before="10" w:line="247" w:lineRule="auto"/>
        <w:ind w:right="2660" w:firstLine="629"/>
        <w:jc w:val="both"/>
      </w:pPr>
      <w:r>
        <w:rPr>
          <w:b/>
          <w:color w:val="0D0D0D"/>
          <w:w w:val="101"/>
        </w:rPr>
        <w:t>解析</w:t>
      </w:r>
      <w:r>
        <w:rPr>
          <w:b/>
          <w:color w:val="0D0D0D"/>
          <w:spacing w:val="3"/>
          <w:w w:val="101"/>
        </w:rPr>
        <w:t>:</w:t>
      </w:r>
      <w:r>
        <w:rPr>
          <w:color w:val="0D0D0D"/>
          <w:w w:val="102"/>
        </w:rPr>
        <w:t>公司债券与股票的区别有</w:t>
      </w:r>
      <w:r>
        <w:rPr>
          <w:color w:val="0D0D0D"/>
          <w:spacing w:val="-176"/>
          <w:w w:val="102"/>
        </w:rPr>
        <w:t>：</w:t>
      </w:r>
      <w:r>
        <w:rPr>
          <w:color w:val="0D0D0D"/>
          <w:w w:val="102"/>
        </w:rPr>
        <w:t>（</w:t>
      </w:r>
      <w:r>
        <w:rPr>
          <w:color w:val="0D0D0D"/>
          <w:spacing w:val="-4"/>
          <w:w w:val="102"/>
        </w:rPr>
        <w:t>1</w:t>
      </w:r>
      <w:r>
        <w:rPr>
          <w:color w:val="0D0D0D"/>
          <w:w w:val="102"/>
        </w:rPr>
        <w:t>）债券是债务凭证股票是所有权凭证</w:t>
      </w:r>
      <w:r>
        <w:rPr>
          <w:color w:val="0D0D0D"/>
          <w:spacing w:val="-183"/>
          <w:w w:val="102"/>
        </w:rPr>
        <w:t>；</w:t>
      </w:r>
      <w:r>
        <w:rPr>
          <w:color w:val="0D0D0D"/>
          <w:w w:val="102"/>
        </w:rPr>
        <w:t>（2）债券是固定收益证券，股票多为变动收益证券</w:t>
      </w:r>
      <w:r>
        <w:rPr>
          <w:color w:val="0D0D0D"/>
          <w:spacing w:val="-234"/>
          <w:w w:val="102"/>
        </w:rPr>
        <w:t>；</w:t>
      </w:r>
      <w:r>
        <w:rPr>
          <w:color w:val="0D0D0D"/>
          <w:w w:val="102"/>
        </w:rPr>
        <w:t>（3）债券风险较小，股票风险较大</w:t>
      </w:r>
      <w:r>
        <w:rPr>
          <w:color w:val="0D0D0D"/>
          <w:spacing w:val="-259"/>
          <w:w w:val="102"/>
        </w:rPr>
        <w:t>；</w:t>
      </w:r>
      <w:r>
        <w:rPr>
          <w:color w:val="0D0D0D"/>
          <w:spacing w:val="1"/>
          <w:w w:val="102"/>
        </w:rPr>
        <w:t>（</w:t>
      </w:r>
      <w:r>
        <w:rPr>
          <w:color w:val="0D0D0D"/>
          <w:w w:val="102"/>
        </w:rPr>
        <w:t>4）</w:t>
      </w:r>
      <w:r>
        <w:rPr>
          <w:color w:val="0D0D0D"/>
          <w:spacing w:val="-5"/>
          <w:w w:val="102"/>
        </w:rPr>
        <w:t>债券到期</w:t>
      </w:r>
      <w:r>
        <w:rPr>
          <w:color w:val="0D0D0D"/>
          <w:w w:val="102"/>
        </w:rPr>
        <w:t>必须还本付息，股票一般不退还股本</w:t>
      </w:r>
      <w:r>
        <w:rPr>
          <w:color w:val="0D0D0D"/>
          <w:spacing w:val="-184"/>
          <w:w w:val="102"/>
        </w:rPr>
        <w:t>；</w:t>
      </w:r>
      <w:r>
        <w:rPr>
          <w:color w:val="0D0D0D"/>
          <w:w w:val="102"/>
        </w:rPr>
        <w:t>（</w:t>
      </w:r>
      <w:r>
        <w:rPr>
          <w:color w:val="0D0D0D"/>
          <w:spacing w:val="-4"/>
          <w:w w:val="102"/>
        </w:rPr>
        <w:t>5</w:t>
      </w:r>
      <w:r>
        <w:rPr>
          <w:color w:val="0D0D0D"/>
          <w:w w:val="102"/>
        </w:rPr>
        <w:t>）债券在剩余财产分配中优于股票。</w:t>
      </w:r>
    </w:p>
    <w:p>
      <w:pPr>
        <w:pStyle w:val="BodyText"/>
        <w:spacing w:line="394" w:lineRule="exact"/>
      </w:pPr>
      <w:r>
        <w:rPr>
          <w:color w:val="0D0D0D"/>
        </w:rPr>
        <w:t xml:space="preserve">17、公司股票上市的不利影响主要有（ </w:t>
      </w:r>
      <w:r>
        <w:rPr>
          <w:color w:val="0D0D0D"/>
          <w:spacing w:val="-162"/>
        </w:rPr>
        <w:t>）</w:t>
      </w:r>
      <w:r>
        <w:rPr>
          <w:color w:val="0D0D0D"/>
        </w:rPr>
        <w:t>。</w:t>
      </w:r>
    </w:p>
    <w:p>
      <w:pPr>
        <w:pStyle w:val="BodyText"/>
        <w:tabs>
          <w:tab w:val="left" w:pos="9005"/>
        </w:tabs>
        <w:spacing w:before="13" w:line="244" w:lineRule="auto"/>
        <w:ind w:left="3334" w:right="4579"/>
      </w:pPr>
      <w:r>
        <w:rPr>
          <w:color w:val="0D0D0D"/>
          <w:spacing w:val="-4"/>
        </w:rPr>
        <w:t>A</w:t>
      </w:r>
      <w:r>
        <w:rPr>
          <w:color w:val="0D0D0D"/>
        </w:rPr>
        <w:t>、使公司失去隐私权</w:t>
        <w:tab/>
      </w:r>
      <w:r>
        <w:rPr>
          <w:color w:val="0D0D0D"/>
          <w:spacing w:val="-4"/>
        </w:rPr>
        <w:t>B</w:t>
      </w:r>
      <w:r>
        <w:rPr>
          <w:color w:val="0D0D0D"/>
        </w:rPr>
        <w:t>、限制经理人员操作的自由</w:t>
      </w:r>
      <w:r>
        <w:rPr>
          <w:color w:val="0D0D0D"/>
          <w:spacing w:val="-18"/>
        </w:rPr>
        <w:t>度</w:t>
      </w:r>
      <w:r>
        <w:rPr>
          <w:color w:val="0D0D0D"/>
          <w:spacing w:val="-4"/>
        </w:rPr>
        <w:t>C</w:t>
      </w:r>
      <w:r>
        <w:rPr>
          <w:color w:val="0D0D0D"/>
        </w:rPr>
        <w:t>、公开上市需要很高的费用</w:t>
        <w:tab/>
      </w:r>
      <w:r>
        <w:rPr>
          <w:color w:val="0D0D0D"/>
          <w:spacing w:val="-4"/>
        </w:rPr>
        <w:t>D</w:t>
      </w:r>
      <w:r>
        <w:rPr>
          <w:color w:val="0D0D0D"/>
        </w:rPr>
        <w:t>、不利于改善财务状况</w:t>
      </w:r>
    </w:p>
    <w:p>
      <w:pPr>
        <w:spacing w:before="7"/>
        <w:ind w:left="3330" w:right="0" w:firstLine="0"/>
        <w:jc w:val="left"/>
        <w:rPr>
          <w:sz w:val="31"/>
        </w:rPr>
      </w:pPr>
      <w:r>
        <w:rPr>
          <w:b/>
          <w:color w:val="0D0D0D"/>
          <w:sz w:val="31"/>
        </w:rPr>
        <w:t>答案:</w:t>
      </w:r>
      <w:r>
        <w:rPr>
          <w:color w:val="0D0D0D"/>
          <w:sz w:val="31"/>
        </w:rPr>
        <w:t>ABC</w:t>
      </w:r>
    </w:p>
    <w:p>
      <w:pPr>
        <w:pStyle w:val="BodyText"/>
        <w:spacing w:before="10" w:line="247" w:lineRule="auto"/>
        <w:ind w:right="2681" w:firstLine="629"/>
      </w:pPr>
      <w:r>
        <w:rPr>
          <w:b/>
          <w:color w:val="0D0D0D"/>
          <w:w w:val="101"/>
        </w:rPr>
        <w:t>解析</w:t>
      </w:r>
      <w:r>
        <w:rPr>
          <w:b/>
          <w:color w:val="0D0D0D"/>
          <w:spacing w:val="3"/>
          <w:w w:val="101"/>
        </w:rPr>
        <w:t>:</w:t>
      </w:r>
      <w:r>
        <w:rPr>
          <w:color w:val="0D0D0D"/>
          <w:w w:val="102"/>
        </w:rPr>
        <w:t>公司股票上市的不利影响主要有</w:t>
      </w:r>
      <w:r>
        <w:rPr>
          <w:color w:val="0D0D0D"/>
          <w:spacing w:val="-180"/>
          <w:w w:val="102"/>
        </w:rPr>
        <w:t>：</w:t>
      </w:r>
      <w:r>
        <w:rPr>
          <w:color w:val="0D0D0D"/>
          <w:spacing w:val="-4"/>
          <w:w w:val="102"/>
        </w:rPr>
        <w:t>（</w:t>
      </w:r>
      <w:r>
        <w:rPr>
          <w:color w:val="0D0D0D"/>
          <w:w w:val="102"/>
        </w:rPr>
        <w:t>1）</w:t>
      </w:r>
      <w:r>
        <w:rPr>
          <w:color w:val="0D0D0D"/>
          <w:spacing w:val="-19"/>
          <w:w w:val="102"/>
        </w:rPr>
        <w:t>使公司失去隐私权；</w:t>
      </w:r>
      <w:r>
        <w:rPr>
          <w:color w:val="0D0D0D"/>
          <w:spacing w:val="-4"/>
          <w:w w:val="102"/>
        </w:rPr>
        <w:t>（</w:t>
      </w:r>
      <w:r>
        <w:rPr>
          <w:color w:val="0D0D0D"/>
          <w:w w:val="102"/>
        </w:rPr>
        <w:t>2）</w:t>
      </w:r>
      <w:r>
        <w:rPr>
          <w:color w:val="0D0D0D"/>
          <w:spacing w:val="-2"/>
          <w:w w:val="102"/>
        </w:rPr>
        <w:t>限制经理人员操</w:t>
      </w:r>
      <w:r>
        <w:rPr>
          <w:color w:val="0D0D0D"/>
          <w:spacing w:val="-28"/>
          <w:w w:val="102"/>
        </w:rPr>
        <w:t>作的自由度；</w:t>
      </w:r>
      <w:r>
        <w:rPr>
          <w:color w:val="0D0D0D"/>
          <w:spacing w:val="-1"/>
          <w:w w:val="102"/>
        </w:rPr>
        <w:t>（</w:t>
      </w:r>
      <w:r>
        <w:rPr>
          <w:color w:val="0D0D0D"/>
          <w:spacing w:val="-4"/>
          <w:w w:val="102"/>
        </w:rPr>
        <w:t>3</w:t>
      </w:r>
      <w:r>
        <w:rPr>
          <w:color w:val="0D0D0D"/>
          <w:w w:val="102"/>
        </w:rPr>
        <w:t>）公开上市需要很高的费用。</w:t>
      </w:r>
    </w:p>
    <w:p>
      <w:pPr>
        <w:pStyle w:val="BodyText"/>
        <w:spacing w:line="396" w:lineRule="exact"/>
      </w:pPr>
      <w:r>
        <w:rPr>
          <w:color w:val="0D0D0D"/>
        </w:rPr>
        <w:t xml:space="preserve">18、企业发行优先股的动机包括（ </w:t>
      </w:r>
      <w:r>
        <w:rPr>
          <w:color w:val="0D0D0D"/>
          <w:spacing w:val="-162"/>
        </w:rPr>
        <w:t>）</w:t>
      </w:r>
      <w:r>
        <w:rPr>
          <w:color w:val="0D0D0D"/>
        </w:rPr>
        <w:t>。</w:t>
      </w:r>
    </w:p>
    <w:p>
      <w:pPr>
        <w:pStyle w:val="BodyText"/>
        <w:tabs>
          <w:tab w:val="left" w:pos="7122"/>
          <w:tab w:val="left" w:pos="10751"/>
          <w:tab w:val="left" w:pos="14381"/>
        </w:tabs>
        <w:spacing w:before="13" w:line="244" w:lineRule="auto"/>
        <w:ind w:right="2687" w:firstLine="633"/>
      </w:pPr>
      <w:r>
        <w:rPr>
          <w:color w:val="0D0D0D"/>
        </w:rPr>
        <w:t>A、防止股权分散化</w:t>
        <w:tab/>
      </w:r>
      <w:r>
        <w:rPr>
          <w:color w:val="0D0D0D"/>
          <w:spacing w:val="-4"/>
        </w:rPr>
        <w:t>B</w:t>
      </w:r>
      <w:r>
        <w:rPr>
          <w:color w:val="0D0D0D"/>
        </w:rPr>
        <w:t>、调剂现金余缺</w:t>
        <w:tab/>
      </w:r>
      <w:r>
        <w:rPr>
          <w:color w:val="0D0D0D"/>
          <w:spacing w:val="-4"/>
        </w:rPr>
        <w:t>C</w:t>
      </w:r>
      <w:r>
        <w:rPr>
          <w:color w:val="0D0D0D"/>
        </w:rPr>
        <w:t>、改善资本结构</w:t>
        <w:tab/>
      </w:r>
      <w:r>
        <w:rPr>
          <w:color w:val="0D0D0D"/>
          <w:spacing w:val="-4"/>
        </w:rPr>
        <w:t>D</w:t>
      </w:r>
      <w:r>
        <w:rPr>
          <w:color w:val="0D0D0D"/>
        </w:rPr>
        <w:t>、</w:t>
      </w:r>
      <w:r>
        <w:rPr>
          <w:color w:val="0D0D0D"/>
          <w:spacing w:val="-17"/>
        </w:rPr>
        <w:t>维</w:t>
      </w:r>
      <w:r>
        <w:rPr>
          <w:color w:val="0D0D0D"/>
        </w:rPr>
        <w:t>持举债能力</w:t>
      </w:r>
    </w:p>
    <w:p>
      <w:pPr>
        <w:spacing w:before="7"/>
        <w:ind w:left="3330" w:right="0" w:firstLine="0"/>
        <w:jc w:val="left"/>
        <w:rPr>
          <w:sz w:val="31"/>
        </w:rPr>
      </w:pPr>
      <w:r>
        <w:rPr>
          <w:b/>
          <w:color w:val="0D0D0D"/>
          <w:sz w:val="31"/>
        </w:rPr>
        <w:t>答案:</w:t>
      </w:r>
      <w:r>
        <w:rPr>
          <w:color w:val="0D0D0D"/>
          <w:sz w:val="31"/>
        </w:rPr>
        <w:t>ABCD</w:t>
      </w:r>
    </w:p>
    <w:p>
      <w:pPr>
        <w:pStyle w:val="BodyText"/>
        <w:spacing w:before="10" w:line="247" w:lineRule="auto"/>
        <w:ind w:right="2643" w:firstLine="629"/>
      </w:pPr>
      <w:r>
        <w:rPr>
          <w:b/>
          <w:color w:val="0D0D0D"/>
        </w:rPr>
        <w:t>解析:</w:t>
      </w:r>
      <w:r>
        <w:rPr>
          <w:color w:val="0D0D0D"/>
        </w:rPr>
        <w:t>企业发行优先股的动机包括：防止股权分散化；调剂现金余缺；改善资本结构； 维持举债能力。</w:t>
      </w:r>
    </w:p>
    <w:p>
      <w:pPr>
        <w:pStyle w:val="BodyText"/>
        <w:spacing w:line="396" w:lineRule="exact"/>
      </w:pPr>
      <w:r>
        <w:rPr>
          <w:color w:val="0D0D0D"/>
        </w:rPr>
        <w:t xml:space="preserve">19、影响认股权证理论价值的主要因素有（ </w:t>
      </w:r>
      <w:r>
        <w:rPr>
          <w:color w:val="0D0D0D"/>
          <w:spacing w:val="-162"/>
        </w:rPr>
        <w:t>）</w:t>
      </w:r>
      <w:r>
        <w:rPr>
          <w:color w:val="0D0D0D"/>
        </w:rPr>
        <w:t>。</w:t>
      </w:r>
    </w:p>
    <w:p>
      <w:pPr>
        <w:pStyle w:val="BodyText"/>
        <w:tabs>
          <w:tab w:val="left" w:pos="6322"/>
          <w:tab w:val="left" w:pos="9634"/>
          <w:tab w:val="left" w:pos="12630"/>
        </w:tabs>
        <w:spacing w:before="13" w:line="244" w:lineRule="auto"/>
        <w:ind w:left="3330" w:right="2854" w:firstLine="3"/>
      </w:pPr>
      <w:r>
        <w:rPr>
          <w:color w:val="0D0D0D"/>
          <w:spacing w:val="-4"/>
        </w:rPr>
        <w:t>A</w:t>
      </w:r>
      <w:r>
        <w:rPr>
          <w:color w:val="0D0D0D"/>
        </w:rPr>
        <w:t>、换股比率</w:t>
        <w:tab/>
        <w:t>B、普通股市价</w:t>
        <w:tab/>
      </w:r>
      <w:r>
        <w:rPr>
          <w:color w:val="0D0D0D"/>
          <w:spacing w:val="-3"/>
        </w:rPr>
        <w:t>C</w:t>
      </w:r>
      <w:r>
        <w:rPr>
          <w:color w:val="0D0D0D"/>
        </w:rPr>
        <w:t>、执行价格</w:t>
        <w:tab/>
      </w:r>
      <w:r>
        <w:rPr>
          <w:color w:val="0D0D0D"/>
          <w:spacing w:val="-4"/>
        </w:rPr>
        <w:t>D</w:t>
      </w:r>
      <w:r>
        <w:rPr>
          <w:color w:val="0D0D0D"/>
        </w:rPr>
        <w:t>、剩余有效期</w:t>
      </w:r>
      <w:r>
        <w:rPr>
          <w:color w:val="0D0D0D"/>
          <w:spacing w:val="-17"/>
        </w:rPr>
        <w:t>间</w:t>
      </w:r>
      <w:r>
        <w:rPr>
          <w:b/>
          <w:color w:val="0D0D0D"/>
        </w:rPr>
        <w:t>答案:</w:t>
      </w:r>
      <w:r>
        <w:rPr>
          <w:color w:val="0D0D0D"/>
        </w:rPr>
        <w:t>ABCD</w:t>
      </w:r>
    </w:p>
    <w:p>
      <w:pPr>
        <w:pStyle w:val="BodyText"/>
        <w:spacing w:before="7" w:line="247" w:lineRule="auto"/>
        <w:ind w:right="2666" w:firstLine="629"/>
      </w:pPr>
      <w:r>
        <w:rPr>
          <w:b/>
          <w:color w:val="0D0D0D"/>
          <w:w w:val="101"/>
        </w:rPr>
        <w:t>解析</w:t>
      </w:r>
      <w:r>
        <w:rPr>
          <w:b/>
          <w:color w:val="0D0D0D"/>
          <w:w w:val="101"/>
        </w:rPr>
        <w:t>:</w:t>
      </w:r>
      <w:r>
        <w:rPr>
          <w:color w:val="0D0D0D"/>
          <w:w w:val="102"/>
        </w:rPr>
        <w:t>影响认股权证理论价值的主要因素有</w:t>
      </w:r>
      <w:r>
        <w:rPr>
          <w:color w:val="0D0D0D"/>
          <w:spacing w:val="-212"/>
          <w:w w:val="102"/>
        </w:rPr>
        <w:t>：</w:t>
      </w:r>
      <w:r>
        <w:rPr>
          <w:color w:val="0D0D0D"/>
          <w:w w:val="102"/>
        </w:rPr>
        <w:t>（</w:t>
      </w:r>
      <w:r>
        <w:rPr>
          <w:color w:val="0D0D0D"/>
          <w:spacing w:val="-4"/>
          <w:w w:val="102"/>
        </w:rPr>
        <w:t>1</w:t>
      </w:r>
      <w:r>
        <w:rPr>
          <w:color w:val="0D0D0D"/>
          <w:w w:val="102"/>
        </w:rPr>
        <w:t>）</w:t>
      </w:r>
      <w:r>
        <w:rPr>
          <w:color w:val="0D0D0D"/>
          <w:spacing w:val="-22"/>
        </w:rPr>
        <w:t xml:space="preserve"> </w:t>
      </w:r>
      <w:r>
        <w:rPr>
          <w:color w:val="0D0D0D"/>
          <w:spacing w:val="-39"/>
          <w:w w:val="102"/>
        </w:rPr>
        <w:t>换股比率；</w:t>
      </w:r>
      <w:r>
        <w:rPr>
          <w:color w:val="0D0D0D"/>
          <w:spacing w:val="-1"/>
          <w:w w:val="102"/>
        </w:rPr>
        <w:t>（</w:t>
      </w:r>
      <w:r>
        <w:rPr>
          <w:color w:val="0D0D0D"/>
          <w:w w:val="102"/>
        </w:rPr>
        <w:t>2）普通股市价</w:t>
      </w:r>
      <w:r>
        <w:rPr>
          <w:color w:val="0D0D0D"/>
          <w:spacing w:val="-220"/>
          <w:w w:val="102"/>
        </w:rPr>
        <w:t>；</w:t>
      </w:r>
      <w:r>
        <w:rPr>
          <w:color w:val="0D0D0D"/>
          <w:spacing w:val="-3"/>
          <w:w w:val="102"/>
        </w:rPr>
        <w:t>（</w:t>
      </w:r>
      <w:r>
        <w:rPr>
          <w:color w:val="0D0D0D"/>
          <w:w w:val="102"/>
        </w:rPr>
        <w:t>3）</w:t>
      </w:r>
      <w:r>
        <w:rPr>
          <w:color w:val="0D0D0D"/>
          <w:spacing w:val="-13"/>
          <w:w w:val="102"/>
        </w:rPr>
        <w:t>执</w:t>
      </w:r>
      <w:r>
        <w:rPr>
          <w:color w:val="0D0D0D"/>
          <w:spacing w:val="-41"/>
          <w:w w:val="102"/>
        </w:rPr>
        <w:t>行价格；</w:t>
      </w:r>
      <w:r>
        <w:rPr>
          <w:color w:val="0D0D0D"/>
          <w:spacing w:val="-1"/>
          <w:w w:val="102"/>
        </w:rPr>
        <w:t>（</w:t>
      </w:r>
      <w:r>
        <w:rPr>
          <w:color w:val="0D0D0D"/>
          <w:spacing w:val="-4"/>
          <w:w w:val="102"/>
        </w:rPr>
        <w:t>4</w:t>
      </w:r>
      <w:r>
        <w:rPr>
          <w:color w:val="0D0D0D"/>
          <w:w w:val="102"/>
        </w:rPr>
        <w:t>）剩余有效期间。</w:t>
      </w:r>
    </w:p>
    <w:p>
      <w:pPr>
        <w:pStyle w:val="BodyText"/>
        <w:spacing w:line="397" w:lineRule="exact"/>
      </w:pPr>
      <w:r>
        <w:rPr>
          <w:color w:val="0D0D0D"/>
        </w:rPr>
        <w:t xml:space="preserve">20、股票发行价格的确定方法主要有（ </w:t>
      </w:r>
      <w:r>
        <w:rPr>
          <w:color w:val="0D0D0D"/>
          <w:spacing w:val="-162"/>
        </w:rPr>
        <w:t>）</w:t>
      </w:r>
      <w:r>
        <w:rPr>
          <w:color w:val="0D0D0D"/>
        </w:rPr>
        <w:t>。</w:t>
      </w:r>
    </w:p>
    <w:p>
      <w:pPr>
        <w:pStyle w:val="BodyText"/>
        <w:tabs>
          <w:tab w:val="left" w:pos="6805"/>
          <w:tab w:val="left" w:pos="10117"/>
          <w:tab w:val="left" w:pos="13434"/>
        </w:tabs>
        <w:spacing w:before="9"/>
        <w:ind w:left="3334"/>
      </w:pPr>
      <w:r>
        <w:rPr>
          <w:color w:val="0D0D0D"/>
        </w:rPr>
        <w:t>A、市盈率定价法</w:t>
        <w:tab/>
        <w:t>B、净资产倍率法</w:t>
        <w:tab/>
        <w:t>C、账面价值法</w:t>
        <w:tab/>
      </w:r>
      <w:r>
        <w:rPr>
          <w:color w:val="0D0D0D"/>
          <w:spacing w:val="-4"/>
        </w:rPr>
        <w:t>D</w:t>
      </w:r>
      <w:r>
        <w:rPr>
          <w:color w:val="0D0D0D"/>
        </w:rPr>
        <w:t>、竞价确定</w:t>
      </w:r>
    </w:p>
    <w:p>
      <w:pPr>
        <w:pStyle w:val="BodyText"/>
        <w:spacing w:before="10"/>
      </w:pPr>
      <w:r>
        <w:rPr>
          <w:color w:val="0D0D0D"/>
          <w:w w:val="102"/>
        </w:rPr>
        <w:t>法</w:t>
      </w:r>
    </w:p>
    <w:p>
      <w:pPr>
        <w:spacing w:before="13"/>
        <w:ind w:left="3330" w:right="0" w:firstLine="0"/>
        <w:jc w:val="left"/>
        <w:rPr>
          <w:sz w:val="31"/>
        </w:rPr>
      </w:pPr>
      <w:r>
        <w:rPr>
          <w:b/>
          <w:color w:val="0D0D0D"/>
          <w:sz w:val="31"/>
        </w:rPr>
        <w:t>答案:</w:t>
      </w:r>
      <w:r>
        <w:rPr>
          <w:color w:val="0D0D0D"/>
          <w:sz w:val="31"/>
        </w:rPr>
        <w:t>ABD</w:t>
      </w:r>
    </w:p>
    <w:p>
      <w:pPr>
        <w:pStyle w:val="BodyText"/>
        <w:spacing w:before="10"/>
        <w:ind w:left="3330"/>
      </w:pPr>
      <w:r>
        <w:rPr>
          <w:b/>
          <w:color w:val="0D0D0D"/>
        </w:rPr>
        <w:t>解析:</w:t>
      </w:r>
      <w:r>
        <w:rPr>
          <w:color w:val="0D0D0D"/>
        </w:rPr>
        <w:t>股票发行价格的确定方法主要有市盈率定价法、净资产倍率法、竞价确定法和现</w:t>
      </w:r>
    </w:p>
    <w:p>
      <w:pPr>
        <w:pStyle w:val="BodyText"/>
        <w:spacing w:before="13"/>
      </w:pPr>
      <w:r>
        <w:rPr>
          <w:color w:val="0D0D0D"/>
        </w:rPr>
        <w:t>金流量折现法等，但没有账面价值法。</w:t>
      </w:r>
    </w:p>
    <w:p>
      <w:pPr>
        <w:pStyle w:val="BodyText"/>
        <w:spacing w:before="10"/>
      </w:pPr>
      <w:r>
        <w:rPr>
          <w:color w:val="0D0D0D"/>
        </w:rPr>
        <w:t xml:space="preserve">21、可转换债券的优点包括（ </w:t>
      </w:r>
      <w:r>
        <w:rPr>
          <w:color w:val="0D0D0D"/>
          <w:spacing w:val="-162"/>
        </w:rPr>
        <w:t>）</w:t>
      </w:r>
      <w:r>
        <w:rPr>
          <w:color w:val="0D0D0D"/>
        </w:rPr>
        <w:t>。</w:t>
      </w:r>
    </w:p>
    <w:p>
      <w:pPr>
        <w:pStyle w:val="BodyText"/>
        <w:tabs>
          <w:tab w:val="left" w:pos="7395"/>
          <w:tab w:val="left" w:pos="10830"/>
          <w:tab w:val="left" w:pos="14417"/>
        </w:tabs>
        <w:spacing w:before="13" w:line="244" w:lineRule="auto"/>
        <w:ind w:right="2651" w:firstLine="633"/>
      </w:pPr>
      <w:r>
        <w:rPr>
          <w:color w:val="0D0D0D"/>
          <w:spacing w:val="-4"/>
        </w:rPr>
        <w:t>A</w:t>
      </w:r>
      <w:r>
        <w:rPr>
          <w:color w:val="0D0D0D"/>
        </w:rPr>
        <w:t>、有利于股价稳定</w:t>
        <w:tab/>
      </w:r>
      <w:r>
        <w:rPr>
          <w:color w:val="0D0D0D"/>
          <w:spacing w:val="-4"/>
        </w:rPr>
        <w:t>B</w:t>
      </w:r>
      <w:r>
        <w:rPr>
          <w:color w:val="0D0D0D"/>
        </w:rPr>
        <w:t>、不会加大财务风险</w:t>
        <w:tab/>
      </w:r>
      <w:r>
        <w:rPr>
          <w:color w:val="0D0D0D"/>
          <w:spacing w:val="-4"/>
        </w:rPr>
        <w:t>C</w:t>
      </w:r>
      <w:r>
        <w:rPr>
          <w:color w:val="0D0D0D"/>
          <w:spacing w:val="-40"/>
        </w:rPr>
        <w:t>、</w:t>
      </w:r>
      <w:r>
        <w:rPr>
          <w:color w:val="0D0D0D"/>
        </w:rPr>
        <w:t>可节约利息支出</w:t>
        <w:tab/>
      </w:r>
      <w:r>
        <w:rPr>
          <w:color w:val="0D0D0D"/>
          <w:spacing w:val="-4"/>
        </w:rPr>
        <w:t>D</w:t>
      </w:r>
      <w:r>
        <w:rPr>
          <w:color w:val="0D0D0D"/>
        </w:rPr>
        <w:t>、</w:t>
      </w:r>
      <w:r>
        <w:rPr>
          <w:color w:val="0D0D0D"/>
          <w:spacing w:val="-17"/>
        </w:rPr>
        <w:t>可</w:t>
      </w:r>
      <w:r>
        <w:rPr>
          <w:color w:val="0D0D0D"/>
        </w:rPr>
        <w:t>增强筹资灵活性</w:t>
      </w:r>
    </w:p>
    <w:p>
      <w:pPr>
        <w:spacing w:before="7"/>
        <w:ind w:left="3330" w:right="0" w:firstLine="0"/>
        <w:jc w:val="left"/>
        <w:rPr>
          <w:sz w:val="31"/>
        </w:rPr>
      </w:pPr>
      <w:r>
        <w:rPr>
          <w:b/>
          <w:color w:val="0D0D0D"/>
          <w:sz w:val="31"/>
        </w:rPr>
        <w:t>答案:</w:t>
      </w:r>
      <w:r>
        <w:rPr>
          <w:color w:val="0D0D0D"/>
          <w:sz w:val="31"/>
        </w:rPr>
        <w:t>ACD</w:t>
      </w:r>
    </w:p>
    <w:p>
      <w:pPr>
        <w:spacing w:after="0"/>
        <w:jc w:val="left"/>
        <w:rPr>
          <w:sz w:val="31"/>
        </w:rPr>
        <w:sectPr>
          <w:headerReference w:type="default" r:id="rId92"/>
          <w:footerReference w:type="default" r:id="rId93"/>
          <w:pgSz w:w="17860" w:h="25260"/>
          <w:pgMar w:top="1720" w:right="0" w:bottom="1940" w:left="0" w:header="1129" w:footer="1752"/>
          <w:pgNumType w:start="8"/>
          <w:cols w:space="708"/>
        </w:sectPr>
      </w:pPr>
    </w:p>
    <w:p>
      <w:pPr>
        <w:pStyle w:val="BodyText"/>
        <w:spacing w:before="3"/>
        <w:ind w:left="0"/>
        <w:rPr>
          <w:sz w:val="8"/>
        </w:rPr>
      </w:pPr>
    </w:p>
    <w:p>
      <w:pPr>
        <w:pStyle w:val="BodyText"/>
        <w:spacing w:before="63" w:line="247" w:lineRule="auto"/>
        <w:ind w:right="2643" w:firstLine="629"/>
      </w:pPr>
      <w:r>
        <w:rPr>
          <w:b/>
          <w:color w:val="0D0D0D"/>
        </w:rPr>
        <w:t>解析:</w:t>
      </w:r>
      <w:r>
        <w:rPr>
          <w:color w:val="0D0D0D"/>
        </w:rPr>
        <w:t>若股价低迷时，将面临兑付债券本金的压力，在订有回售条款的情况下，公司短期偿债压力加重会加大公司的财务风险。</w:t>
      </w:r>
    </w:p>
    <w:p>
      <w:pPr>
        <w:pStyle w:val="BodyText"/>
        <w:spacing w:line="397" w:lineRule="exact"/>
      </w:pPr>
      <w:r>
        <w:rPr>
          <w:color w:val="0D0D0D"/>
        </w:rPr>
        <w:t xml:space="preserve">22、补偿性余额的约束使借款企业所受的影响包括（ </w:t>
      </w:r>
      <w:r>
        <w:rPr>
          <w:color w:val="0D0D0D"/>
          <w:spacing w:val="-159"/>
        </w:rPr>
        <w:t>）</w:t>
      </w:r>
      <w:r>
        <w:rPr>
          <w:color w:val="0D0D0D"/>
        </w:rPr>
        <w:t>。</w:t>
      </w:r>
    </w:p>
    <w:p>
      <w:pPr>
        <w:pStyle w:val="BodyText"/>
        <w:tabs>
          <w:tab w:val="left" w:pos="7122"/>
          <w:tab w:val="left" w:pos="10909"/>
          <w:tab w:val="left" w:pos="14694"/>
        </w:tabs>
        <w:spacing w:before="9" w:line="247" w:lineRule="auto"/>
        <w:ind w:right="2687" w:firstLine="633"/>
      </w:pPr>
      <w:r>
        <w:rPr>
          <w:color w:val="0D0D0D"/>
        </w:rPr>
        <w:t>A、减少了可用资金</w:t>
        <w:tab/>
      </w:r>
      <w:r>
        <w:rPr>
          <w:color w:val="0D0D0D"/>
          <w:spacing w:val="-4"/>
        </w:rPr>
        <w:t>B</w:t>
      </w:r>
      <w:r>
        <w:rPr>
          <w:color w:val="0D0D0D"/>
        </w:rPr>
        <w:t>、提高了筹资成本</w:t>
        <w:tab/>
      </w:r>
      <w:r>
        <w:rPr>
          <w:color w:val="0D0D0D"/>
          <w:spacing w:val="-4"/>
        </w:rPr>
        <w:t>C</w:t>
      </w:r>
      <w:r>
        <w:rPr>
          <w:color w:val="0D0D0D"/>
        </w:rPr>
        <w:t>、减少了应付利息</w:t>
        <w:tab/>
        <w:t>D</w:t>
      </w:r>
      <w:r>
        <w:rPr>
          <w:color w:val="0D0D0D"/>
          <w:spacing w:val="-17"/>
        </w:rPr>
        <w:t>、</w:t>
      </w:r>
      <w:r>
        <w:rPr>
          <w:color w:val="0D0D0D"/>
        </w:rPr>
        <w:t>增加了应付利息</w:t>
      </w:r>
    </w:p>
    <w:p>
      <w:pPr>
        <w:spacing w:before="0" w:line="396" w:lineRule="exact"/>
        <w:ind w:left="3330" w:right="0" w:firstLine="0"/>
        <w:jc w:val="left"/>
        <w:rPr>
          <w:sz w:val="31"/>
        </w:rPr>
      </w:pPr>
      <w:r>
        <w:rPr>
          <w:b/>
          <w:color w:val="0D0D0D"/>
          <w:sz w:val="31"/>
        </w:rPr>
        <w:t>答案:</w:t>
      </w:r>
      <w:r>
        <w:rPr>
          <w:color w:val="0D0D0D"/>
          <w:sz w:val="31"/>
        </w:rPr>
        <w:t>AB</w:t>
      </w:r>
    </w:p>
    <w:p>
      <w:pPr>
        <w:pStyle w:val="BodyText"/>
        <w:spacing w:before="13" w:line="244" w:lineRule="auto"/>
        <w:ind w:right="2643" w:firstLine="629"/>
      </w:pPr>
      <w:r>
        <w:rPr>
          <w:b/>
          <w:color w:val="0D0D0D"/>
        </w:rPr>
        <w:t>解析:</w:t>
      </w:r>
      <w:r>
        <w:rPr>
          <w:color w:val="0D0D0D"/>
        </w:rPr>
        <w:t>补偿性余额是银行要求借款人在银行中保持实际借款额的一定比例的最低存款余额。这样就使借款企业减少了可用资金，并提高了筹资成本。</w:t>
      </w:r>
    </w:p>
    <w:p>
      <w:pPr>
        <w:pStyle w:val="BodyText"/>
        <w:spacing w:before="7" w:line="244" w:lineRule="auto"/>
        <w:ind w:right="2642"/>
      </w:pPr>
      <w:r>
        <w:rPr>
          <w:color w:val="0D0D0D"/>
        </w:rPr>
        <w:t>23</w:t>
      </w:r>
      <w:r>
        <w:rPr>
          <w:color w:val="0D0D0D"/>
          <w:spacing w:val="-9"/>
        </w:rPr>
        <w:t>、放弃现金折扣的成本受折扣百分比、折扣期和折扣信用期的影响。下列各项中，使放弃</w:t>
      </w:r>
      <w:r>
        <w:rPr>
          <w:color w:val="0D0D0D"/>
        </w:rPr>
        <w:t xml:space="preserve">现金折扣成本提高的情况有（ </w:t>
      </w:r>
      <w:r>
        <w:rPr>
          <w:color w:val="0D0D0D"/>
          <w:spacing w:val="-162"/>
        </w:rPr>
        <w:t>）</w:t>
      </w:r>
      <w:r>
        <w:rPr>
          <w:color w:val="0D0D0D"/>
        </w:rPr>
        <w:t>。</w:t>
      </w:r>
    </w:p>
    <w:p>
      <w:pPr>
        <w:pStyle w:val="BodyText"/>
        <w:tabs>
          <w:tab w:val="left" w:pos="11054"/>
        </w:tabs>
        <w:spacing w:before="7" w:line="244" w:lineRule="auto"/>
        <w:ind w:right="2530" w:firstLine="633"/>
      </w:pPr>
      <w:r>
        <w:rPr>
          <w:color w:val="0D0D0D"/>
          <w:spacing w:val="-4"/>
        </w:rPr>
        <w:t>A</w:t>
      </w:r>
      <w:r>
        <w:rPr>
          <w:color w:val="0D0D0D"/>
        </w:rPr>
        <w:t>、信用期、折扣期不变，折扣百分比提高</w:t>
        <w:tab/>
      </w:r>
      <w:r>
        <w:rPr>
          <w:color w:val="0D0D0D"/>
          <w:spacing w:val="-4"/>
        </w:rPr>
        <w:t>B</w:t>
      </w:r>
      <w:r>
        <w:rPr>
          <w:color w:val="0D0D0D"/>
        </w:rPr>
        <w:t>、折扣期、折扣百分比不变</w:t>
      </w:r>
      <w:r>
        <w:rPr>
          <w:color w:val="0D0D0D"/>
          <w:spacing w:val="-18"/>
        </w:rPr>
        <w:t xml:space="preserve">， </w:t>
      </w:r>
      <w:r>
        <w:rPr>
          <w:color w:val="0D0D0D"/>
        </w:rPr>
        <w:t>信用期延长</w:t>
      </w:r>
    </w:p>
    <w:p>
      <w:pPr>
        <w:pStyle w:val="BodyText"/>
        <w:tabs>
          <w:tab w:val="left" w:pos="11050"/>
        </w:tabs>
        <w:spacing w:before="7" w:line="244" w:lineRule="auto"/>
        <w:ind w:right="2530" w:firstLine="633"/>
      </w:pPr>
      <w:r>
        <w:rPr>
          <w:color w:val="0D0D0D"/>
          <w:spacing w:val="-4"/>
        </w:rPr>
        <w:t>C</w:t>
      </w:r>
      <w:r>
        <w:rPr>
          <w:color w:val="0D0D0D"/>
        </w:rPr>
        <w:t>、折扣百分比不变，信用期和折扣期等量延长</w:t>
        <w:tab/>
        <w:t>D、折扣百分比、信用期不变</w:t>
      </w:r>
      <w:r>
        <w:rPr>
          <w:color w:val="0D0D0D"/>
          <w:spacing w:val="-17"/>
        </w:rPr>
        <w:t xml:space="preserve">， </w:t>
      </w:r>
      <w:r>
        <w:rPr>
          <w:color w:val="0D0D0D"/>
        </w:rPr>
        <w:t>折扣期延长</w:t>
      </w:r>
    </w:p>
    <w:p>
      <w:pPr>
        <w:spacing w:before="8"/>
        <w:ind w:left="3330" w:right="0" w:firstLine="0"/>
        <w:jc w:val="left"/>
        <w:rPr>
          <w:sz w:val="31"/>
        </w:rPr>
      </w:pPr>
      <w:r>
        <w:rPr>
          <w:b/>
          <w:color w:val="0D0D0D"/>
          <w:sz w:val="31"/>
        </w:rPr>
        <w:t>答案:</w:t>
      </w:r>
      <w:r>
        <w:rPr>
          <w:color w:val="0D0D0D"/>
          <w:sz w:val="31"/>
        </w:rPr>
        <w:t>AD</w:t>
      </w:r>
    </w:p>
    <w:p>
      <w:pPr>
        <w:pStyle w:val="BodyText"/>
        <w:spacing w:before="10" w:line="247" w:lineRule="auto"/>
        <w:ind w:right="2677" w:firstLine="629"/>
      </w:pPr>
      <w:r>
        <w:rPr>
          <w:b/>
          <w:color w:val="0D0D0D"/>
        </w:rPr>
        <w:t>解析:</w:t>
      </w:r>
      <w:r>
        <w:rPr>
          <w:color w:val="0D0D0D"/>
        </w:rPr>
        <w:t>信用期延长，公式的分母增大，公式的计算结果减少，B 不正确；信用期和折扣期等量延长，公式的分母不变，公式的计算结果不变，C 不正确。</w:t>
      </w:r>
    </w:p>
    <w:p>
      <w:pPr>
        <w:pStyle w:val="BodyText"/>
        <w:spacing w:line="396" w:lineRule="exact"/>
      </w:pPr>
      <w:r>
        <w:rPr>
          <w:color w:val="0D0D0D"/>
        </w:rPr>
        <w:t xml:space="preserve">24、在短期借款的利息计算和偿还方法中，企业实际负担利率高于名义利率的有（ </w:t>
      </w:r>
      <w:r>
        <w:rPr>
          <w:color w:val="0D0D0D"/>
          <w:spacing w:val="-159"/>
        </w:rPr>
        <w:t>）</w:t>
      </w:r>
      <w:r>
        <w:rPr>
          <w:color w:val="0D0D0D"/>
        </w:rPr>
        <w:t>。</w:t>
      </w:r>
    </w:p>
    <w:p>
      <w:pPr>
        <w:pStyle w:val="BodyText"/>
        <w:tabs>
          <w:tab w:val="left" w:pos="7122"/>
          <w:tab w:val="left" w:pos="10272"/>
          <w:tab w:val="left" w:pos="14694"/>
        </w:tabs>
        <w:spacing w:before="13" w:line="244" w:lineRule="auto"/>
        <w:ind w:right="2691" w:firstLine="633"/>
      </w:pPr>
      <w:r>
        <w:rPr>
          <w:color w:val="0D0D0D"/>
        </w:rPr>
        <w:t>A、利随本清法付息</w:t>
        <w:tab/>
      </w:r>
      <w:r>
        <w:rPr>
          <w:color w:val="0D0D0D"/>
          <w:spacing w:val="-4"/>
        </w:rPr>
        <w:t>B</w:t>
      </w:r>
      <w:r>
        <w:rPr>
          <w:color w:val="0D0D0D"/>
        </w:rPr>
        <w:t>、贴现法付息</w:t>
        <w:tab/>
        <w:t>C、银行要求补偿性余额</w:t>
        <w:tab/>
      </w:r>
      <w:r>
        <w:rPr>
          <w:color w:val="0D0D0D"/>
          <w:spacing w:val="-4"/>
        </w:rPr>
        <w:t>D</w:t>
      </w:r>
      <w:r>
        <w:rPr>
          <w:color w:val="0D0D0D"/>
          <w:spacing w:val="-17"/>
        </w:rPr>
        <w:t>、</w:t>
      </w:r>
      <w:r>
        <w:rPr>
          <w:color w:val="0D0D0D"/>
        </w:rPr>
        <w:t>到期一次偿还贷款</w:t>
      </w:r>
    </w:p>
    <w:p>
      <w:pPr>
        <w:spacing w:before="7"/>
        <w:ind w:left="3330" w:right="0" w:firstLine="0"/>
        <w:jc w:val="left"/>
        <w:rPr>
          <w:sz w:val="31"/>
        </w:rPr>
      </w:pPr>
      <w:r>
        <w:rPr>
          <w:b/>
          <w:color w:val="0D0D0D"/>
          <w:sz w:val="31"/>
        </w:rPr>
        <w:t>答案:</w:t>
      </w:r>
      <w:r>
        <w:rPr>
          <w:color w:val="0D0D0D"/>
          <w:sz w:val="31"/>
        </w:rPr>
        <w:t>BC</w:t>
      </w:r>
    </w:p>
    <w:p>
      <w:pPr>
        <w:pStyle w:val="BodyText"/>
        <w:spacing w:before="10" w:line="244" w:lineRule="auto"/>
        <w:ind w:right="2643" w:firstLine="629"/>
      </w:pPr>
      <w:r>
        <w:rPr>
          <w:b/>
          <w:color w:val="0D0D0D"/>
        </w:rPr>
        <w:t>解析:</w:t>
      </w:r>
      <w:r>
        <w:rPr>
          <w:color w:val="0D0D0D"/>
        </w:rPr>
        <w:t>贴现法付息会使企业实际可用贷款额降低，企业实际负担利率高于名义利率。补偿性余额也会提高借款的实际利率。</w:t>
      </w:r>
    </w:p>
    <w:p>
      <w:pPr>
        <w:pStyle w:val="BodyText"/>
        <w:tabs>
          <w:tab w:val="left" w:pos="6647"/>
          <w:tab w:val="left" w:pos="10120"/>
          <w:tab w:val="left" w:pos="13747"/>
        </w:tabs>
        <w:spacing w:before="7" w:line="244" w:lineRule="auto"/>
        <w:ind w:left="3334" w:right="2534" w:hanging="634"/>
      </w:pPr>
      <w:r>
        <w:rPr>
          <w:color w:val="0D0D0D"/>
        </w:rPr>
        <w:t>25</w:t>
      </w:r>
      <w:r>
        <w:rPr>
          <w:color w:val="0D0D0D"/>
          <w:spacing w:val="-76"/>
        </w:rPr>
        <w:t>、</w:t>
      </w:r>
      <w:r>
        <w:rPr>
          <w:color w:val="0D0D0D"/>
        </w:rPr>
        <w:t>债券提前偿还又称提前赎回或收回</w:t>
      </w:r>
      <w:r>
        <w:rPr>
          <w:color w:val="0D0D0D"/>
          <w:spacing w:val="-104"/>
        </w:rPr>
        <w:t>，</w:t>
      </w:r>
      <w:r>
        <w:rPr>
          <w:color w:val="0D0D0D"/>
        </w:rPr>
        <w:t>是指在债券尚未到期之前应予以偿还</w:t>
      </w:r>
      <w:r>
        <w:rPr>
          <w:color w:val="0D0D0D"/>
          <w:spacing w:val="-100"/>
        </w:rPr>
        <w:t>，</w:t>
      </w:r>
      <w:r>
        <w:rPr>
          <w:color w:val="0D0D0D"/>
        </w:rPr>
        <w:t>它包</w:t>
      </w:r>
      <w:r>
        <w:rPr>
          <w:color w:val="0D0D0D"/>
          <w:spacing w:val="-80"/>
        </w:rPr>
        <w:t>括</w:t>
      </w:r>
      <w:r>
        <w:rPr>
          <w:color w:val="0D0D0D"/>
        </w:rPr>
        <w:t xml:space="preserve">（ </w:t>
      </w:r>
      <w:r>
        <w:rPr>
          <w:color w:val="0D0D0D"/>
          <w:spacing w:val="91"/>
        </w:rPr>
        <w:t xml:space="preserve"> </w:t>
      </w:r>
      <w:r>
        <w:rPr>
          <w:color w:val="0D0D0D"/>
          <w:spacing w:val="-162"/>
        </w:rPr>
        <w:t>）</w:t>
      </w:r>
      <w:r>
        <w:rPr>
          <w:color w:val="0D0D0D"/>
          <w:spacing w:val="-16"/>
        </w:rPr>
        <w:t>。</w:t>
      </w:r>
      <w:r>
        <w:rPr>
          <w:color w:val="0D0D0D"/>
          <w:spacing w:val="-4"/>
        </w:rPr>
        <w:t>A</w:t>
      </w:r>
      <w:r>
        <w:rPr>
          <w:color w:val="0D0D0D"/>
        </w:rPr>
        <w:t>、强制性赎回</w:t>
        <w:tab/>
        <w:t>B、通知赎回</w:t>
        <w:tab/>
      </w:r>
      <w:r>
        <w:rPr>
          <w:color w:val="0D0D0D"/>
          <w:spacing w:val="-3"/>
        </w:rPr>
        <w:t>C</w:t>
      </w:r>
      <w:r>
        <w:rPr>
          <w:color w:val="0D0D0D"/>
        </w:rPr>
        <w:t>、定期赎回</w:t>
        <w:tab/>
        <w:t>D、选择性</w:t>
      </w:r>
    </w:p>
    <w:p>
      <w:pPr>
        <w:pStyle w:val="BodyText"/>
        <w:spacing w:before="6"/>
      </w:pPr>
      <w:r>
        <w:rPr>
          <w:color w:val="0D0D0D"/>
        </w:rPr>
        <w:t>赎回</w:t>
      </w:r>
    </w:p>
    <w:p>
      <w:pPr>
        <w:spacing w:before="10"/>
        <w:ind w:left="3330" w:right="0" w:firstLine="0"/>
        <w:jc w:val="left"/>
        <w:rPr>
          <w:sz w:val="31"/>
        </w:rPr>
      </w:pPr>
      <w:r>
        <w:rPr>
          <w:b/>
          <w:color w:val="0D0D0D"/>
          <w:sz w:val="31"/>
        </w:rPr>
        <w:t>答案:</w:t>
      </w:r>
      <w:r>
        <w:rPr>
          <w:color w:val="0D0D0D"/>
          <w:sz w:val="31"/>
        </w:rPr>
        <w:t>ABD</w:t>
      </w:r>
    </w:p>
    <w:p>
      <w:pPr>
        <w:spacing w:before="14" w:line="244" w:lineRule="auto"/>
        <w:ind w:left="2700" w:right="5816" w:firstLine="629"/>
        <w:jc w:val="left"/>
        <w:rPr>
          <w:b/>
          <w:sz w:val="31"/>
        </w:rPr>
      </w:pPr>
      <w:r>
        <w:rPr>
          <w:b/>
          <w:color w:val="0D0D0D"/>
          <w:sz w:val="31"/>
        </w:rPr>
        <w:t>解析:</w:t>
      </w:r>
      <w:r>
        <w:rPr>
          <w:color w:val="0D0D0D"/>
          <w:spacing w:val="-1"/>
          <w:sz w:val="31"/>
        </w:rPr>
        <w:t>赎回有三种形式，强制性赎回、选择性赎回、通知赎回。</w:t>
      </w:r>
      <w:r>
        <w:rPr>
          <w:b/>
          <w:color w:val="0D0D0D"/>
          <w:sz w:val="31"/>
        </w:rPr>
        <w:t>三、判断题</w:t>
      </w:r>
    </w:p>
    <w:p>
      <w:pPr>
        <w:pStyle w:val="BodyText"/>
        <w:spacing w:before="7" w:line="244" w:lineRule="auto"/>
        <w:ind w:left="3330" w:right="6803" w:hanging="630"/>
      </w:pPr>
      <w:r>
        <w:rPr>
          <w:color w:val="0D0D0D"/>
        </w:rPr>
        <w:t>1、企业发行信用债券时最重要的限制条件是抵押条款</w:t>
      </w:r>
      <w:r>
        <w:rPr>
          <w:color w:val="0D0D0D"/>
          <w:spacing w:val="-197"/>
        </w:rPr>
        <w:t>。</w:t>
      </w:r>
      <w:r>
        <w:rPr>
          <w:color w:val="0D0D0D"/>
        </w:rPr>
        <w:t>（</w:t>
      </w:r>
      <w:r>
        <w:rPr>
          <w:color w:val="0D0D0D"/>
          <w:spacing w:val="3"/>
        </w:rPr>
        <w:t xml:space="preserve"> </w:t>
      </w:r>
      <w:r>
        <w:rPr>
          <w:color w:val="0D0D0D"/>
          <w:spacing w:val="-16"/>
        </w:rPr>
        <w:t xml:space="preserve">） </w:t>
      </w:r>
      <w:r>
        <w:rPr>
          <w:b/>
          <w:color w:val="0D0D0D"/>
        </w:rPr>
        <w:t>答案:</w:t>
      </w:r>
      <w:r>
        <w:rPr>
          <w:color w:val="0D0D0D"/>
        </w:rPr>
        <w:t>×</w:t>
      </w:r>
    </w:p>
    <w:p>
      <w:pPr>
        <w:pStyle w:val="BodyText"/>
        <w:spacing w:before="7" w:line="244" w:lineRule="auto"/>
        <w:ind w:right="2643" w:firstLine="629"/>
      </w:pPr>
      <w:r>
        <w:rPr>
          <w:b/>
          <w:color w:val="0D0D0D"/>
        </w:rPr>
        <w:t>解析:</w:t>
      </w:r>
      <w:r>
        <w:rPr>
          <w:color w:val="0D0D0D"/>
        </w:rPr>
        <w:t>信用债券包括无担保债券和附属信用债券，企业发行这种债券往往有许多限制条件，这些限制条件中最重要的条款是反抵押条款。</w:t>
      </w:r>
    </w:p>
    <w:p>
      <w:pPr>
        <w:pStyle w:val="BodyText"/>
        <w:spacing w:before="7" w:line="244" w:lineRule="auto"/>
        <w:ind w:right="2584"/>
      </w:pPr>
      <w:r>
        <w:rPr>
          <w:color w:val="0D0D0D"/>
        </w:rPr>
        <w:t>2、可转换债券在转换权行使之前属于公司的债务资本，权利行使之后则成为发行公司所有权资本。（ ）</w:t>
      </w:r>
    </w:p>
    <w:p>
      <w:pPr>
        <w:spacing w:before="7"/>
        <w:ind w:left="3330" w:right="0" w:firstLine="0"/>
        <w:jc w:val="left"/>
        <w:rPr>
          <w:sz w:val="31"/>
        </w:rPr>
      </w:pPr>
      <w:r>
        <w:rPr>
          <w:b/>
          <w:color w:val="0D0D0D"/>
          <w:sz w:val="31"/>
        </w:rPr>
        <w:t>答案:</w:t>
      </w:r>
      <w:r>
        <w:rPr>
          <w:color w:val="0D0D0D"/>
          <w:sz w:val="31"/>
        </w:rPr>
        <w:t>√</w:t>
      </w:r>
    </w:p>
    <w:p>
      <w:pPr>
        <w:pStyle w:val="BodyText"/>
        <w:spacing w:before="9" w:line="247" w:lineRule="auto"/>
        <w:ind w:right="2643" w:firstLine="629"/>
        <w:jc w:val="both"/>
      </w:pPr>
      <w:r>
        <w:rPr>
          <w:b/>
          <w:color w:val="0D0D0D"/>
        </w:rPr>
        <w:t>解析:</w:t>
      </w:r>
      <w:r>
        <w:rPr>
          <w:color w:val="0D0D0D"/>
          <w:spacing w:val="-1"/>
        </w:rPr>
        <w:t>可转换债券赋予持有者一种特殊的选择权，即按事先约定在一定时间内将其转换</w:t>
      </w:r>
      <w:r>
        <w:rPr>
          <w:color w:val="0D0D0D"/>
          <w:spacing w:val="-13"/>
        </w:rPr>
        <w:t>为公司股票的选择权，在转换权行使之前属于公司的债务资本，权利行使之后则成为发行公司的所有权资本。</w:t>
      </w:r>
    </w:p>
    <w:p>
      <w:pPr>
        <w:pStyle w:val="BodyText"/>
        <w:spacing w:before="1" w:line="247" w:lineRule="auto"/>
        <w:ind w:right="2643"/>
        <w:jc w:val="both"/>
      </w:pPr>
      <w:r>
        <w:rPr>
          <w:color w:val="0D0D0D"/>
        </w:rPr>
        <w:t>3</w:t>
      </w:r>
      <w:r>
        <w:rPr>
          <w:color w:val="0D0D0D"/>
          <w:spacing w:val="-1"/>
        </w:rPr>
        <w:t>、无面值股票只在票面上注明每股占公司全部净资产而不是占全部资产的比例，其价值随</w:t>
      </w:r>
      <w:r>
        <w:rPr>
          <w:color w:val="0D0D0D"/>
        </w:rPr>
        <w:t>公司财产价值的增减而增减</w:t>
      </w:r>
      <w:r>
        <w:rPr>
          <w:color w:val="0D0D0D"/>
          <w:spacing w:val="-177"/>
        </w:rPr>
        <w:t>。</w:t>
      </w:r>
      <w:r>
        <w:rPr>
          <w:color w:val="0D0D0D"/>
        </w:rPr>
        <w:t>（ ）</w:t>
      </w:r>
    </w:p>
    <w:p>
      <w:pPr>
        <w:spacing w:before="0" w:line="397" w:lineRule="exact"/>
        <w:ind w:left="3330" w:right="0" w:firstLine="0"/>
        <w:jc w:val="left"/>
        <w:rPr>
          <w:sz w:val="31"/>
        </w:rPr>
      </w:pPr>
      <w:r>
        <w:rPr>
          <w:b/>
          <w:color w:val="0D0D0D"/>
          <w:sz w:val="31"/>
        </w:rPr>
        <w:t>答案:</w:t>
      </w:r>
      <w:r>
        <w:rPr>
          <w:color w:val="0D0D0D"/>
          <w:sz w:val="31"/>
        </w:rPr>
        <w:t>√</w:t>
      </w:r>
    </w:p>
    <w:p>
      <w:pPr>
        <w:pStyle w:val="BodyText"/>
        <w:spacing w:before="9" w:line="244" w:lineRule="auto"/>
        <w:ind w:right="2643" w:firstLine="629"/>
      </w:pPr>
      <w:r>
        <w:rPr>
          <w:b/>
          <w:color w:val="0D0D0D"/>
        </w:rPr>
        <w:t>解析:</w:t>
      </w:r>
      <w:r>
        <w:rPr>
          <w:color w:val="0D0D0D"/>
        </w:rPr>
        <w:t>无面值股票只在票面上注明每股占公司净资产的比例，其价值随公司财产价值的增减而增减。</w:t>
      </w:r>
    </w:p>
    <w:p>
      <w:pPr>
        <w:pStyle w:val="BodyText"/>
        <w:spacing w:before="7" w:line="244" w:lineRule="auto"/>
        <w:ind w:right="2584"/>
      </w:pPr>
      <w:r>
        <w:rPr>
          <w:color w:val="0D0D0D"/>
        </w:rPr>
        <w:t>4、一般认为，补偿性余额使得名义借款额高于实际可使用借款额，从而实际借款利率大于名义借款利率。（ ）</w:t>
      </w:r>
    </w:p>
    <w:p>
      <w:pPr>
        <w:spacing w:before="7"/>
        <w:ind w:left="3330" w:right="0" w:firstLine="0"/>
        <w:jc w:val="left"/>
        <w:rPr>
          <w:sz w:val="31"/>
        </w:rPr>
      </w:pPr>
      <w:r>
        <w:rPr>
          <w:b/>
          <w:color w:val="0D0D0D"/>
          <w:sz w:val="31"/>
        </w:rPr>
        <w:t>答案:</w:t>
      </w:r>
      <w:r>
        <w:rPr>
          <w:color w:val="0D0D0D"/>
          <w:sz w:val="31"/>
        </w:rPr>
        <w:t>√</w:t>
      </w:r>
    </w:p>
    <w:p>
      <w:pPr>
        <w:pStyle w:val="BodyText"/>
        <w:spacing w:before="10"/>
        <w:ind w:left="3330"/>
      </w:pPr>
      <w:r>
        <w:rPr>
          <w:b/>
          <w:color w:val="0D0D0D"/>
        </w:rPr>
        <w:t>解析:</w:t>
      </w:r>
      <w:r>
        <w:rPr>
          <w:color w:val="0D0D0D"/>
        </w:rPr>
        <w:t>补偿性余额使借款人的名义借款额高于实际可使用借款额，从而实际借款利率大</w:t>
      </w:r>
    </w:p>
    <w:p>
      <w:pPr>
        <w:pStyle w:val="BodyText"/>
        <w:ind w:left="0"/>
        <w:rPr>
          <w:sz w:val="20"/>
        </w:rPr>
      </w:pPr>
    </w:p>
    <w:p>
      <w:pPr>
        <w:pStyle w:val="BodyText"/>
        <w:spacing w:before="9"/>
        <w:ind w:left="0"/>
        <w:rPr>
          <w:sz w:val="28"/>
        </w:rPr>
      </w:pPr>
    </w:p>
    <w:p>
      <w:pPr>
        <w:pStyle w:val="BodyText"/>
        <w:tabs>
          <w:tab w:val="left" w:pos="8846"/>
          <w:tab w:val="left" w:pos="12155"/>
        </w:tabs>
        <w:spacing w:before="62"/>
        <w:ind w:left="7"/>
        <w:jc w:val="center"/>
      </w:pPr>
      <w:r>
        <w:drawing>
          <wp:anchor distT="0" distB="0" distL="0" distR="0" simplePos="0" relativeHeight="251671552" behindDoc="1" locked="0" layoutInCell="1" allowOverlap="1">
            <wp:simplePos x="0" y="0"/>
            <wp:positionH relativeFrom="page">
              <wp:posOffset>7431405</wp:posOffset>
            </wp:positionH>
            <wp:positionV relativeFrom="paragraph">
              <wp:posOffset>-386460</wp:posOffset>
            </wp:positionV>
            <wp:extent cx="1988820" cy="558038"/>
            <wp:effectExtent l="0" t="0" r="0" b="0"/>
            <wp:wrapNone/>
            <wp:docPr id="3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9.png"/>
                    <pic:cNvPicPr/>
                  </pic:nvPicPr>
                  <pic:blipFill>
                    <a:blip xmlns:r="http://schemas.openxmlformats.org/officeDocument/2006/relationships" r:embed="rId94" cstate="print"/>
                    <a:stretch>
                      <a:fillRect/>
                    </a:stretch>
                  </pic:blipFill>
                  <pic:spPr>
                    <a:xfrm>
                      <a:off x="0" y="0"/>
                      <a:ext cx="1988820" cy="558038"/>
                    </a:xfrm>
                    <a:prstGeom prst="rect">
                      <a:avLst/>
                    </a:prstGeom>
                  </pic:spPr>
                </pic:pic>
              </a:graphicData>
            </a:graphic>
          </wp:anchor>
        </w:drawing>
      </w:r>
      <w:r>
        <w:rPr>
          <w:color w:val="0D0D0D"/>
        </w:rPr>
        <w:t>于名义借款利率，具体计算公式是：补偿性余额贷款实际利率</w:t>
        <w:tab/>
        <w:t>=</w:t>
        <w:tab/>
        <w:t>×</w:t>
      </w:r>
    </w:p>
    <w:p>
      <w:pPr>
        <w:spacing w:after="0"/>
        <w:jc w:val="center"/>
        <w:sectPr>
          <w:headerReference w:type="default" r:id="rId95"/>
          <w:footerReference w:type="default" r:id="rId96"/>
          <w:pgSz w:w="17860" w:h="25260"/>
          <w:pgMar w:top="1720" w:right="0" w:bottom="1940" w:left="0" w:header="1129" w:footer="1752"/>
          <w:pgNumType w:start="9"/>
          <w:cols w:space="708"/>
        </w:sectPr>
      </w:pPr>
    </w:p>
    <w:p>
      <w:pPr>
        <w:pStyle w:val="BodyText"/>
        <w:spacing w:before="3"/>
        <w:ind w:left="0"/>
        <w:rPr>
          <w:sz w:val="8"/>
        </w:rPr>
      </w:pPr>
    </w:p>
    <w:p>
      <w:pPr>
        <w:pStyle w:val="BodyText"/>
        <w:spacing w:before="63"/>
      </w:pPr>
      <w:r>
        <w:rPr>
          <w:color w:val="0D0D0D"/>
        </w:rPr>
        <w:t>100%。</w:t>
      </w:r>
    </w:p>
    <w:p>
      <w:pPr>
        <w:pStyle w:val="BodyText"/>
        <w:spacing w:before="10" w:line="247" w:lineRule="auto"/>
        <w:ind w:left="3330" w:right="7750" w:hanging="630"/>
      </w:pPr>
      <w:r>
        <w:rPr>
          <w:color w:val="0D0D0D"/>
        </w:rPr>
        <w:t>5、维持举债能力并不是企业发行优先股的动机</w:t>
      </w:r>
      <w:r>
        <w:rPr>
          <w:color w:val="0D0D0D"/>
          <w:spacing w:val="-194"/>
        </w:rPr>
        <w:t>。</w:t>
      </w:r>
      <w:r>
        <w:rPr>
          <w:color w:val="0D0D0D"/>
        </w:rPr>
        <w:t>（</w:t>
      </w:r>
      <w:r>
        <w:rPr>
          <w:color w:val="0D0D0D"/>
          <w:spacing w:val="141"/>
        </w:rPr>
        <w:t xml:space="preserve"> </w:t>
      </w:r>
      <w:r>
        <w:rPr>
          <w:color w:val="0D0D0D"/>
          <w:spacing w:val="-17"/>
        </w:rPr>
        <w:t xml:space="preserve">） </w:t>
      </w:r>
      <w:r>
        <w:rPr>
          <w:b/>
          <w:color w:val="0D0D0D"/>
        </w:rPr>
        <w:t>答案:</w:t>
      </w:r>
      <w:r>
        <w:rPr>
          <w:color w:val="0D0D0D"/>
        </w:rPr>
        <w:t>×</w:t>
      </w:r>
    </w:p>
    <w:p>
      <w:pPr>
        <w:pStyle w:val="BodyText"/>
        <w:spacing w:line="247" w:lineRule="auto"/>
        <w:ind w:right="2643" w:firstLine="629"/>
      </w:pPr>
      <w:r>
        <w:rPr>
          <w:b/>
          <w:color w:val="0D0D0D"/>
        </w:rPr>
        <w:t>解析:</w:t>
      </w:r>
      <w:r>
        <w:rPr>
          <w:color w:val="0D0D0D"/>
        </w:rPr>
        <w:t>企业发行优先股的动机包括：防止股权分散化；调剂现金余缺；改善资本结构； 维持举债能力。</w:t>
      </w:r>
    </w:p>
    <w:p>
      <w:pPr>
        <w:pStyle w:val="BodyText"/>
        <w:spacing w:line="247" w:lineRule="auto"/>
        <w:ind w:left="3330" w:right="6173" w:hanging="630"/>
      </w:pPr>
      <w:r>
        <w:rPr>
          <w:color w:val="0D0D0D"/>
        </w:rPr>
        <w:t>6、优先股具有双重性质，既属于自有资金又兼有债券性质</w:t>
      </w:r>
      <w:r>
        <w:rPr>
          <w:color w:val="0D0D0D"/>
          <w:spacing w:val="-201"/>
        </w:rPr>
        <w:t>。</w:t>
      </w:r>
      <w:r>
        <w:rPr>
          <w:color w:val="0D0D0D"/>
        </w:rPr>
        <w:t xml:space="preserve">（ </w:t>
      </w:r>
      <w:r>
        <w:rPr>
          <w:color w:val="0D0D0D"/>
          <w:spacing w:val="-16"/>
        </w:rPr>
        <w:t xml:space="preserve">） </w:t>
      </w:r>
      <w:r>
        <w:rPr>
          <w:b/>
          <w:color w:val="0D0D0D"/>
        </w:rPr>
        <w:t>答案:</w:t>
      </w:r>
      <w:r>
        <w:rPr>
          <w:color w:val="0D0D0D"/>
        </w:rPr>
        <w:t>√</w:t>
      </w:r>
    </w:p>
    <w:p>
      <w:pPr>
        <w:pStyle w:val="BodyText"/>
        <w:spacing w:line="247" w:lineRule="auto"/>
        <w:ind w:right="2484" w:firstLine="629"/>
      </w:pPr>
      <w:r>
        <w:rPr>
          <w:b/>
          <w:color w:val="0D0D0D"/>
        </w:rPr>
        <w:t>解析:</w:t>
      </w:r>
      <w:r>
        <w:rPr>
          <w:color w:val="0D0D0D"/>
        </w:rPr>
        <w:t xml:space="preserve">优先股是一种具有双重性质的证券它虽属自有资金但却兼有债券性质。从法律上 </w:t>
      </w:r>
      <w:r>
        <w:rPr>
          <w:color w:val="0D0D0D"/>
          <w:spacing w:val="-14"/>
        </w:rPr>
        <w:t xml:space="preserve">讲，优先股是企业自有资金的一部分。优先股股东所拥有的权利与普通股股东近似。优先股  </w:t>
      </w:r>
      <w:r>
        <w:rPr>
          <w:color w:val="0D0D0D"/>
          <w:spacing w:val="-15"/>
        </w:rPr>
        <w:t xml:space="preserve">的股利不能像债务利息那样从税前扣除，而必须从净利润中支付。但优先股有固定的股利， </w:t>
      </w:r>
      <w:r>
        <w:rPr>
          <w:color w:val="0D0D0D"/>
          <w:spacing w:val="-2"/>
        </w:rPr>
        <w:t xml:space="preserve">这与债券利息相似，优先股对盈利的分配和剩余资产的求偿具有优先权，这也类似于债券。 </w:t>
      </w:r>
      <w:r>
        <w:rPr>
          <w:color w:val="0D0D0D"/>
        </w:rPr>
        <w:t>7</w:t>
      </w:r>
      <w:r>
        <w:rPr>
          <w:color w:val="0D0D0D"/>
          <w:spacing w:val="-5"/>
        </w:rPr>
        <w:t xml:space="preserve">、某公司拟发行 </w:t>
      </w:r>
      <w:r>
        <w:rPr>
          <w:color w:val="0D0D0D"/>
        </w:rPr>
        <w:t>5</w:t>
      </w:r>
      <w:r>
        <w:rPr>
          <w:color w:val="0D0D0D"/>
          <w:spacing w:val="-7"/>
        </w:rPr>
        <w:t xml:space="preserve"> 年期债券进行筹资，债券票面金额为 </w:t>
      </w:r>
      <w:r>
        <w:rPr>
          <w:color w:val="0D0D0D"/>
        </w:rPr>
        <w:t>100</w:t>
      </w:r>
      <w:r>
        <w:rPr>
          <w:color w:val="0D0D0D"/>
          <w:spacing w:val="-9"/>
        </w:rPr>
        <w:t xml:space="preserve"> 元，票面利率为 </w:t>
      </w:r>
      <w:r>
        <w:rPr>
          <w:color w:val="0D0D0D"/>
        </w:rPr>
        <w:t>12%，到期一次</w:t>
      </w:r>
      <w:r>
        <w:rPr>
          <w:color w:val="0D0D0D"/>
          <w:spacing w:val="-2"/>
        </w:rPr>
        <w:t xml:space="preserve">还本付息，单利计息， 当时市场利率为 </w:t>
      </w:r>
      <w:r>
        <w:rPr>
          <w:color w:val="0D0D0D"/>
        </w:rPr>
        <w:t>10</w:t>
      </w:r>
      <w:r>
        <w:rPr>
          <w:color w:val="0D0D0D"/>
          <w:spacing w:val="1"/>
        </w:rPr>
        <w:t>%，那么，该公司债券发行价格应为</w:t>
      </w:r>
      <w:r>
        <w:rPr>
          <w:color w:val="0D0D0D"/>
        </w:rPr>
        <w:t>99.34</w:t>
      </w:r>
      <w:r>
        <w:rPr>
          <w:color w:val="0D0D0D"/>
          <w:spacing w:val="-8"/>
        </w:rPr>
        <w:t xml:space="preserve"> 元。</w:t>
      </w:r>
    </w:p>
    <w:p>
      <w:pPr>
        <w:pStyle w:val="BodyText"/>
        <w:spacing w:line="394" w:lineRule="exact"/>
      </w:pPr>
      <w:r>
        <w:rPr>
          <w:color w:val="0D0D0D"/>
        </w:rPr>
        <w:t>（ ）</w:t>
      </w:r>
    </w:p>
    <w:p>
      <w:pPr>
        <w:spacing w:before="11"/>
        <w:ind w:left="3330" w:right="0" w:firstLine="0"/>
        <w:jc w:val="left"/>
        <w:rPr>
          <w:sz w:val="31"/>
        </w:rPr>
      </w:pPr>
      <w:r>
        <w:rPr>
          <w:b/>
          <w:color w:val="0D0D0D"/>
          <w:sz w:val="31"/>
        </w:rPr>
        <w:t>答案:</w:t>
      </w:r>
      <w:r>
        <w:rPr>
          <w:color w:val="0D0D0D"/>
          <w:sz w:val="31"/>
        </w:rPr>
        <w:t>√</w:t>
      </w:r>
    </w:p>
    <w:p>
      <w:pPr>
        <w:pStyle w:val="BodyText"/>
        <w:spacing w:before="10"/>
        <w:ind w:left="3330"/>
      </w:pPr>
      <w:r>
        <w:rPr>
          <w:b/>
          <w:color w:val="0D0D0D"/>
        </w:rPr>
        <w:t>解析:</w:t>
      </w:r>
      <w:r>
        <w:rPr>
          <w:color w:val="0D0D0D"/>
        </w:rPr>
        <w:t>债券发行价格=100×（1+12%×5）×（P/F，10%，5）=99.34(元)</w:t>
      </w:r>
    </w:p>
    <w:p>
      <w:pPr>
        <w:pStyle w:val="BodyText"/>
        <w:spacing w:before="13" w:line="244" w:lineRule="auto"/>
        <w:ind w:left="3330" w:right="3652" w:hanging="630"/>
      </w:pPr>
      <w:r>
        <w:rPr>
          <w:color w:val="0D0D0D"/>
        </w:rPr>
        <w:t>8、由于抵押借款有抵押品作抵押，因此抵押借款的资金成本低于非抵押借款</w:t>
      </w:r>
      <w:r>
        <w:rPr>
          <w:color w:val="0D0D0D"/>
          <w:spacing w:val="-218"/>
        </w:rPr>
        <w:t>。</w:t>
      </w:r>
      <w:r>
        <w:rPr>
          <w:color w:val="0D0D0D"/>
        </w:rPr>
        <w:t>（</w:t>
      </w:r>
      <w:r>
        <w:rPr>
          <w:color w:val="0D0D0D"/>
          <w:spacing w:val="68"/>
        </w:rPr>
        <w:t xml:space="preserve"> </w:t>
      </w:r>
      <w:r>
        <w:rPr>
          <w:color w:val="0D0D0D"/>
          <w:spacing w:val="-16"/>
        </w:rPr>
        <w:t xml:space="preserve">） </w:t>
      </w:r>
      <w:r>
        <w:rPr>
          <w:b/>
          <w:color w:val="0D0D0D"/>
        </w:rPr>
        <w:t>答案:</w:t>
      </w:r>
      <w:r>
        <w:rPr>
          <w:color w:val="0D0D0D"/>
        </w:rPr>
        <w:t>×</w:t>
      </w:r>
    </w:p>
    <w:p>
      <w:pPr>
        <w:pStyle w:val="BodyText"/>
        <w:spacing w:before="7" w:line="244" w:lineRule="auto"/>
        <w:ind w:right="2643" w:firstLine="629"/>
      </w:pPr>
      <w:r>
        <w:rPr>
          <w:b/>
          <w:color w:val="0D0D0D"/>
        </w:rPr>
        <w:t>解析:</w:t>
      </w:r>
      <w:r>
        <w:rPr>
          <w:color w:val="0D0D0D"/>
        </w:rPr>
        <w:t>银行把抵押借款视为一种风险贷款，高风险高回报；同时，银行对于抵押借款一般还要收取手续费，因此，抵押借款的资金成本通常高于无抵押借款。</w:t>
      </w:r>
    </w:p>
    <w:p>
      <w:pPr>
        <w:pStyle w:val="BodyText"/>
        <w:spacing w:before="7" w:line="244" w:lineRule="auto"/>
        <w:ind w:left="3330" w:right="2534" w:hanging="630"/>
      </w:pPr>
      <w:r>
        <w:rPr>
          <w:color w:val="0D0D0D"/>
        </w:rPr>
        <w:t>9</w:t>
      </w:r>
      <w:r>
        <w:rPr>
          <w:color w:val="0D0D0D"/>
          <w:spacing w:val="-2"/>
        </w:rPr>
        <w:t>、收益债券是指在企业不盈利时，可暂不支付利息，而到获利时支付累积利息的债券</w:t>
      </w:r>
      <w:r>
        <w:rPr>
          <w:color w:val="0D0D0D"/>
          <w:spacing w:val="-272"/>
        </w:rPr>
        <w:t>（</w:t>
      </w:r>
      <w:r>
        <w:rPr>
          <w:color w:val="0D0D0D"/>
          <w:spacing w:val="16"/>
        </w:rPr>
        <w:t xml:space="preserve">。 </w:t>
      </w:r>
      <w:r>
        <w:rPr>
          <w:color w:val="0D0D0D"/>
          <w:spacing w:val="-17"/>
        </w:rPr>
        <w:t xml:space="preserve">） </w:t>
      </w:r>
      <w:r>
        <w:rPr>
          <w:b/>
          <w:color w:val="0D0D0D"/>
        </w:rPr>
        <w:t>答案:</w:t>
      </w:r>
      <w:r>
        <w:rPr>
          <w:color w:val="0D0D0D"/>
        </w:rPr>
        <w:t>√</w:t>
      </w:r>
    </w:p>
    <w:p>
      <w:pPr>
        <w:pStyle w:val="BodyText"/>
        <w:spacing w:before="3" w:line="247" w:lineRule="auto"/>
        <w:ind w:right="2643" w:firstLine="629"/>
      </w:pPr>
      <w:r>
        <w:rPr>
          <w:b/>
          <w:color w:val="0D0D0D"/>
        </w:rPr>
        <w:t>解析:</w:t>
      </w:r>
      <w:r>
        <w:rPr>
          <w:color w:val="0D0D0D"/>
        </w:rPr>
        <w:t>收益债券是指在企业不盈利时，可暂不支付利息，而到获得累积利润时才支付累积利息的债券。</w:t>
      </w:r>
    </w:p>
    <w:p>
      <w:pPr>
        <w:pStyle w:val="BodyText"/>
        <w:spacing w:line="247" w:lineRule="auto"/>
        <w:ind w:left="3330" w:right="4751" w:hanging="630"/>
      </w:pPr>
      <w:r>
        <w:rPr>
          <w:color w:val="0D0D0D"/>
        </w:rPr>
        <w:t>10、从出租人的角度来看，杠杆租赁与售后租回或直接租赁并无区别</w:t>
      </w:r>
      <w:r>
        <w:rPr>
          <w:color w:val="0D0D0D"/>
          <w:spacing w:val="-208"/>
        </w:rPr>
        <w:t>。</w:t>
      </w:r>
      <w:r>
        <w:rPr>
          <w:color w:val="0D0D0D"/>
        </w:rPr>
        <w:t xml:space="preserve">（ </w:t>
      </w:r>
      <w:r>
        <w:rPr>
          <w:color w:val="0D0D0D"/>
          <w:spacing w:val="-15"/>
        </w:rPr>
        <w:t xml:space="preserve">） </w:t>
      </w:r>
      <w:r>
        <w:rPr>
          <w:b/>
          <w:color w:val="0D0D0D"/>
        </w:rPr>
        <w:t>答案:</w:t>
      </w:r>
      <w:r>
        <w:rPr>
          <w:color w:val="0D0D0D"/>
        </w:rPr>
        <w:t>×</w:t>
      </w:r>
    </w:p>
    <w:p>
      <w:pPr>
        <w:pStyle w:val="BodyText"/>
        <w:spacing w:line="396" w:lineRule="exact"/>
        <w:ind w:left="3330"/>
      </w:pPr>
      <w:r>
        <w:rPr>
          <w:b/>
          <w:color w:val="0D0D0D"/>
        </w:rPr>
        <w:t>解析:</w:t>
      </w:r>
      <w:r>
        <w:rPr>
          <w:color w:val="0D0D0D"/>
        </w:rPr>
        <w:t>从承租人的角度来看，杠杆租赁与售后租回或直接租赁并无区别。</w:t>
      </w:r>
    </w:p>
    <w:p>
      <w:pPr>
        <w:pStyle w:val="BodyText"/>
        <w:spacing w:before="13" w:line="244" w:lineRule="auto"/>
        <w:ind w:left="3330" w:right="3490" w:hanging="630"/>
      </w:pPr>
      <w:r>
        <w:rPr>
          <w:color w:val="0D0D0D"/>
        </w:rPr>
        <w:t>11、由于银行借款的利息是固定的，所以相对而言，这一筹资方式的弹性较小</w:t>
      </w:r>
      <w:r>
        <w:rPr>
          <w:color w:val="0D0D0D"/>
          <w:spacing w:val="-211"/>
        </w:rPr>
        <w:t>。</w:t>
      </w:r>
      <w:r>
        <w:rPr>
          <w:color w:val="0D0D0D"/>
        </w:rPr>
        <w:t>（</w:t>
      </w:r>
      <w:r>
        <w:rPr>
          <w:color w:val="0D0D0D"/>
          <w:spacing w:val="67"/>
        </w:rPr>
        <w:t xml:space="preserve"> </w:t>
      </w:r>
      <w:r>
        <w:rPr>
          <w:color w:val="0D0D0D"/>
          <w:spacing w:val="-16"/>
        </w:rPr>
        <w:t xml:space="preserve">） </w:t>
      </w:r>
      <w:r>
        <w:rPr>
          <w:b/>
          <w:color w:val="0D0D0D"/>
        </w:rPr>
        <w:t>答案:</w:t>
      </w:r>
      <w:r>
        <w:rPr>
          <w:color w:val="0D0D0D"/>
        </w:rPr>
        <w:t>×</w:t>
      </w:r>
    </w:p>
    <w:p>
      <w:pPr>
        <w:pStyle w:val="BodyText"/>
        <w:spacing w:before="7" w:line="244" w:lineRule="auto"/>
        <w:ind w:right="2643" w:firstLine="629"/>
      </w:pPr>
      <w:r>
        <w:rPr>
          <w:b/>
          <w:color w:val="0D0D0D"/>
        </w:rPr>
        <w:t>解析:</w:t>
      </w:r>
      <w:r>
        <w:rPr>
          <w:color w:val="0D0D0D"/>
        </w:rPr>
        <w:t>“弹性”是指借款提前归还或延期的可操作性，由于借款一般是银行和借款人一对一的形式，所以借款提前归还或延期的可操作性大，借款筹资方式的弹性较大。</w:t>
      </w:r>
    </w:p>
    <w:p>
      <w:pPr>
        <w:pStyle w:val="BodyText"/>
        <w:spacing w:before="7" w:line="244" w:lineRule="auto"/>
        <w:ind w:right="2679"/>
      </w:pPr>
      <w:r>
        <w:rPr>
          <w:color w:val="0D0D0D"/>
        </w:rPr>
        <w:t>12</w:t>
      </w:r>
      <w:r>
        <w:rPr>
          <w:color w:val="0D0D0D"/>
          <w:spacing w:val="-16"/>
        </w:rPr>
        <w:t>、在发行可转换债券时，设置按高于面值的价格赎回可转换债券的条款，是为了保护可转</w:t>
      </w:r>
      <w:r>
        <w:rPr>
          <w:color w:val="0D0D0D"/>
        </w:rPr>
        <w:t>换债券持有人的利益，以吸引更多的债券投资者</w:t>
      </w:r>
      <w:r>
        <w:rPr>
          <w:color w:val="0D0D0D"/>
          <w:spacing w:val="-194"/>
        </w:rPr>
        <w:t>。</w:t>
      </w:r>
      <w:r>
        <w:rPr>
          <w:color w:val="0D0D0D"/>
        </w:rPr>
        <w:t>（ ）</w:t>
      </w:r>
    </w:p>
    <w:p>
      <w:pPr>
        <w:spacing w:before="7"/>
        <w:ind w:left="3330" w:right="0" w:firstLine="0"/>
        <w:jc w:val="left"/>
        <w:rPr>
          <w:sz w:val="31"/>
        </w:rPr>
      </w:pPr>
      <w:r>
        <w:rPr>
          <w:b/>
          <w:color w:val="0D0D0D"/>
          <w:sz w:val="31"/>
        </w:rPr>
        <w:t>答案:</w:t>
      </w:r>
      <w:r>
        <w:rPr>
          <w:color w:val="0D0D0D"/>
          <w:sz w:val="31"/>
        </w:rPr>
        <w:t>×</w:t>
      </w:r>
    </w:p>
    <w:p>
      <w:pPr>
        <w:pStyle w:val="BodyText"/>
        <w:spacing w:before="9" w:line="247" w:lineRule="auto"/>
        <w:ind w:right="2643" w:firstLine="629"/>
        <w:jc w:val="both"/>
      </w:pPr>
      <w:r>
        <w:rPr>
          <w:b/>
          <w:color w:val="0D0D0D"/>
        </w:rPr>
        <w:t>解析:</w:t>
      </w:r>
      <w:r>
        <w:rPr>
          <w:color w:val="0D0D0D"/>
          <w:spacing w:val="-1"/>
        </w:rPr>
        <w:t>本题考查可转换债券的赎回条件。可转换债券中设置赎回条款，主要是为了促使</w:t>
      </w:r>
      <w:r>
        <w:rPr>
          <w:color w:val="0D0D0D"/>
          <w:spacing w:val="-13"/>
        </w:rPr>
        <w:t>债券持有人转换股份，同时也能使发行公司避免市场利率下降后，继续向债券持有人支付较高的债券票面利率所蒙受的损失，锁定发行公司的利率损失。</w:t>
      </w:r>
    </w:p>
    <w:p>
      <w:pPr>
        <w:pStyle w:val="BodyText"/>
        <w:spacing w:before="1" w:line="244" w:lineRule="auto"/>
        <w:ind w:left="3330" w:right="3022" w:hanging="630"/>
      </w:pPr>
      <w:r>
        <w:rPr>
          <w:color w:val="0D0D0D"/>
        </w:rPr>
        <w:t>13</w:t>
      </w:r>
      <w:r>
        <w:rPr>
          <w:color w:val="0D0D0D"/>
          <w:spacing w:val="-3"/>
        </w:rPr>
        <w:t>、认股权证持有人,在认股之前,既不拥有债权也不拥有股权，只拥有股票认购权</w:t>
      </w:r>
      <w:r>
        <w:rPr>
          <w:color w:val="0D0D0D"/>
          <w:spacing w:val="-197"/>
        </w:rPr>
        <w:t>。</w:t>
      </w:r>
      <w:r>
        <w:rPr>
          <w:color w:val="0D0D0D"/>
          <w:spacing w:val="-7"/>
        </w:rPr>
        <w:t xml:space="preserve">（） </w:t>
      </w:r>
      <w:r>
        <w:rPr>
          <w:b/>
          <w:color w:val="0D0D0D"/>
        </w:rPr>
        <w:t>答案:</w:t>
      </w:r>
      <w:r>
        <w:rPr>
          <w:color w:val="0D0D0D"/>
        </w:rPr>
        <w:t>√</w:t>
      </w:r>
    </w:p>
    <w:p>
      <w:pPr>
        <w:pStyle w:val="BodyText"/>
        <w:spacing w:before="7" w:line="247" w:lineRule="auto"/>
        <w:ind w:right="2643" w:firstLine="629"/>
      </w:pPr>
      <w:r>
        <w:rPr>
          <w:b/>
          <w:color w:val="0D0D0D"/>
        </w:rPr>
        <w:t>解析:</w:t>
      </w:r>
      <w:r>
        <w:rPr>
          <w:color w:val="0D0D0D"/>
        </w:rPr>
        <w:t>认股权证是由股份公司发行的，能按特定的价格，在特定的时间购买一定数量该公司股票的选择权凭证，是一种特殊的筹资手段。</w:t>
      </w:r>
    </w:p>
    <w:p>
      <w:pPr>
        <w:pStyle w:val="BodyText"/>
        <w:spacing w:line="244" w:lineRule="auto"/>
        <w:ind w:right="2667"/>
      </w:pPr>
      <w:r>
        <w:rPr>
          <w:color w:val="0D0D0D"/>
        </w:rPr>
        <w:t>14</w:t>
      </w:r>
      <w:r>
        <w:rPr>
          <w:color w:val="0D0D0D"/>
          <w:spacing w:val="-15"/>
        </w:rPr>
        <w:t>、在杠杆租赁方式下，如果出租人不能按期偿还借款，则资产的所有权就要转归资金出借</w:t>
      </w:r>
      <w:r>
        <w:rPr>
          <w:color w:val="0D0D0D"/>
          <w:spacing w:val="-80"/>
        </w:rPr>
        <w:t>者。</w:t>
      </w:r>
      <w:r>
        <w:rPr>
          <w:color w:val="0D0D0D"/>
        </w:rPr>
        <w:t>（ ）</w:t>
      </w:r>
    </w:p>
    <w:p>
      <w:pPr>
        <w:spacing w:before="3"/>
        <w:ind w:left="3330" w:right="0" w:firstLine="0"/>
        <w:jc w:val="left"/>
        <w:rPr>
          <w:sz w:val="31"/>
        </w:rPr>
      </w:pPr>
      <w:r>
        <w:rPr>
          <w:b/>
          <w:color w:val="0D0D0D"/>
          <w:sz w:val="31"/>
        </w:rPr>
        <w:t>答案:</w:t>
      </w:r>
      <w:r>
        <w:rPr>
          <w:color w:val="0D0D0D"/>
          <w:sz w:val="31"/>
        </w:rPr>
        <w:t>√</w:t>
      </w:r>
    </w:p>
    <w:p>
      <w:pPr>
        <w:pStyle w:val="BodyText"/>
        <w:spacing w:before="13" w:line="247" w:lineRule="auto"/>
        <w:ind w:right="2643" w:firstLine="629"/>
      </w:pPr>
      <w:r>
        <w:rPr>
          <w:b/>
          <w:color w:val="0D0D0D"/>
        </w:rPr>
        <w:t>解析:</w:t>
      </w:r>
      <w:r>
        <w:rPr>
          <w:color w:val="0D0D0D"/>
          <w:spacing w:val="-1"/>
        </w:rPr>
        <w:t>在杠杆租赁方式下，出租人既是出租人又是借款人。出租人以出租的资产作为担</w:t>
      </w:r>
      <w:r>
        <w:rPr>
          <w:color w:val="0D0D0D"/>
        </w:rPr>
        <w:t>保借入资金，如果出租人不能按期偿还借款，那么资产的所有权就应转归资金出借者。   15、具有收回条款的债券可使企业融资具有较大弹性</w:t>
      </w:r>
      <w:r>
        <w:rPr>
          <w:color w:val="0D0D0D"/>
          <w:spacing w:val="-194"/>
        </w:rPr>
        <w:t>。</w:t>
      </w:r>
      <w:r>
        <w:rPr>
          <w:color w:val="0D0D0D"/>
        </w:rPr>
        <w:t>（</w:t>
      </w:r>
      <w:r>
        <w:rPr>
          <w:color w:val="0D0D0D"/>
          <w:spacing w:val="6"/>
        </w:rPr>
        <w:t xml:space="preserve"> </w:t>
      </w:r>
      <w:r>
        <w:rPr>
          <w:color w:val="0D0D0D"/>
        </w:rPr>
        <w:t>）</w:t>
      </w:r>
    </w:p>
    <w:p>
      <w:pPr>
        <w:spacing w:before="0" w:line="394" w:lineRule="exact"/>
        <w:ind w:left="3330" w:right="0" w:firstLine="0"/>
        <w:jc w:val="left"/>
        <w:rPr>
          <w:sz w:val="31"/>
        </w:rPr>
      </w:pPr>
      <w:r>
        <w:rPr>
          <w:b/>
          <w:color w:val="0D0D0D"/>
          <w:sz w:val="31"/>
        </w:rPr>
        <w:t>答案:</w:t>
      </w:r>
      <w:r>
        <w:rPr>
          <w:color w:val="0D0D0D"/>
          <w:sz w:val="31"/>
        </w:rPr>
        <w:t>√</w:t>
      </w:r>
    </w:p>
    <w:p>
      <w:pPr>
        <w:pStyle w:val="BodyText"/>
        <w:spacing w:before="13" w:line="244" w:lineRule="auto"/>
        <w:ind w:right="2643" w:firstLine="629"/>
      </w:pPr>
      <w:r>
        <w:rPr>
          <w:b/>
          <w:color w:val="0D0D0D"/>
        </w:rPr>
        <w:t>解析:</w:t>
      </w:r>
      <w:r>
        <w:rPr>
          <w:color w:val="0D0D0D"/>
        </w:rPr>
        <w:t>具有收回条款的债券可使企业融资有较大的弹性。当企业资金有结余时，可收回债券，当预测利率下降时，也可收回债券，而后以较低的利率来发行新债券。</w:t>
      </w:r>
    </w:p>
    <w:p>
      <w:pPr>
        <w:pStyle w:val="BodyText"/>
        <w:spacing w:before="7"/>
      </w:pPr>
      <w:r>
        <w:rPr>
          <w:color w:val="0D0D0D"/>
        </w:rPr>
        <w:t>16、吸收直接投资有利于企业尽快形成生产能力，扩大企业经营规模，但有加大企业财务风</w:t>
      </w:r>
    </w:p>
    <w:p>
      <w:pPr>
        <w:spacing w:after="0"/>
        <w:sectPr>
          <w:headerReference w:type="default" r:id="rId97"/>
          <w:footerReference w:type="default" r:id="rId98"/>
          <w:pgSz w:w="17860" w:h="25260"/>
          <w:pgMar w:top="1720" w:right="0" w:bottom="1940" w:left="0" w:header="1129" w:footer="1752"/>
          <w:pgNumType w:start="10"/>
          <w:cols w:space="708"/>
        </w:sectPr>
      </w:pPr>
    </w:p>
    <w:p>
      <w:pPr>
        <w:pStyle w:val="BodyText"/>
        <w:spacing w:before="3"/>
        <w:ind w:left="0"/>
        <w:rPr>
          <w:sz w:val="8"/>
        </w:rPr>
      </w:pPr>
    </w:p>
    <w:p>
      <w:pPr>
        <w:spacing w:before="63" w:line="247" w:lineRule="auto"/>
        <w:ind w:left="3330" w:right="12946" w:hanging="630"/>
        <w:jc w:val="left"/>
        <w:rPr>
          <w:sz w:val="31"/>
        </w:rPr>
      </w:pPr>
      <w:r>
        <w:rPr>
          <w:color w:val="0D0D0D"/>
          <w:spacing w:val="-34"/>
          <w:sz w:val="31"/>
        </w:rPr>
        <w:t>险的缺点。</w:t>
      </w:r>
      <w:r>
        <w:rPr>
          <w:color w:val="0D0D0D"/>
          <w:sz w:val="31"/>
        </w:rPr>
        <w:t xml:space="preserve">（ </w:t>
      </w:r>
      <w:r>
        <w:rPr>
          <w:color w:val="0D0D0D"/>
          <w:spacing w:val="-17"/>
          <w:sz w:val="31"/>
        </w:rPr>
        <w:t xml:space="preserve">） </w:t>
      </w:r>
      <w:r>
        <w:rPr>
          <w:b/>
          <w:color w:val="0D0D0D"/>
          <w:sz w:val="31"/>
        </w:rPr>
        <w:t>答案:</w:t>
      </w:r>
      <w:r>
        <w:rPr>
          <w:color w:val="0D0D0D"/>
          <w:sz w:val="31"/>
        </w:rPr>
        <w:t>×</w:t>
      </w:r>
    </w:p>
    <w:p>
      <w:pPr>
        <w:pStyle w:val="BodyText"/>
        <w:spacing w:line="244" w:lineRule="auto"/>
        <w:ind w:right="2643" w:firstLine="629"/>
      </w:pPr>
      <w:r>
        <w:rPr>
          <w:b/>
          <w:color w:val="0D0D0D"/>
        </w:rPr>
        <w:t>解析:</w:t>
      </w:r>
      <w:r>
        <w:rPr>
          <w:color w:val="0D0D0D"/>
        </w:rPr>
        <w:t>吸收直接投资不但有利于企业尽快形成生产能力，扩大企业经营规模，而且有利于控制企业财务风险。</w:t>
      </w:r>
    </w:p>
    <w:p>
      <w:pPr>
        <w:pStyle w:val="BodyText"/>
        <w:spacing w:before="6" w:line="244" w:lineRule="auto"/>
        <w:ind w:right="2665"/>
      </w:pPr>
      <w:r>
        <w:rPr>
          <w:color w:val="0D0D0D"/>
        </w:rPr>
        <w:t>17</w:t>
      </w:r>
      <w:r>
        <w:rPr>
          <w:color w:val="0D0D0D"/>
          <w:spacing w:val="-15"/>
        </w:rPr>
        <w:t>、强制性赎回有偿债基金和赎债基金两种形式，偿债基金是举债人为提前偿还债券设立的</w:t>
      </w:r>
      <w:r>
        <w:rPr>
          <w:color w:val="0D0D0D"/>
        </w:rPr>
        <w:t>基金，是债券持有人强制举债公司收回债券。</w:t>
      </w:r>
    </w:p>
    <w:p>
      <w:pPr>
        <w:spacing w:before="7"/>
        <w:ind w:left="3330" w:right="0" w:firstLine="0"/>
        <w:jc w:val="left"/>
        <w:rPr>
          <w:sz w:val="31"/>
        </w:rPr>
      </w:pPr>
      <w:r>
        <w:rPr>
          <w:b/>
          <w:color w:val="0D0D0D"/>
          <w:sz w:val="31"/>
        </w:rPr>
        <w:t>答案:</w:t>
      </w:r>
      <w:r>
        <w:rPr>
          <w:color w:val="0D0D0D"/>
          <w:sz w:val="31"/>
        </w:rPr>
        <w:t>×</w:t>
      </w:r>
    </w:p>
    <w:p>
      <w:pPr>
        <w:pStyle w:val="BodyText"/>
        <w:spacing w:before="10" w:line="247" w:lineRule="auto"/>
        <w:ind w:right="2643" w:firstLine="629"/>
      </w:pPr>
      <w:r>
        <w:rPr>
          <w:b/>
          <w:color w:val="0D0D0D"/>
        </w:rPr>
        <w:t>解析:</w:t>
      </w:r>
      <w:r>
        <w:rPr>
          <w:color w:val="0D0D0D"/>
        </w:rPr>
        <w:t>赎债基金是举债人为提前偿还债券设立的基金，与偿债基金不同的是，赎债基金是债券持有人强制举债公司收回债券。</w:t>
      </w:r>
    </w:p>
    <w:p>
      <w:pPr>
        <w:pStyle w:val="Heading2"/>
        <w:spacing w:line="396" w:lineRule="exact"/>
      </w:pPr>
      <w:r>
        <w:rPr>
          <w:color w:val="0D0D0D"/>
        </w:rPr>
        <w:t>四、计算题</w:t>
      </w:r>
    </w:p>
    <w:p>
      <w:pPr>
        <w:pStyle w:val="BodyText"/>
        <w:spacing w:before="13" w:line="244" w:lineRule="auto"/>
        <w:ind w:right="2684"/>
      </w:pPr>
      <w:r>
        <w:rPr>
          <w:color w:val="0D0D0D"/>
        </w:rPr>
        <w:t>1、某企业为扩大经营规模融资租入一台机床，该机床的市价为98 万元，租期 10 年，租赁公司的融资成本为 20 万元，租赁手续费为 15 万元。租赁公司要求的报酬率为15%。</w:t>
      </w:r>
    </w:p>
    <w:p>
      <w:pPr>
        <w:pStyle w:val="BodyText"/>
        <w:spacing w:before="7"/>
      </w:pPr>
      <w:r>
        <w:rPr>
          <w:color w:val="0D0D0D"/>
          <w:spacing w:val="-54"/>
          <w:w w:val="102"/>
        </w:rPr>
        <w:t>要求：</w:t>
      </w:r>
      <w:r>
        <w:rPr>
          <w:color w:val="0D0D0D"/>
          <w:spacing w:val="-1"/>
          <w:w w:val="102"/>
        </w:rPr>
        <w:t>（</w:t>
      </w:r>
      <w:r>
        <w:rPr>
          <w:color w:val="0D0D0D"/>
          <w:w w:val="102"/>
        </w:rPr>
        <w:t>1）确定租金总额。</w:t>
      </w:r>
    </w:p>
    <w:p>
      <w:pPr>
        <w:pStyle w:val="ListParagraph"/>
        <w:numPr>
          <w:ilvl w:val="0"/>
          <w:numId w:val="39"/>
        </w:numPr>
        <w:tabs>
          <w:tab w:val="left" w:pos="4124"/>
        </w:tabs>
        <w:spacing w:before="10" w:after="0" w:line="240" w:lineRule="auto"/>
        <w:ind w:left="4123" w:right="0" w:hanging="794"/>
        <w:jc w:val="left"/>
        <w:rPr>
          <w:sz w:val="31"/>
        </w:rPr>
      </w:pPr>
      <w:r>
        <w:rPr>
          <w:color w:val="0D0D0D"/>
          <w:sz w:val="31"/>
        </w:rPr>
        <w:t>如果采用等额年金法，每年年初支付，则每期租金为多少？</w:t>
      </w:r>
    </w:p>
    <w:p>
      <w:pPr>
        <w:pStyle w:val="ListParagraph"/>
        <w:numPr>
          <w:ilvl w:val="0"/>
          <w:numId w:val="39"/>
        </w:numPr>
        <w:tabs>
          <w:tab w:val="left" w:pos="4124"/>
        </w:tabs>
        <w:spacing w:before="14" w:after="0" w:line="240" w:lineRule="auto"/>
        <w:ind w:left="4123" w:right="0" w:hanging="794"/>
        <w:jc w:val="left"/>
        <w:rPr>
          <w:sz w:val="31"/>
        </w:rPr>
      </w:pPr>
      <w:r>
        <w:rPr>
          <w:color w:val="0D0D0D"/>
          <w:sz w:val="31"/>
        </w:rPr>
        <w:t>如果采用等额年金法，每年年末支付，则每期租金为多少？已知</w:t>
      </w:r>
      <w:r>
        <w:rPr>
          <w:color w:val="0D0D0D"/>
          <w:spacing w:val="-6"/>
          <w:sz w:val="31"/>
        </w:rPr>
        <w:t>（P/A，15%，9）</w:t>
      </w:r>
    </w:p>
    <w:p>
      <w:pPr>
        <w:pStyle w:val="BodyText"/>
        <w:spacing w:before="9"/>
      </w:pPr>
      <w:r>
        <w:rPr>
          <w:color w:val="0D0D0D"/>
          <w:w w:val="102"/>
        </w:rPr>
        <w:t>=4.771</w:t>
      </w:r>
      <w:r>
        <w:rPr>
          <w:color w:val="0D0D0D"/>
          <w:spacing w:val="-4"/>
          <w:w w:val="102"/>
        </w:rPr>
        <w:t>6</w:t>
      </w:r>
      <w:r>
        <w:rPr>
          <w:color w:val="0D0D0D"/>
          <w:spacing w:val="-173"/>
          <w:w w:val="102"/>
        </w:rPr>
        <w:t>，</w:t>
      </w:r>
      <w:r>
        <w:rPr>
          <w:color w:val="0D0D0D"/>
          <w:w w:val="102"/>
        </w:rPr>
        <w:t>（P/</w:t>
      </w:r>
      <w:r>
        <w:rPr>
          <w:color w:val="0D0D0D"/>
          <w:spacing w:val="-4"/>
          <w:w w:val="102"/>
        </w:rPr>
        <w:t>A</w:t>
      </w:r>
      <w:r>
        <w:rPr>
          <w:color w:val="0D0D0D"/>
          <w:spacing w:val="-11"/>
          <w:w w:val="102"/>
        </w:rPr>
        <w:t>，</w:t>
      </w:r>
      <w:r>
        <w:rPr>
          <w:color w:val="0D0D0D"/>
          <w:w w:val="102"/>
        </w:rPr>
        <w:t>15</w:t>
      </w:r>
      <w:r>
        <w:rPr>
          <w:color w:val="0D0D0D"/>
          <w:spacing w:val="-8"/>
          <w:w w:val="102"/>
        </w:rPr>
        <w:t>%</w:t>
      </w:r>
      <w:r>
        <w:rPr>
          <w:color w:val="0D0D0D"/>
          <w:spacing w:val="-10"/>
          <w:w w:val="102"/>
        </w:rPr>
        <w:t>，</w:t>
      </w:r>
      <w:r>
        <w:rPr>
          <w:color w:val="0D0D0D"/>
          <w:w w:val="102"/>
        </w:rPr>
        <w:t>1</w:t>
      </w:r>
      <w:r>
        <w:rPr>
          <w:color w:val="0D0D0D"/>
          <w:spacing w:val="-4"/>
          <w:w w:val="102"/>
        </w:rPr>
        <w:t>0</w:t>
      </w:r>
      <w:r>
        <w:rPr>
          <w:color w:val="0D0D0D"/>
          <w:spacing w:val="-11"/>
          <w:w w:val="102"/>
        </w:rPr>
        <w:t>）</w:t>
      </w:r>
      <w:r>
        <w:rPr>
          <w:color w:val="0D0D0D"/>
          <w:w w:val="102"/>
        </w:rPr>
        <w:t>=5.018</w:t>
      </w:r>
      <w:r>
        <w:rPr>
          <w:color w:val="0D0D0D"/>
          <w:spacing w:val="-8"/>
          <w:w w:val="102"/>
        </w:rPr>
        <w:t>8</w:t>
      </w:r>
      <w:r>
        <w:rPr>
          <w:color w:val="0D0D0D"/>
          <w:spacing w:val="-169"/>
          <w:w w:val="102"/>
        </w:rPr>
        <w:t>，</w:t>
      </w:r>
      <w:r>
        <w:rPr>
          <w:color w:val="0D0D0D"/>
          <w:spacing w:val="-4"/>
          <w:w w:val="102"/>
        </w:rPr>
        <w:t>（</w:t>
      </w:r>
      <w:r>
        <w:rPr>
          <w:color w:val="0D0D0D"/>
          <w:w w:val="102"/>
        </w:rPr>
        <w:t>P/</w:t>
      </w:r>
      <w:r>
        <w:rPr>
          <w:color w:val="0D0D0D"/>
          <w:spacing w:val="-4"/>
          <w:w w:val="102"/>
        </w:rPr>
        <w:t>A</w:t>
      </w:r>
      <w:r>
        <w:rPr>
          <w:color w:val="0D0D0D"/>
          <w:spacing w:val="-11"/>
          <w:w w:val="102"/>
        </w:rPr>
        <w:t>，</w:t>
      </w:r>
      <w:r>
        <w:rPr>
          <w:color w:val="0D0D0D"/>
          <w:w w:val="102"/>
        </w:rPr>
        <w:t>15</w:t>
      </w:r>
      <w:r>
        <w:rPr>
          <w:color w:val="0D0D0D"/>
          <w:spacing w:val="-4"/>
          <w:w w:val="102"/>
        </w:rPr>
        <w:t>%</w:t>
      </w:r>
      <w:r>
        <w:rPr>
          <w:color w:val="0D0D0D"/>
          <w:spacing w:val="-14"/>
          <w:w w:val="102"/>
        </w:rPr>
        <w:t>，</w:t>
      </w:r>
      <w:r>
        <w:rPr>
          <w:color w:val="0D0D0D"/>
          <w:w w:val="102"/>
        </w:rPr>
        <w:t>1</w:t>
      </w:r>
      <w:r>
        <w:rPr>
          <w:color w:val="0D0D0D"/>
          <w:spacing w:val="-4"/>
          <w:w w:val="102"/>
        </w:rPr>
        <w:t>1</w:t>
      </w:r>
      <w:r>
        <w:rPr>
          <w:color w:val="0D0D0D"/>
          <w:spacing w:val="-11"/>
          <w:w w:val="102"/>
        </w:rPr>
        <w:t>）</w:t>
      </w:r>
      <w:r>
        <w:rPr>
          <w:color w:val="0D0D0D"/>
          <w:w w:val="102"/>
        </w:rPr>
        <w:t>=5.233</w:t>
      </w:r>
      <w:r>
        <w:rPr>
          <w:color w:val="0D0D0D"/>
          <w:spacing w:val="-8"/>
          <w:w w:val="102"/>
        </w:rPr>
        <w:t>7</w:t>
      </w:r>
      <w:r>
        <w:rPr>
          <w:color w:val="0D0D0D"/>
          <w:spacing w:val="-173"/>
          <w:w w:val="102"/>
        </w:rPr>
        <w:t>，</w:t>
      </w:r>
      <w:r>
        <w:rPr>
          <w:color w:val="0D0D0D"/>
          <w:spacing w:val="-1"/>
          <w:w w:val="102"/>
        </w:rPr>
        <w:t>（</w:t>
      </w:r>
      <w:r>
        <w:rPr>
          <w:color w:val="0D0D0D"/>
          <w:w w:val="102"/>
        </w:rPr>
        <w:t>F/</w:t>
      </w:r>
      <w:r>
        <w:rPr>
          <w:color w:val="0D0D0D"/>
          <w:spacing w:val="-4"/>
          <w:w w:val="102"/>
        </w:rPr>
        <w:t>A</w:t>
      </w:r>
      <w:r>
        <w:rPr>
          <w:color w:val="0D0D0D"/>
          <w:spacing w:val="-11"/>
          <w:w w:val="102"/>
        </w:rPr>
        <w:t>，</w:t>
      </w:r>
      <w:r>
        <w:rPr>
          <w:color w:val="0D0D0D"/>
          <w:w w:val="102"/>
        </w:rPr>
        <w:t>15</w:t>
      </w:r>
      <w:r>
        <w:rPr>
          <w:color w:val="0D0D0D"/>
          <w:spacing w:val="-7"/>
          <w:w w:val="102"/>
        </w:rPr>
        <w:t>%</w:t>
      </w:r>
      <w:r>
        <w:rPr>
          <w:color w:val="0D0D0D"/>
          <w:spacing w:val="-14"/>
          <w:w w:val="102"/>
        </w:rPr>
        <w:t>，</w:t>
      </w:r>
      <w:r>
        <w:rPr>
          <w:color w:val="0D0D0D"/>
          <w:w w:val="102"/>
        </w:rPr>
        <w:t>10</w:t>
      </w:r>
      <w:r>
        <w:rPr>
          <w:color w:val="0D0D0D"/>
          <w:spacing w:val="-11"/>
          <w:w w:val="102"/>
        </w:rPr>
        <w:t>）</w:t>
      </w:r>
      <w:r>
        <w:rPr>
          <w:color w:val="0D0D0D"/>
          <w:w w:val="102"/>
        </w:rPr>
        <w:t>=20.30</w:t>
      </w:r>
      <w:r>
        <w:rPr>
          <w:color w:val="0D0D0D"/>
          <w:spacing w:val="-8"/>
          <w:w w:val="102"/>
        </w:rPr>
        <w:t>4</w:t>
      </w:r>
      <w:r>
        <w:rPr>
          <w:color w:val="0D0D0D"/>
          <w:w w:val="102"/>
        </w:rPr>
        <w:t>，</w:t>
      </w:r>
    </w:p>
    <w:p>
      <w:pPr>
        <w:pStyle w:val="BodyText"/>
        <w:spacing w:before="14"/>
      </w:pPr>
      <w:r>
        <w:rPr>
          <w:color w:val="0D0D0D"/>
        </w:rPr>
        <w:t>（F/A，15%，11）=24.349</w:t>
      </w:r>
    </w:p>
    <w:p>
      <w:pPr>
        <w:pStyle w:val="Heading2"/>
        <w:spacing w:before="9"/>
        <w:ind w:left="3330"/>
      </w:pPr>
      <w:r>
        <w:rPr>
          <w:color w:val="0D0D0D"/>
        </w:rPr>
        <w:t>答案:</w:t>
      </w:r>
    </w:p>
    <w:p>
      <w:pPr>
        <w:pStyle w:val="BodyText"/>
        <w:spacing w:before="13"/>
        <w:ind w:left="3647"/>
      </w:pPr>
      <w:r>
        <w:rPr>
          <w:color w:val="0D0D0D"/>
        </w:rPr>
        <w:t>（1）租金总额=98+20+15=133（万元）</w:t>
      </w:r>
    </w:p>
    <w:p>
      <w:pPr>
        <w:pStyle w:val="ListParagraph"/>
        <w:numPr>
          <w:ilvl w:val="1"/>
          <w:numId w:val="39"/>
        </w:numPr>
        <w:tabs>
          <w:tab w:val="left" w:pos="4441"/>
        </w:tabs>
        <w:spacing w:before="10" w:after="0" w:line="240" w:lineRule="auto"/>
        <w:ind w:left="4440" w:right="0" w:hanging="794"/>
        <w:jc w:val="left"/>
        <w:rPr>
          <w:sz w:val="31"/>
        </w:rPr>
      </w:pPr>
      <w:r>
        <w:rPr>
          <w:color w:val="0D0D0D"/>
          <w:sz w:val="31"/>
        </w:rPr>
        <w:t>如果采用等额年金法，每年年初支付，则每期租金为：</w:t>
      </w:r>
    </w:p>
    <w:p>
      <w:pPr>
        <w:pStyle w:val="BodyText"/>
        <w:spacing w:before="13"/>
        <w:ind w:left="3960"/>
      </w:pPr>
      <w:r>
        <w:rPr>
          <w:color w:val="0D0D0D"/>
        </w:rPr>
        <w:t>A=133÷[（P/A，15%，9）+1]=133÷（4.7716+1）=23.04(万元)</w:t>
      </w:r>
    </w:p>
    <w:p>
      <w:pPr>
        <w:pStyle w:val="ListParagraph"/>
        <w:numPr>
          <w:ilvl w:val="1"/>
          <w:numId w:val="39"/>
        </w:numPr>
        <w:tabs>
          <w:tab w:val="left" w:pos="4441"/>
        </w:tabs>
        <w:spacing w:before="10" w:after="0" w:line="240" w:lineRule="auto"/>
        <w:ind w:left="4440" w:right="0" w:hanging="794"/>
        <w:jc w:val="left"/>
        <w:rPr>
          <w:sz w:val="31"/>
        </w:rPr>
      </w:pPr>
      <w:r>
        <w:rPr>
          <w:color w:val="0D0D0D"/>
          <w:sz w:val="31"/>
        </w:rPr>
        <w:t>如果采用等额年金法，每年年末支付，则每期租金为：</w:t>
      </w:r>
    </w:p>
    <w:p>
      <w:pPr>
        <w:pStyle w:val="BodyText"/>
        <w:spacing w:before="9"/>
        <w:ind w:left="3805"/>
      </w:pPr>
      <w:r>
        <w:rPr>
          <w:color w:val="0D0D0D"/>
        </w:rPr>
        <w:t>A=133÷（P/A，15%，10）=133÷5.0188=26.50(万元)</w:t>
      </w:r>
    </w:p>
    <w:p>
      <w:pPr>
        <w:pStyle w:val="BodyText"/>
        <w:spacing w:before="14" w:line="247" w:lineRule="auto"/>
        <w:ind w:right="2680"/>
        <w:jc w:val="both"/>
      </w:pPr>
      <w:r>
        <w:rPr>
          <w:color w:val="0D0D0D"/>
        </w:rPr>
        <w:t>2</w:t>
      </w:r>
      <w:r>
        <w:rPr>
          <w:color w:val="0D0D0D"/>
          <w:spacing w:val="-8"/>
        </w:rPr>
        <w:t xml:space="preserve">、华东科技公司 </w:t>
      </w:r>
      <w:r>
        <w:rPr>
          <w:color w:val="0D0D0D"/>
        </w:rPr>
        <w:t>2002</w:t>
      </w:r>
      <w:r>
        <w:rPr>
          <w:color w:val="0D0D0D"/>
          <w:spacing w:val="-32"/>
        </w:rPr>
        <w:t xml:space="preserve"> 年 </w:t>
      </w:r>
      <w:r>
        <w:rPr>
          <w:color w:val="0D0D0D"/>
        </w:rPr>
        <w:t>1</w:t>
      </w:r>
      <w:r>
        <w:rPr>
          <w:color w:val="0D0D0D"/>
          <w:spacing w:val="-32"/>
        </w:rPr>
        <w:t xml:space="preserve"> 月 </w:t>
      </w:r>
      <w:r>
        <w:rPr>
          <w:color w:val="0D0D0D"/>
        </w:rPr>
        <w:t>1</w:t>
      </w:r>
      <w:r>
        <w:rPr>
          <w:color w:val="0D0D0D"/>
          <w:spacing w:val="-13"/>
        </w:rPr>
        <w:t xml:space="preserve"> 日平价发行面值 </w:t>
      </w:r>
      <w:r>
        <w:rPr>
          <w:color w:val="0D0D0D"/>
        </w:rPr>
        <w:t>1000</w:t>
      </w:r>
      <w:r>
        <w:rPr>
          <w:color w:val="0D0D0D"/>
          <w:spacing w:val="-16"/>
        </w:rPr>
        <w:t xml:space="preserve"> 元，利率为 </w:t>
      </w:r>
      <w:r>
        <w:rPr>
          <w:color w:val="0D0D0D"/>
        </w:rPr>
        <w:t>10</w:t>
      </w:r>
      <w:r>
        <w:rPr>
          <w:color w:val="0D0D0D"/>
          <w:spacing w:val="-9"/>
        </w:rPr>
        <w:t xml:space="preserve">%，期限为 </w:t>
      </w:r>
      <w:r>
        <w:rPr>
          <w:color w:val="0D0D0D"/>
        </w:rPr>
        <w:t>5</w:t>
      </w:r>
      <w:r>
        <w:rPr>
          <w:color w:val="0D0D0D"/>
          <w:spacing w:val="-10"/>
        </w:rPr>
        <w:t xml:space="preserve"> 年，每年年末付息到期还本的债券，当时市场利率为 </w:t>
      </w:r>
      <w:r>
        <w:rPr>
          <w:color w:val="0D0D0D"/>
        </w:rPr>
        <w:t>10%，2</w:t>
      </w:r>
      <w:r>
        <w:rPr>
          <w:color w:val="0D0D0D"/>
          <w:spacing w:val="2"/>
        </w:rPr>
        <w:t xml:space="preserve"> 年后，市场利率上升至 </w:t>
      </w:r>
      <w:r>
        <w:rPr>
          <w:color w:val="0D0D0D"/>
        </w:rPr>
        <w:t>12</w:t>
      </w:r>
      <w:r>
        <w:rPr>
          <w:color w:val="0D0D0D"/>
          <w:spacing w:val="-3"/>
        </w:rPr>
        <w:t>%，假定现在</w:t>
      </w:r>
      <w:r>
        <w:rPr>
          <w:color w:val="0D0D0D"/>
        </w:rPr>
        <w:t>2005</w:t>
      </w:r>
      <w:r>
        <w:rPr>
          <w:color w:val="0D0D0D"/>
          <w:spacing w:val="-52"/>
        </w:rPr>
        <w:t xml:space="preserve"> 年 </w:t>
      </w:r>
      <w:r>
        <w:rPr>
          <w:color w:val="0D0D0D"/>
        </w:rPr>
        <w:t>1</w:t>
      </w:r>
      <w:r>
        <w:rPr>
          <w:color w:val="0D0D0D"/>
          <w:spacing w:val="-51"/>
        </w:rPr>
        <w:t xml:space="preserve"> 月 </w:t>
      </w:r>
      <w:r>
        <w:rPr>
          <w:color w:val="0D0D0D"/>
        </w:rPr>
        <w:t>1</w:t>
      </w:r>
      <w:r>
        <w:rPr>
          <w:color w:val="0D0D0D"/>
          <w:spacing w:val="-10"/>
        </w:rPr>
        <w:t xml:space="preserve"> 日，则该债券的价值为多少？</w:t>
      </w:r>
    </w:p>
    <w:p>
      <w:pPr>
        <w:pStyle w:val="Heading2"/>
        <w:spacing w:line="394" w:lineRule="exact"/>
        <w:ind w:left="3330"/>
      </w:pPr>
      <w:r>
        <w:rPr>
          <w:color w:val="0D0D0D"/>
        </w:rPr>
        <w:t>答案:</w:t>
      </w:r>
    </w:p>
    <w:p>
      <w:pPr>
        <w:pStyle w:val="BodyText"/>
        <w:spacing w:before="13"/>
        <w:ind w:left="3805"/>
      </w:pPr>
      <w:r>
        <w:rPr>
          <w:color w:val="0D0D0D"/>
        </w:rPr>
        <w:t>2005 年 1 月 1 日该债券价值 =1000×10%×（P/A，12%，2）+1000×（P/F，12%，2）</w:t>
      </w:r>
    </w:p>
    <w:p>
      <w:pPr>
        <w:pStyle w:val="BodyText"/>
        <w:spacing w:before="10"/>
        <w:ind w:left="8061"/>
      </w:pPr>
      <w:r>
        <w:rPr>
          <w:color w:val="0D0D0D"/>
        </w:rPr>
        <w:t>=100×1.6901+1000×0.7972 =966.21(元)</w:t>
      </w:r>
    </w:p>
    <w:p>
      <w:pPr>
        <w:pStyle w:val="BodyText"/>
        <w:spacing w:before="13"/>
        <w:ind w:left="3330"/>
        <w:jc w:val="both"/>
      </w:pPr>
      <w:r>
        <w:rPr>
          <w:color w:val="0D0D0D"/>
          <w:spacing w:val="-2"/>
        </w:rPr>
        <w:t xml:space="preserve">注意：计算债券价值时，只需要考虑未来的现金流入，本题中债券到期日为 </w:t>
      </w:r>
      <w:r>
        <w:rPr>
          <w:color w:val="0D0D0D"/>
        </w:rPr>
        <w:t>2007</w:t>
      </w:r>
      <w:r>
        <w:rPr>
          <w:color w:val="0D0D0D"/>
          <w:spacing w:val="35"/>
        </w:rPr>
        <w:t xml:space="preserve"> 年 </w:t>
      </w:r>
      <w:r>
        <w:rPr>
          <w:color w:val="0D0D0D"/>
        </w:rPr>
        <w:t>1</w:t>
      </w:r>
    </w:p>
    <w:p>
      <w:pPr>
        <w:pStyle w:val="BodyText"/>
        <w:spacing w:before="10" w:line="247" w:lineRule="auto"/>
        <w:ind w:right="2687"/>
        <w:jc w:val="both"/>
      </w:pPr>
      <w:r>
        <w:rPr>
          <w:color w:val="0D0D0D"/>
          <w:spacing w:val="-30"/>
        </w:rPr>
        <w:t xml:space="preserve">月 </w:t>
      </w:r>
      <w:r>
        <w:rPr>
          <w:color w:val="0D0D0D"/>
        </w:rPr>
        <w:t>1</w:t>
      </w:r>
      <w:r>
        <w:rPr>
          <w:color w:val="0D0D0D"/>
          <w:spacing w:val="-17"/>
        </w:rPr>
        <w:t xml:space="preserve"> 日，计算的是 </w:t>
      </w:r>
      <w:r>
        <w:rPr>
          <w:color w:val="0D0D0D"/>
        </w:rPr>
        <w:t>2005</w:t>
      </w:r>
      <w:r>
        <w:rPr>
          <w:color w:val="0D0D0D"/>
          <w:spacing w:val="-41"/>
        </w:rPr>
        <w:t xml:space="preserve"> 年 </w:t>
      </w:r>
      <w:r>
        <w:rPr>
          <w:color w:val="0D0D0D"/>
        </w:rPr>
        <w:t>1</w:t>
      </w:r>
      <w:r>
        <w:rPr>
          <w:color w:val="0D0D0D"/>
          <w:spacing w:val="-39"/>
        </w:rPr>
        <w:t xml:space="preserve"> 月 </w:t>
      </w:r>
      <w:r>
        <w:rPr>
          <w:color w:val="0D0D0D"/>
        </w:rPr>
        <w:t>1</w:t>
      </w:r>
      <w:r>
        <w:rPr>
          <w:color w:val="0D0D0D"/>
          <w:spacing w:val="-13"/>
        </w:rPr>
        <w:t xml:space="preserve"> 日的债券价值，只需要考虑 </w:t>
      </w:r>
      <w:r>
        <w:rPr>
          <w:color w:val="0D0D0D"/>
        </w:rPr>
        <w:t>2005</w:t>
      </w:r>
      <w:r>
        <w:rPr>
          <w:color w:val="0D0D0D"/>
          <w:spacing w:val="-41"/>
        </w:rPr>
        <w:t xml:space="preserve"> 年 </w:t>
      </w:r>
      <w:r>
        <w:rPr>
          <w:color w:val="0D0D0D"/>
        </w:rPr>
        <w:t>1</w:t>
      </w:r>
      <w:r>
        <w:rPr>
          <w:color w:val="0D0D0D"/>
          <w:spacing w:val="-40"/>
        </w:rPr>
        <w:t xml:space="preserve"> 月 </w:t>
      </w:r>
      <w:r>
        <w:rPr>
          <w:color w:val="0D0D0D"/>
        </w:rPr>
        <w:t>1</w:t>
      </w:r>
      <w:r>
        <w:rPr>
          <w:color w:val="0D0D0D"/>
          <w:spacing w:val="-30"/>
        </w:rPr>
        <w:t xml:space="preserve"> 日到 </w:t>
      </w:r>
      <w:r>
        <w:rPr>
          <w:color w:val="0D0D0D"/>
        </w:rPr>
        <w:t>2007</w:t>
      </w:r>
      <w:r>
        <w:rPr>
          <w:color w:val="0D0D0D"/>
          <w:spacing w:val="-40"/>
        </w:rPr>
        <w:t xml:space="preserve"> 年 </w:t>
      </w:r>
      <w:r>
        <w:rPr>
          <w:color w:val="0D0D0D"/>
        </w:rPr>
        <w:t xml:space="preserve">1 </w:t>
      </w:r>
      <w:r>
        <w:rPr>
          <w:color w:val="0D0D0D"/>
          <w:spacing w:val="-31"/>
        </w:rPr>
        <w:t xml:space="preserve">月 </w:t>
      </w:r>
      <w:r>
        <w:rPr>
          <w:color w:val="0D0D0D"/>
        </w:rPr>
        <w:t>1</w:t>
      </w:r>
      <w:r>
        <w:rPr>
          <w:color w:val="0D0D0D"/>
          <w:spacing w:val="-20"/>
        </w:rPr>
        <w:t xml:space="preserve"> 日的现金流入，包括 </w:t>
      </w:r>
      <w:r>
        <w:rPr>
          <w:color w:val="0D0D0D"/>
        </w:rPr>
        <w:t>2005</w:t>
      </w:r>
      <w:r>
        <w:rPr>
          <w:color w:val="0D0D0D"/>
          <w:spacing w:val="-44"/>
        </w:rPr>
        <w:t xml:space="preserve"> 年 </w:t>
      </w:r>
      <w:r>
        <w:rPr>
          <w:color w:val="0D0D0D"/>
        </w:rPr>
        <w:t>12</w:t>
      </w:r>
      <w:r>
        <w:rPr>
          <w:color w:val="0D0D0D"/>
          <w:spacing w:val="-42"/>
        </w:rPr>
        <w:t xml:space="preserve"> 月 </w:t>
      </w:r>
      <w:r>
        <w:rPr>
          <w:color w:val="0D0D0D"/>
        </w:rPr>
        <w:t>31</w:t>
      </w:r>
      <w:r>
        <w:rPr>
          <w:color w:val="0D0D0D"/>
          <w:spacing w:val="-25"/>
        </w:rPr>
        <w:t xml:space="preserve"> 日的利息、</w:t>
      </w:r>
      <w:r>
        <w:rPr>
          <w:color w:val="0D0D0D"/>
        </w:rPr>
        <w:t>2006</w:t>
      </w:r>
      <w:r>
        <w:rPr>
          <w:color w:val="0D0D0D"/>
          <w:spacing w:val="-43"/>
        </w:rPr>
        <w:t xml:space="preserve"> 年 </w:t>
      </w:r>
      <w:r>
        <w:rPr>
          <w:color w:val="0D0D0D"/>
        </w:rPr>
        <w:t>12</w:t>
      </w:r>
      <w:r>
        <w:rPr>
          <w:color w:val="0D0D0D"/>
          <w:spacing w:val="-42"/>
        </w:rPr>
        <w:t xml:space="preserve"> 月 </w:t>
      </w:r>
      <w:r>
        <w:rPr>
          <w:color w:val="0D0D0D"/>
        </w:rPr>
        <w:t>31</w:t>
      </w:r>
      <w:r>
        <w:rPr>
          <w:color w:val="0D0D0D"/>
          <w:spacing w:val="-21"/>
        </w:rPr>
        <w:t xml:space="preserve"> 日的利息和 </w:t>
      </w:r>
      <w:r>
        <w:rPr>
          <w:color w:val="0D0D0D"/>
        </w:rPr>
        <w:t>2007</w:t>
      </w:r>
      <w:r>
        <w:rPr>
          <w:color w:val="0D0D0D"/>
          <w:spacing w:val="-44"/>
        </w:rPr>
        <w:t xml:space="preserve"> 年 </w:t>
      </w:r>
      <w:r>
        <w:rPr>
          <w:color w:val="0D0D0D"/>
        </w:rPr>
        <w:t xml:space="preserve">1 </w:t>
      </w:r>
      <w:r>
        <w:rPr>
          <w:color w:val="0D0D0D"/>
          <w:spacing w:val="33"/>
        </w:rPr>
        <w:t xml:space="preserve">月 </w:t>
      </w:r>
      <w:r>
        <w:rPr>
          <w:color w:val="0D0D0D"/>
        </w:rPr>
        <w:t>1</w:t>
      </w:r>
      <w:r>
        <w:rPr>
          <w:color w:val="0D0D0D"/>
          <w:spacing w:val="-5"/>
        </w:rPr>
        <w:t xml:space="preserve"> 日收回的本金</w:t>
      </w:r>
      <w:r>
        <w:rPr>
          <w:color w:val="0D0D0D"/>
        </w:rPr>
        <w:t>（债券面值</w:t>
      </w:r>
      <w:r>
        <w:rPr>
          <w:color w:val="0D0D0D"/>
          <w:spacing w:val="-125"/>
        </w:rPr>
        <w:t>）</w:t>
      </w:r>
      <w:r>
        <w:rPr>
          <w:color w:val="0D0D0D"/>
          <w:spacing w:val="-27"/>
        </w:rPr>
        <w:t>，所以，答案为：债券价值</w:t>
      </w:r>
      <w:r>
        <w:rPr>
          <w:color w:val="0D0D0D"/>
          <w:spacing w:val="-13"/>
        </w:rPr>
        <w:t>=1000×10%×（P/A，12%，2）+1000</w:t>
      </w:r>
    </w:p>
    <w:p>
      <w:pPr>
        <w:pStyle w:val="BodyText"/>
      </w:pPr>
      <w:r>
        <w:rPr>
          <w:color w:val="0D0D0D"/>
          <w:w w:val="102"/>
        </w:rPr>
        <w:t>×</w:t>
      </w:r>
      <w:r>
        <w:rPr>
          <w:color w:val="0D0D0D"/>
          <w:spacing w:val="-1"/>
          <w:w w:val="102"/>
        </w:rPr>
        <w:t>（</w:t>
      </w:r>
      <w:r>
        <w:rPr>
          <w:color w:val="0D0D0D"/>
          <w:w w:val="102"/>
        </w:rPr>
        <w:t>P/</w:t>
      </w:r>
      <w:r>
        <w:rPr>
          <w:color w:val="0D0D0D"/>
          <w:spacing w:val="-4"/>
          <w:w w:val="102"/>
        </w:rPr>
        <w:t>F</w:t>
      </w:r>
      <w:r>
        <w:rPr>
          <w:color w:val="0D0D0D"/>
          <w:w w:val="102"/>
        </w:rPr>
        <w:t>，12</w:t>
      </w:r>
      <w:r>
        <w:rPr>
          <w:color w:val="0D0D0D"/>
          <w:spacing w:val="-4"/>
          <w:w w:val="102"/>
        </w:rPr>
        <w:t>%，</w:t>
      </w:r>
      <w:r>
        <w:rPr>
          <w:color w:val="0D0D0D"/>
          <w:w w:val="102"/>
        </w:rPr>
        <w:t>2</w:t>
      </w:r>
      <w:r>
        <w:rPr>
          <w:color w:val="0D0D0D"/>
          <w:spacing w:val="-159"/>
          <w:w w:val="102"/>
        </w:rPr>
        <w:t>）</w:t>
      </w:r>
      <w:r>
        <w:rPr>
          <w:color w:val="0D0D0D"/>
          <w:w w:val="102"/>
        </w:rPr>
        <w:t>。</w:t>
      </w:r>
    </w:p>
    <w:p>
      <w:pPr>
        <w:pStyle w:val="BodyText"/>
        <w:spacing w:before="10" w:line="247" w:lineRule="auto"/>
        <w:ind w:right="2787" w:firstLine="633"/>
      </w:pPr>
      <w:r>
        <w:rPr>
          <w:color w:val="0D0D0D"/>
          <w:spacing w:val="3"/>
        </w:rPr>
        <w:t>3</w:t>
      </w:r>
      <w:r>
        <w:rPr>
          <w:color w:val="0D0D0D"/>
          <w:spacing w:val="31"/>
        </w:rPr>
        <w:t xml:space="preserve">、如果 </w:t>
      </w:r>
      <w:r>
        <w:rPr>
          <w:color w:val="0D0D0D"/>
        </w:rPr>
        <w:t>M</w:t>
      </w:r>
      <w:r>
        <w:rPr>
          <w:color w:val="0D0D0D"/>
          <w:spacing w:val="-1"/>
        </w:rPr>
        <w:t xml:space="preserve"> 公司正面对着甲、乙两家提供不同信用条件的卖方，甲公司的信用条件为</w:t>
      </w:r>
      <w:r>
        <w:rPr>
          <w:color w:val="0D0D0D"/>
          <w:spacing w:val="-1"/>
          <w:w w:val="102"/>
        </w:rPr>
        <w:t>“</w:t>
      </w:r>
      <w:r>
        <w:rPr>
          <w:color w:val="0D0D0D"/>
          <w:w w:val="102"/>
        </w:rPr>
        <w:t>3/1</w:t>
      </w:r>
      <w:r>
        <w:rPr>
          <w:color w:val="0D0D0D"/>
          <w:spacing w:val="-4"/>
          <w:w w:val="102"/>
        </w:rPr>
        <w:t>0</w:t>
      </w:r>
      <w:r>
        <w:rPr>
          <w:color w:val="0D0D0D"/>
          <w:w w:val="102"/>
        </w:rPr>
        <w:t>，N/3</w:t>
      </w:r>
      <w:r>
        <w:rPr>
          <w:color w:val="0D0D0D"/>
          <w:spacing w:val="-4"/>
          <w:w w:val="102"/>
        </w:rPr>
        <w:t>0</w:t>
      </w:r>
      <w:r>
        <w:rPr>
          <w:color w:val="0D0D0D"/>
          <w:spacing w:val="-18"/>
          <w:w w:val="102"/>
        </w:rPr>
        <w:t>”；乙公司的信用条件为“</w:t>
      </w:r>
      <w:r>
        <w:rPr>
          <w:color w:val="0D0D0D"/>
          <w:w w:val="102"/>
        </w:rPr>
        <w:t>2/2</w:t>
      </w:r>
      <w:r>
        <w:rPr>
          <w:color w:val="0D0D0D"/>
          <w:spacing w:val="-4"/>
          <w:w w:val="102"/>
        </w:rPr>
        <w:t>0，</w:t>
      </w:r>
      <w:r>
        <w:rPr>
          <w:color w:val="0D0D0D"/>
          <w:w w:val="102"/>
        </w:rPr>
        <w:t>N/3</w:t>
      </w:r>
      <w:r>
        <w:rPr>
          <w:color w:val="0D0D0D"/>
          <w:spacing w:val="-3"/>
          <w:w w:val="102"/>
        </w:rPr>
        <w:t>0</w:t>
      </w:r>
      <w:r>
        <w:rPr>
          <w:color w:val="0D0D0D"/>
          <w:spacing w:val="-14"/>
          <w:w w:val="102"/>
        </w:rPr>
        <w:t>”，请回答下面两个问题并说明理由。</w:t>
      </w:r>
    </w:p>
    <w:p>
      <w:pPr>
        <w:pStyle w:val="ListParagraph"/>
        <w:numPr>
          <w:ilvl w:val="0"/>
          <w:numId w:val="27"/>
        </w:numPr>
        <w:tabs>
          <w:tab w:val="left" w:pos="3811"/>
        </w:tabs>
        <w:spacing w:before="0" w:after="0" w:line="247" w:lineRule="auto"/>
        <w:ind w:left="2700" w:right="2687" w:firstLine="316"/>
        <w:jc w:val="left"/>
        <w:rPr>
          <w:sz w:val="31"/>
        </w:rPr>
      </w:pPr>
      <w:r>
        <w:rPr>
          <w:color w:val="0D0D0D"/>
          <w:spacing w:val="75"/>
          <w:sz w:val="31"/>
        </w:rPr>
        <w:t>如</w:t>
      </w:r>
      <w:r>
        <w:rPr>
          <w:color w:val="0D0D0D"/>
          <w:sz w:val="31"/>
        </w:rPr>
        <w:t>M</w:t>
      </w:r>
      <w:r>
        <w:rPr>
          <w:color w:val="0D0D0D"/>
          <w:spacing w:val="-11"/>
          <w:sz w:val="31"/>
        </w:rPr>
        <w:t xml:space="preserve"> 公司在 </w:t>
      </w:r>
      <w:r>
        <w:rPr>
          <w:color w:val="0D0D0D"/>
          <w:sz w:val="31"/>
        </w:rPr>
        <w:t>10～30</w:t>
      </w:r>
      <w:r>
        <w:rPr>
          <w:color w:val="0D0D0D"/>
          <w:spacing w:val="-3"/>
          <w:sz w:val="31"/>
        </w:rPr>
        <w:t xml:space="preserve"> 天之间用该笔应付账款有一投资机会，投资回报率为</w:t>
      </w:r>
      <w:r>
        <w:rPr>
          <w:color w:val="0D0D0D"/>
          <w:sz w:val="31"/>
        </w:rPr>
        <w:t>60%，M</w:t>
      </w:r>
      <w:r>
        <w:rPr>
          <w:color w:val="0D0D0D"/>
          <w:spacing w:val="-18"/>
          <w:sz w:val="31"/>
        </w:rPr>
        <w:t xml:space="preserve"> 公</w:t>
      </w:r>
      <w:r>
        <w:rPr>
          <w:color w:val="0D0D0D"/>
          <w:spacing w:val="-14"/>
          <w:sz w:val="31"/>
        </w:rPr>
        <w:t xml:space="preserve">司是否应在 </w:t>
      </w:r>
      <w:r>
        <w:rPr>
          <w:color w:val="0D0D0D"/>
          <w:sz w:val="31"/>
        </w:rPr>
        <w:t>10</w:t>
      </w:r>
      <w:r>
        <w:rPr>
          <w:color w:val="0D0D0D"/>
          <w:spacing w:val="-6"/>
          <w:sz w:val="31"/>
        </w:rPr>
        <w:t xml:space="preserve"> 天内归还甲公司的应付账款，以取得</w:t>
      </w:r>
      <w:r>
        <w:rPr>
          <w:color w:val="0D0D0D"/>
          <w:sz w:val="31"/>
        </w:rPr>
        <w:t>3%的折扣。</w:t>
      </w:r>
    </w:p>
    <w:p>
      <w:pPr>
        <w:pStyle w:val="ListParagraph"/>
        <w:numPr>
          <w:ilvl w:val="0"/>
          <w:numId w:val="27"/>
        </w:numPr>
        <w:tabs>
          <w:tab w:val="left" w:pos="3811"/>
        </w:tabs>
        <w:spacing w:before="0" w:after="0" w:line="247" w:lineRule="auto"/>
        <w:ind w:left="2700" w:right="2512" w:firstLine="316"/>
        <w:jc w:val="left"/>
        <w:rPr>
          <w:sz w:val="31"/>
        </w:rPr>
      </w:pPr>
      <w:r>
        <w:rPr>
          <w:color w:val="0D0D0D"/>
          <w:spacing w:val="-1"/>
          <w:sz w:val="31"/>
        </w:rPr>
        <w:t xml:space="preserve">当 </w:t>
      </w:r>
      <w:r>
        <w:rPr>
          <w:color w:val="0D0D0D"/>
          <w:sz w:val="31"/>
        </w:rPr>
        <w:t>M</w:t>
      </w:r>
      <w:r>
        <w:rPr>
          <w:color w:val="0D0D0D"/>
          <w:spacing w:val="-2"/>
          <w:sz w:val="31"/>
        </w:rPr>
        <w:t xml:space="preserve"> 公司准备延期付款，那么应选择哪家供应商</w:t>
      </w:r>
      <w:r>
        <w:rPr>
          <w:color w:val="0D0D0D"/>
          <w:spacing w:val="-259"/>
          <w:sz w:val="31"/>
        </w:rPr>
        <w:t>。</w:t>
      </w:r>
      <w:r>
        <w:rPr>
          <w:color w:val="0D0D0D"/>
          <w:sz w:val="31"/>
        </w:rPr>
        <w:t>（3）</w:t>
      </w:r>
      <w:r>
        <w:rPr>
          <w:color w:val="0D0D0D"/>
          <w:spacing w:val="39"/>
          <w:sz w:val="31"/>
        </w:rPr>
        <w:t>当</w:t>
      </w:r>
      <w:r>
        <w:rPr>
          <w:color w:val="0D0D0D"/>
          <w:sz w:val="31"/>
        </w:rPr>
        <w:t>M</w:t>
      </w:r>
      <w:r>
        <w:rPr>
          <w:color w:val="0D0D0D"/>
          <w:spacing w:val="-2"/>
          <w:sz w:val="31"/>
        </w:rPr>
        <w:t xml:space="preserve"> 公司准备享有现金折扣，</w:t>
      </w:r>
      <w:r>
        <w:rPr>
          <w:color w:val="0D0D0D"/>
          <w:sz w:val="31"/>
        </w:rPr>
        <w:t>那么应选择哪家供应商。</w:t>
      </w:r>
    </w:p>
    <w:p>
      <w:pPr>
        <w:pStyle w:val="Heading2"/>
        <w:spacing w:line="397" w:lineRule="exact"/>
        <w:ind w:left="3330"/>
      </w:pPr>
      <w:r>
        <w:rPr>
          <w:color w:val="0D0D0D"/>
        </w:rPr>
        <w:t>答案:</w:t>
      </w:r>
    </w:p>
    <w:p>
      <w:pPr>
        <w:pStyle w:val="BodyText"/>
        <w:spacing w:before="11"/>
        <w:ind w:left="3647"/>
      </w:pPr>
      <w:r>
        <w:rPr>
          <w:color w:val="0D0D0D"/>
        </w:rPr>
        <w:t>（1）不应该归还甲公司应付帐款。</w:t>
      </w:r>
    </w:p>
    <w:p>
      <w:pPr>
        <w:pStyle w:val="BodyText"/>
        <w:spacing w:before="10"/>
        <w:ind w:left="3647"/>
      </w:pPr>
      <w:r>
        <w:rPr>
          <w:color w:val="0D0D0D"/>
        </w:rPr>
        <w:t>如果不对甲公司 10 天内付款，M 公司放弃的现金折扣成本为： [3%/（1－3%）]×</w:t>
      </w:r>
    </w:p>
    <w:p>
      <w:pPr>
        <w:pStyle w:val="BodyText"/>
        <w:spacing w:before="9" w:line="247" w:lineRule="auto"/>
        <w:ind w:left="3647" w:right="2669"/>
      </w:pPr>
      <w:r>
        <w:rPr>
          <w:color w:val="0D0D0D"/>
          <w:spacing w:val="-3"/>
        </w:rPr>
        <w:t>（360/20）=56</w:t>
      </w:r>
      <w:r>
        <w:rPr>
          <w:color w:val="0D0D0D"/>
          <w:spacing w:val="-7"/>
        </w:rPr>
        <w:t xml:space="preserve">%，但 </w:t>
      </w:r>
      <w:r>
        <w:rPr>
          <w:color w:val="0D0D0D"/>
        </w:rPr>
        <w:t>10～30</w:t>
      </w:r>
      <w:r>
        <w:rPr>
          <w:color w:val="0D0D0D"/>
          <w:spacing w:val="-2"/>
        </w:rPr>
        <w:t xml:space="preserve"> 天内运用该笔款项可得 </w:t>
      </w:r>
      <w:r>
        <w:rPr>
          <w:color w:val="0D0D0D"/>
        </w:rPr>
        <w:t>60</w:t>
      </w:r>
      <w:r>
        <w:rPr>
          <w:color w:val="0D0D0D"/>
          <w:spacing w:val="-1"/>
        </w:rPr>
        <w:t>%的回报率，</w:t>
      </w:r>
      <w:r>
        <w:rPr>
          <w:color w:val="0D0D0D"/>
          <w:spacing w:val="-4"/>
        </w:rPr>
        <w:t>60%&gt;56</w:t>
      </w:r>
      <w:r>
        <w:rPr>
          <w:color w:val="0D0D0D"/>
          <w:spacing w:val="-5"/>
        </w:rPr>
        <w:t>%，故企业</w:t>
      </w:r>
      <w:r>
        <w:rPr>
          <w:color w:val="0D0D0D"/>
        </w:rPr>
        <w:t>应放弃折扣。</w:t>
      </w:r>
    </w:p>
    <w:p>
      <w:pPr>
        <w:pStyle w:val="ListParagraph"/>
        <w:numPr>
          <w:ilvl w:val="1"/>
          <w:numId w:val="27"/>
        </w:numPr>
        <w:tabs>
          <w:tab w:val="left" w:pos="4124"/>
        </w:tabs>
        <w:spacing w:before="0" w:after="0" w:line="396" w:lineRule="exact"/>
        <w:ind w:left="4123" w:right="0" w:hanging="794"/>
        <w:jc w:val="left"/>
        <w:rPr>
          <w:sz w:val="31"/>
        </w:rPr>
      </w:pPr>
      <w:r>
        <w:rPr>
          <w:color w:val="0D0D0D"/>
          <w:spacing w:val="2"/>
          <w:sz w:val="31"/>
        </w:rPr>
        <w:t>甲公司。放弃甲公司的现金折扣成本为</w:t>
      </w:r>
      <w:r>
        <w:rPr>
          <w:color w:val="0D0D0D"/>
          <w:sz w:val="31"/>
        </w:rPr>
        <w:t>56%，</w:t>
      </w:r>
    </w:p>
    <w:p>
      <w:pPr>
        <w:pStyle w:val="BodyText"/>
        <w:spacing w:before="13"/>
        <w:ind w:left="3647"/>
      </w:pPr>
      <w:r>
        <w:rPr>
          <w:color w:val="0D0D0D"/>
        </w:rPr>
        <w:t>放弃乙公司的现金折扣成本为：[2%/（1－2%）]×（360/10）=73%。故应选择甲公司。</w:t>
      </w:r>
    </w:p>
    <w:p>
      <w:pPr>
        <w:pStyle w:val="ListParagraph"/>
        <w:numPr>
          <w:ilvl w:val="1"/>
          <w:numId w:val="27"/>
        </w:numPr>
        <w:tabs>
          <w:tab w:val="left" w:pos="4124"/>
        </w:tabs>
        <w:spacing w:before="10" w:after="0" w:line="247" w:lineRule="auto"/>
        <w:ind w:left="2700" w:right="2680" w:firstLine="629"/>
        <w:jc w:val="left"/>
        <w:rPr>
          <w:sz w:val="31"/>
        </w:rPr>
      </w:pPr>
      <w:r>
        <w:rPr>
          <w:color w:val="0D0D0D"/>
          <w:spacing w:val="1"/>
          <w:sz w:val="31"/>
        </w:rPr>
        <w:t>以上计算结果，当放弃现金折扣时为资金成本率的概念，所以当</w:t>
      </w:r>
      <w:r>
        <w:rPr>
          <w:color w:val="0D0D0D"/>
          <w:sz w:val="31"/>
        </w:rPr>
        <w:t>M</w:t>
      </w:r>
      <w:r>
        <w:rPr>
          <w:color w:val="0D0D0D"/>
          <w:spacing w:val="14"/>
          <w:sz w:val="31"/>
        </w:rPr>
        <w:t xml:space="preserve"> 公司准备享有</w:t>
      </w:r>
      <w:r>
        <w:rPr>
          <w:color w:val="0D0D0D"/>
          <w:sz w:val="31"/>
        </w:rPr>
        <w:t>现金折扣时，应选择计算结果大的方案。即应选择乙公司。</w:t>
      </w:r>
    </w:p>
    <w:p>
      <w:pPr>
        <w:pStyle w:val="BodyText"/>
        <w:spacing w:line="396" w:lineRule="exact"/>
        <w:ind w:left="3017"/>
      </w:pPr>
      <w:r>
        <w:rPr>
          <w:color w:val="0D0D0D"/>
        </w:rPr>
        <w:t>4、A 公司 2003 年的主要财务数据如下表所示：</w:t>
      </w:r>
    </w:p>
    <w:p>
      <w:pPr>
        <w:spacing w:after="0" w:line="396" w:lineRule="exact"/>
        <w:sectPr>
          <w:headerReference w:type="default" r:id="rId99"/>
          <w:footerReference w:type="default" r:id="rId100"/>
          <w:pgSz w:w="17860" w:h="25260"/>
          <w:pgMar w:top="1720" w:right="0" w:bottom="1940" w:left="0" w:header="1129" w:footer="1752"/>
          <w:pgNumType w:start="11"/>
          <w:cols w:space="708"/>
        </w:sectPr>
      </w:pPr>
    </w:p>
    <w:p>
      <w:pPr>
        <w:pStyle w:val="BodyText"/>
        <w:spacing w:before="2"/>
        <w:ind w:left="0"/>
        <w:rPr>
          <w:sz w:val="12"/>
        </w:rPr>
      </w:pPr>
    </w:p>
    <w:p>
      <w:pPr>
        <w:pStyle w:val="BodyText"/>
        <w:ind w:left="2745"/>
        <w:rPr>
          <w:sz w:val="20"/>
        </w:rPr>
      </w:pPr>
      <w:r>
        <w:rPr>
          <w:sz w:val="20"/>
        </w:rPr>
        <w:drawing>
          <wp:inline distT="0" distB="0" distL="0" distR="0">
            <wp:extent cx="5500611" cy="4557712"/>
            <wp:effectExtent l="0" t="0" r="0" b="0"/>
            <wp:docPr id="3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0.png"/>
                    <pic:cNvPicPr/>
                  </pic:nvPicPr>
                  <pic:blipFill>
                    <a:blip xmlns:r="http://schemas.openxmlformats.org/officeDocument/2006/relationships" r:embed="rId101" cstate="print"/>
                    <a:stretch>
                      <a:fillRect/>
                    </a:stretch>
                  </pic:blipFill>
                  <pic:spPr>
                    <a:xfrm>
                      <a:off x="0" y="0"/>
                      <a:ext cx="5500611" cy="4557712"/>
                    </a:xfrm>
                    <a:prstGeom prst="rect">
                      <a:avLst/>
                    </a:prstGeom>
                  </pic:spPr>
                </pic:pic>
              </a:graphicData>
            </a:graphic>
          </wp:inline>
        </w:drawing>
      </w:r>
    </w:p>
    <w:p>
      <w:pPr>
        <w:pStyle w:val="BodyText"/>
        <w:spacing w:before="61"/>
      </w:pPr>
      <w:r>
        <w:rPr>
          <w:color w:val="0D0D0D"/>
        </w:rPr>
        <w:t>要求回答以下互不相关的问题：</w:t>
      </w:r>
    </w:p>
    <w:p>
      <w:pPr>
        <w:pStyle w:val="ListParagraph"/>
        <w:numPr>
          <w:ilvl w:val="0"/>
          <w:numId w:val="40"/>
        </w:numPr>
        <w:tabs>
          <w:tab w:val="left" w:pos="3811"/>
        </w:tabs>
        <w:spacing w:before="13" w:after="0" w:line="244" w:lineRule="auto"/>
        <w:ind w:left="2700" w:right="2687" w:firstLine="316"/>
        <w:jc w:val="left"/>
        <w:rPr>
          <w:sz w:val="31"/>
        </w:rPr>
      </w:pPr>
      <w:r>
        <w:rPr>
          <w:color w:val="0D0D0D"/>
          <w:spacing w:val="36"/>
          <w:sz w:val="31"/>
        </w:rPr>
        <w:t>假设</w:t>
      </w:r>
      <w:r>
        <w:rPr>
          <w:color w:val="0D0D0D"/>
          <w:sz w:val="31"/>
        </w:rPr>
        <w:t>A</w:t>
      </w:r>
      <w:r>
        <w:rPr>
          <w:color w:val="0D0D0D"/>
          <w:spacing w:val="-6"/>
          <w:sz w:val="31"/>
        </w:rPr>
        <w:t xml:space="preserve"> 公司的实收资本始终保持不变，</w:t>
      </w:r>
      <w:r>
        <w:rPr>
          <w:color w:val="0D0D0D"/>
          <w:spacing w:val="-5"/>
          <w:sz w:val="31"/>
        </w:rPr>
        <w:t>2004</w:t>
      </w:r>
      <w:r>
        <w:rPr>
          <w:color w:val="0D0D0D"/>
          <w:spacing w:val="-12"/>
          <w:sz w:val="31"/>
        </w:rPr>
        <w:t xml:space="preserve"> 年预计销售收入将达到 </w:t>
      </w:r>
      <w:r>
        <w:rPr>
          <w:color w:val="0D0D0D"/>
          <w:sz w:val="31"/>
        </w:rPr>
        <w:t>5</w:t>
      </w:r>
      <w:r>
        <w:rPr>
          <w:color w:val="0D0D0D"/>
          <w:spacing w:val="-8"/>
          <w:sz w:val="31"/>
        </w:rPr>
        <w:t xml:space="preserve"> </w:t>
      </w:r>
      <w:r>
        <w:rPr>
          <w:color w:val="0D0D0D"/>
          <w:sz w:val="31"/>
        </w:rPr>
        <w:t>000</w:t>
      </w:r>
      <w:r>
        <w:rPr>
          <w:color w:val="0D0D0D"/>
          <w:spacing w:val="-10"/>
          <w:sz w:val="31"/>
        </w:rPr>
        <w:t xml:space="preserve"> 万元，计</w:t>
      </w:r>
      <w:r>
        <w:rPr>
          <w:color w:val="0D0D0D"/>
          <w:sz w:val="31"/>
        </w:rPr>
        <w:t>算该公司需要补充多少外部融资？</w:t>
      </w:r>
    </w:p>
    <w:p>
      <w:pPr>
        <w:pStyle w:val="ListParagraph"/>
        <w:numPr>
          <w:ilvl w:val="0"/>
          <w:numId w:val="40"/>
        </w:numPr>
        <w:tabs>
          <w:tab w:val="left" w:pos="3811"/>
        </w:tabs>
        <w:spacing w:before="7" w:after="0" w:line="244" w:lineRule="auto"/>
        <w:ind w:left="2700" w:right="2687" w:firstLine="316"/>
        <w:jc w:val="left"/>
        <w:rPr>
          <w:sz w:val="31"/>
        </w:rPr>
      </w:pPr>
      <w:r>
        <w:rPr>
          <w:color w:val="0D0D0D"/>
          <w:spacing w:val="-5"/>
          <w:sz w:val="31"/>
        </w:rPr>
        <w:t xml:space="preserve">如果利润留存率是 </w:t>
      </w:r>
      <w:r>
        <w:rPr>
          <w:color w:val="0D0D0D"/>
          <w:sz w:val="31"/>
        </w:rPr>
        <w:t>100</w:t>
      </w:r>
      <w:r>
        <w:rPr>
          <w:color w:val="0D0D0D"/>
          <w:spacing w:val="-4"/>
          <w:sz w:val="31"/>
        </w:rPr>
        <w:t xml:space="preserve">%，销售净利率提高到 </w:t>
      </w:r>
      <w:r>
        <w:rPr>
          <w:color w:val="0D0D0D"/>
          <w:sz w:val="31"/>
        </w:rPr>
        <w:t>6%，2004</w:t>
      </w:r>
      <w:r>
        <w:rPr>
          <w:color w:val="0D0D0D"/>
          <w:spacing w:val="-10"/>
          <w:sz w:val="31"/>
        </w:rPr>
        <w:t xml:space="preserve"> 年目标销售收入是 </w:t>
      </w:r>
      <w:r>
        <w:rPr>
          <w:color w:val="0D0D0D"/>
          <w:sz w:val="31"/>
        </w:rPr>
        <w:t>4</w:t>
      </w:r>
      <w:r>
        <w:rPr>
          <w:color w:val="0D0D0D"/>
          <w:spacing w:val="61"/>
          <w:sz w:val="31"/>
        </w:rPr>
        <w:t xml:space="preserve"> </w:t>
      </w:r>
      <w:r>
        <w:rPr>
          <w:color w:val="0D0D0D"/>
          <w:sz w:val="31"/>
        </w:rPr>
        <w:t>500</w:t>
      </w:r>
      <w:r>
        <w:rPr>
          <w:color w:val="0D0D0D"/>
          <w:spacing w:val="-20"/>
          <w:sz w:val="31"/>
        </w:rPr>
        <w:t xml:space="preserve"> 万</w:t>
      </w:r>
      <w:r>
        <w:rPr>
          <w:color w:val="0D0D0D"/>
          <w:sz w:val="31"/>
        </w:rPr>
        <w:t>元，A</w:t>
      </w:r>
      <w:r>
        <w:rPr>
          <w:color w:val="0D0D0D"/>
          <w:spacing w:val="-9"/>
          <w:sz w:val="31"/>
        </w:rPr>
        <w:t xml:space="preserve"> 公司是否需要从外部融资？如果需要，需要补充多少外部资金？</w:t>
      </w:r>
    </w:p>
    <w:p>
      <w:pPr>
        <w:pStyle w:val="ListParagraph"/>
        <w:numPr>
          <w:ilvl w:val="0"/>
          <w:numId w:val="40"/>
        </w:numPr>
        <w:tabs>
          <w:tab w:val="left" w:pos="3811"/>
        </w:tabs>
        <w:spacing w:before="3" w:after="0" w:line="247" w:lineRule="auto"/>
        <w:ind w:left="2700" w:right="2680" w:firstLine="316"/>
        <w:jc w:val="left"/>
        <w:rPr>
          <w:sz w:val="31"/>
        </w:rPr>
      </w:pPr>
      <w:r>
        <w:rPr>
          <w:color w:val="0D0D0D"/>
          <w:spacing w:val="37"/>
          <w:sz w:val="31"/>
        </w:rPr>
        <w:t>如果</w:t>
      </w:r>
      <w:r>
        <w:rPr>
          <w:color w:val="0D0D0D"/>
          <w:sz w:val="31"/>
        </w:rPr>
        <w:t>A</w:t>
      </w:r>
      <w:r>
        <w:rPr>
          <w:color w:val="0D0D0D"/>
          <w:spacing w:val="-15"/>
          <w:sz w:val="31"/>
        </w:rPr>
        <w:t xml:space="preserve"> 公司预计 </w:t>
      </w:r>
      <w:r>
        <w:rPr>
          <w:color w:val="0D0D0D"/>
          <w:sz w:val="31"/>
        </w:rPr>
        <w:t>2004</w:t>
      </w:r>
      <w:r>
        <w:rPr>
          <w:color w:val="0D0D0D"/>
          <w:spacing w:val="-5"/>
          <w:sz w:val="31"/>
        </w:rPr>
        <w:t xml:space="preserve"> 年将不可能获得任何外部融资，计算</w:t>
      </w:r>
      <w:r>
        <w:rPr>
          <w:color w:val="0D0D0D"/>
          <w:sz w:val="31"/>
        </w:rPr>
        <w:t>2004</w:t>
      </w:r>
      <w:r>
        <w:rPr>
          <w:color w:val="0D0D0D"/>
          <w:spacing w:val="-26"/>
          <w:sz w:val="31"/>
        </w:rPr>
        <w:t xml:space="preserve"> 年 </w:t>
      </w:r>
      <w:r>
        <w:rPr>
          <w:color w:val="0D0D0D"/>
          <w:sz w:val="31"/>
        </w:rPr>
        <w:t>A</w:t>
      </w:r>
      <w:r>
        <w:rPr>
          <w:color w:val="0D0D0D"/>
          <w:spacing w:val="-8"/>
          <w:sz w:val="31"/>
        </w:rPr>
        <w:t xml:space="preserve"> 公司的预计销</w:t>
      </w:r>
      <w:r>
        <w:rPr>
          <w:color w:val="0D0D0D"/>
          <w:sz w:val="31"/>
        </w:rPr>
        <w:t>售额。</w:t>
      </w:r>
    </w:p>
    <w:p>
      <w:pPr>
        <w:pStyle w:val="Heading2"/>
        <w:spacing w:line="396" w:lineRule="exact"/>
        <w:ind w:left="3330"/>
      </w:pPr>
      <w:r>
        <w:rPr>
          <w:color w:val="0D0D0D"/>
        </w:rPr>
        <w:t>答案:</w:t>
      </w:r>
    </w:p>
    <w:p>
      <w:pPr>
        <w:pStyle w:val="BodyText"/>
        <w:spacing w:before="14" w:line="247" w:lineRule="auto"/>
        <w:ind w:left="3330" w:right="7533"/>
      </w:pPr>
      <w:r>
        <w:rPr>
          <w:color w:val="0D0D0D"/>
        </w:rPr>
        <w:t>（1）销售收入增加额为 5 000—4 000=1 000 万元增加的资产为 1000×100%=1000 万元</w:t>
      </w:r>
    </w:p>
    <w:p>
      <w:pPr>
        <w:pStyle w:val="BodyText"/>
        <w:spacing w:line="397" w:lineRule="exact"/>
        <w:ind w:left="3330"/>
      </w:pPr>
      <w:r>
        <w:rPr>
          <w:color w:val="0D0D0D"/>
        </w:rPr>
        <w:t>增加的负债为 1 000×10%=100 万元</w:t>
      </w:r>
    </w:p>
    <w:p>
      <w:pPr>
        <w:pStyle w:val="BodyText"/>
        <w:spacing w:before="9" w:line="247" w:lineRule="auto"/>
        <w:ind w:left="3330" w:right="4128"/>
      </w:pPr>
      <w:r>
        <w:rPr>
          <w:color w:val="0D0D0D"/>
          <w:spacing w:val="-7"/>
        </w:rPr>
        <w:t xml:space="preserve">增加的所有者权益为 </w:t>
      </w:r>
      <w:r>
        <w:rPr>
          <w:color w:val="0D0D0D"/>
        </w:rPr>
        <w:t>5</w:t>
      </w:r>
      <w:r>
        <w:rPr>
          <w:color w:val="0D0D0D"/>
          <w:spacing w:val="64"/>
        </w:rPr>
        <w:t xml:space="preserve"> </w:t>
      </w:r>
      <w:r>
        <w:rPr>
          <w:color w:val="0D0D0D"/>
        </w:rPr>
        <w:t>000×5%×（1—60/200）=5</w:t>
      </w:r>
      <w:r>
        <w:rPr>
          <w:color w:val="0D0D0D"/>
          <w:spacing w:val="63"/>
        </w:rPr>
        <w:t xml:space="preserve"> </w:t>
      </w:r>
      <w:r>
        <w:rPr>
          <w:color w:val="0D0D0D"/>
        </w:rPr>
        <w:t>000×5%×70%=175</w:t>
      </w:r>
      <w:r>
        <w:rPr>
          <w:color w:val="0D0D0D"/>
          <w:spacing w:val="-25"/>
        </w:rPr>
        <w:t xml:space="preserve"> 万元</w:t>
      </w:r>
      <w:r>
        <w:rPr>
          <w:color w:val="0D0D0D"/>
          <w:spacing w:val="-2"/>
        </w:rPr>
        <w:t>所以，外部融资额</w:t>
      </w:r>
      <w:r>
        <w:rPr>
          <w:color w:val="0D0D0D"/>
        </w:rPr>
        <w:t>=1 000—100—175=725（万元）</w:t>
      </w:r>
    </w:p>
    <w:p>
      <w:pPr>
        <w:pStyle w:val="BodyText"/>
        <w:spacing w:line="247" w:lineRule="auto"/>
        <w:ind w:left="3330" w:right="7845"/>
      </w:pPr>
      <w:r>
        <w:rPr>
          <w:color w:val="0D0D0D"/>
        </w:rPr>
        <w:t>（2）销售收入增加额为 4 500—4 000=500 万元增加的资产为 500×100%=500 万元</w:t>
      </w:r>
    </w:p>
    <w:p>
      <w:pPr>
        <w:pStyle w:val="BodyText"/>
        <w:spacing w:line="396" w:lineRule="exact"/>
        <w:ind w:left="3330"/>
      </w:pPr>
      <w:r>
        <w:rPr>
          <w:color w:val="0D0D0D"/>
        </w:rPr>
        <w:t>增加的负债为 500×10%=50 万元</w:t>
      </w:r>
    </w:p>
    <w:p>
      <w:pPr>
        <w:pStyle w:val="BodyText"/>
        <w:spacing w:before="12" w:line="244" w:lineRule="auto"/>
        <w:ind w:left="3330" w:right="7905"/>
      </w:pPr>
      <w:r>
        <w:rPr>
          <w:color w:val="0D0D0D"/>
          <w:spacing w:val="-7"/>
        </w:rPr>
        <w:t xml:space="preserve">增加的所有者权益为 </w:t>
      </w:r>
      <w:r>
        <w:rPr>
          <w:color w:val="0D0D0D"/>
        </w:rPr>
        <w:t>4</w:t>
      </w:r>
      <w:r>
        <w:rPr>
          <w:color w:val="0D0D0D"/>
          <w:spacing w:val="66"/>
        </w:rPr>
        <w:t xml:space="preserve"> </w:t>
      </w:r>
      <w:r>
        <w:rPr>
          <w:color w:val="0D0D0D"/>
        </w:rPr>
        <w:t>500×6%×100%=270</w:t>
      </w:r>
      <w:r>
        <w:rPr>
          <w:color w:val="0D0D0D"/>
          <w:spacing w:val="-24"/>
        </w:rPr>
        <w:t xml:space="preserve"> 万元</w:t>
      </w:r>
      <w:r>
        <w:rPr>
          <w:color w:val="0D0D0D"/>
          <w:spacing w:val="-2"/>
        </w:rPr>
        <w:t>外部融资额</w:t>
      </w:r>
      <w:r>
        <w:rPr>
          <w:color w:val="0D0D0D"/>
        </w:rPr>
        <w:t>=500—50—270=180</w:t>
      </w:r>
      <w:r>
        <w:rPr>
          <w:color w:val="0D0D0D"/>
          <w:spacing w:val="-21"/>
        </w:rPr>
        <w:t xml:space="preserve"> 万元。</w:t>
      </w:r>
    </w:p>
    <w:p>
      <w:pPr>
        <w:pStyle w:val="BodyText"/>
        <w:spacing w:before="7"/>
        <w:ind w:left="3330"/>
      </w:pPr>
      <w:r>
        <w:rPr>
          <w:color w:val="0D0D0D"/>
        </w:rPr>
        <w:t>（3）A 公司预计 2004 年不可能获得任何外部融资，意味着外部融资额为0。</w:t>
      </w:r>
    </w:p>
    <w:p>
      <w:pPr>
        <w:pStyle w:val="BodyText"/>
        <w:spacing w:before="10"/>
        <w:ind w:left="3330"/>
      </w:pPr>
      <w:r>
        <w:rPr>
          <w:color w:val="0D0D0D"/>
          <w:spacing w:val="-35"/>
        </w:rPr>
        <w:t xml:space="preserve">设 </w:t>
      </w:r>
      <w:r>
        <w:rPr>
          <w:color w:val="0D0D0D"/>
        </w:rPr>
        <w:t>2004</w:t>
      </w:r>
      <w:r>
        <w:rPr>
          <w:color w:val="0D0D0D"/>
          <w:spacing w:val="-3"/>
        </w:rPr>
        <w:t xml:space="preserve"> 年的销售额增量为</w:t>
      </w:r>
      <w:r>
        <w:rPr>
          <w:color w:val="0D0D0D"/>
          <w:spacing w:val="-49"/>
        </w:rPr>
        <w:t>X</w:t>
      </w:r>
      <w:r>
        <w:rPr>
          <w:color w:val="0D0D0D"/>
          <w:spacing w:val="-21"/>
        </w:rPr>
        <w:t>，则：</w:t>
      </w:r>
      <w:r>
        <w:rPr>
          <w:color w:val="0D0D0D"/>
          <w:spacing w:val="-13"/>
        </w:rPr>
        <w:t>X×100%—X×10%—（4</w:t>
      </w:r>
      <w:r>
        <w:rPr>
          <w:color w:val="0D0D0D"/>
          <w:spacing w:val="-73"/>
        </w:rPr>
        <w:t xml:space="preserve"> </w:t>
      </w:r>
      <w:r>
        <w:rPr>
          <w:color w:val="0D0D0D"/>
          <w:spacing w:val="-8"/>
        </w:rPr>
        <w:t>000+X）×5%×70%=0</w:t>
      </w:r>
      <w:r>
        <w:rPr>
          <w:color w:val="0D0D0D"/>
          <w:spacing w:val="-76"/>
        </w:rPr>
        <w:t xml:space="preserve"> </w:t>
      </w:r>
      <w:r>
        <w:rPr>
          <w:color w:val="0D0D0D"/>
        </w:rPr>
        <w:t>X=161.85</w:t>
      </w:r>
    </w:p>
    <w:p>
      <w:pPr>
        <w:pStyle w:val="BodyText"/>
        <w:spacing w:before="13" w:line="244" w:lineRule="auto"/>
        <w:ind w:left="3960" w:right="6090" w:hanging="630"/>
        <w:rPr>
          <w:b/>
        </w:rPr>
      </w:pPr>
      <w:r>
        <w:rPr>
          <w:color w:val="0D0D0D"/>
        </w:rPr>
        <w:t>（万元） 2004</w:t>
      </w:r>
      <w:r>
        <w:rPr>
          <w:color w:val="0D0D0D"/>
          <w:spacing w:val="-12"/>
        </w:rPr>
        <w:t xml:space="preserve"> 年度销售额</w:t>
      </w:r>
      <w:r>
        <w:rPr>
          <w:color w:val="0D0D0D"/>
        </w:rPr>
        <w:t>=4</w:t>
      </w:r>
      <w:r>
        <w:rPr>
          <w:color w:val="0D0D0D"/>
          <w:spacing w:val="53"/>
        </w:rPr>
        <w:t xml:space="preserve"> </w:t>
      </w:r>
      <w:r>
        <w:rPr>
          <w:color w:val="0D0D0D"/>
        </w:rPr>
        <w:t>000+161.85=4</w:t>
      </w:r>
      <w:r>
        <w:rPr>
          <w:color w:val="0D0D0D"/>
          <w:spacing w:val="53"/>
        </w:rPr>
        <w:t xml:space="preserve"> </w:t>
      </w:r>
      <w:r>
        <w:rPr>
          <w:color w:val="0D0D0D"/>
          <w:spacing w:val="-4"/>
        </w:rPr>
        <w:t>161.85（</w:t>
      </w:r>
      <w:r>
        <w:rPr>
          <w:color w:val="0D0D0D"/>
        </w:rPr>
        <w:t>万元</w:t>
      </w:r>
      <w:r>
        <w:rPr>
          <w:color w:val="0D0D0D"/>
          <w:spacing w:val="-14"/>
        </w:rPr>
        <w:t xml:space="preserve">） </w:t>
      </w:r>
      <w:r>
        <w:rPr>
          <w:b/>
          <w:color w:val="0D0D0D"/>
        </w:rPr>
        <w:t>解析:</w:t>
      </w:r>
    </w:p>
    <w:p>
      <w:pPr>
        <w:pStyle w:val="BodyText"/>
        <w:spacing w:before="7" w:line="247" w:lineRule="auto"/>
        <w:ind w:left="3330" w:right="2681"/>
      </w:pPr>
      <w:r>
        <w:rPr>
          <w:color w:val="0D0D0D"/>
        </w:rPr>
        <w:t>5</w:t>
      </w:r>
      <w:r>
        <w:rPr>
          <w:color w:val="0D0D0D"/>
          <w:spacing w:val="-9"/>
        </w:rPr>
        <w:t xml:space="preserve">、某公司 </w:t>
      </w:r>
      <w:r>
        <w:rPr>
          <w:color w:val="0D0D0D"/>
        </w:rPr>
        <w:t>2001.1.1</w:t>
      </w:r>
      <w:r>
        <w:rPr>
          <w:color w:val="0D0D0D"/>
          <w:spacing w:val="-13"/>
        </w:rPr>
        <w:t xml:space="preserve"> 发行票面金额为 </w:t>
      </w:r>
      <w:r>
        <w:rPr>
          <w:color w:val="0D0D0D"/>
        </w:rPr>
        <w:t>1</w:t>
      </w:r>
      <w:r>
        <w:rPr>
          <w:color w:val="0D0D0D"/>
          <w:spacing w:val="51"/>
        </w:rPr>
        <w:t xml:space="preserve"> </w:t>
      </w:r>
      <w:r>
        <w:rPr>
          <w:color w:val="0D0D0D"/>
        </w:rPr>
        <w:t>000</w:t>
      </w:r>
      <w:r>
        <w:rPr>
          <w:color w:val="0D0D0D"/>
          <w:spacing w:val="-12"/>
        </w:rPr>
        <w:t xml:space="preserve"> 元，票面利率为 </w:t>
      </w:r>
      <w:r>
        <w:rPr>
          <w:color w:val="0D0D0D"/>
        </w:rPr>
        <w:t>8</w:t>
      </w:r>
      <w:r>
        <w:rPr>
          <w:color w:val="0D0D0D"/>
          <w:spacing w:val="-12"/>
        </w:rPr>
        <w:t xml:space="preserve">%的 </w:t>
      </w:r>
      <w:r>
        <w:rPr>
          <w:color w:val="0D0D0D"/>
        </w:rPr>
        <w:t>3</w:t>
      </w:r>
      <w:r>
        <w:rPr>
          <w:color w:val="0D0D0D"/>
          <w:spacing w:val="-7"/>
        </w:rPr>
        <w:t xml:space="preserve"> 年期债券，该债券</w:t>
      </w:r>
      <w:r>
        <w:rPr>
          <w:color w:val="0D0D0D"/>
        </w:rPr>
        <w:t>每年付息一次。</w:t>
      </w:r>
    </w:p>
    <w:p>
      <w:pPr>
        <w:pStyle w:val="BodyText"/>
        <w:spacing w:line="397" w:lineRule="exact"/>
        <w:ind w:left="3330"/>
      </w:pPr>
      <w:r>
        <w:rPr>
          <w:color w:val="0D0D0D"/>
          <w:spacing w:val="-54"/>
          <w:w w:val="102"/>
        </w:rPr>
        <w:t>要求：</w:t>
      </w:r>
      <w:r>
        <w:rPr>
          <w:color w:val="0D0D0D"/>
          <w:spacing w:val="-1"/>
          <w:w w:val="102"/>
        </w:rPr>
        <w:t>（</w:t>
      </w:r>
      <w:r>
        <w:rPr>
          <w:color w:val="0D0D0D"/>
          <w:w w:val="102"/>
        </w:rPr>
        <w:t>1）</w:t>
      </w:r>
      <w:r>
        <w:rPr>
          <w:color w:val="0D0D0D"/>
          <w:spacing w:val="-1"/>
        </w:rPr>
        <w:t xml:space="preserve"> </w:t>
      </w:r>
      <w:r>
        <w:rPr>
          <w:color w:val="0D0D0D"/>
          <w:w w:val="102"/>
        </w:rPr>
        <w:t>假设市场利率为</w:t>
      </w:r>
      <w:r>
        <w:rPr>
          <w:color w:val="0D0D0D"/>
          <w:spacing w:val="-90"/>
        </w:rPr>
        <w:t xml:space="preserve"> </w:t>
      </w:r>
      <w:r>
        <w:rPr>
          <w:color w:val="0D0D0D"/>
          <w:w w:val="102"/>
        </w:rPr>
        <w:t>1</w:t>
      </w:r>
      <w:r>
        <w:rPr>
          <w:color w:val="0D0D0D"/>
          <w:spacing w:val="-4"/>
          <w:w w:val="102"/>
        </w:rPr>
        <w:t>0</w:t>
      </w:r>
      <w:r>
        <w:rPr>
          <w:color w:val="0D0D0D"/>
          <w:w w:val="102"/>
        </w:rPr>
        <w:t>％，计算该债券的投资价值；</w:t>
      </w:r>
    </w:p>
    <w:p>
      <w:pPr>
        <w:pStyle w:val="ListParagraph"/>
        <w:numPr>
          <w:ilvl w:val="1"/>
          <w:numId w:val="40"/>
        </w:numPr>
        <w:tabs>
          <w:tab w:val="left" w:pos="4754"/>
        </w:tabs>
        <w:spacing w:before="10" w:after="0" w:line="240" w:lineRule="auto"/>
        <w:ind w:left="4753" w:right="0" w:hanging="794"/>
        <w:jc w:val="left"/>
        <w:rPr>
          <w:sz w:val="31"/>
        </w:rPr>
      </w:pPr>
      <w:r>
        <w:rPr>
          <w:color w:val="0D0D0D"/>
          <w:spacing w:val="-12"/>
          <w:sz w:val="31"/>
        </w:rPr>
        <w:t xml:space="preserve">假设市场利率为 </w:t>
      </w:r>
      <w:r>
        <w:rPr>
          <w:color w:val="0D0D0D"/>
          <w:sz w:val="31"/>
        </w:rPr>
        <w:t>6％，计算该债券的投资价值；</w:t>
      </w:r>
    </w:p>
    <w:p>
      <w:pPr>
        <w:pStyle w:val="ListParagraph"/>
        <w:numPr>
          <w:ilvl w:val="1"/>
          <w:numId w:val="40"/>
        </w:numPr>
        <w:tabs>
          <w:tab w:val="left" w:pos="4754"/>
        </w:tabs>
        <w:spacing w:before="9" w:after="0" w:line="247" w:lineRule="auto"/>
        <w:ind w:left="3330" w:right="3084" w:firstLine="630"/>
        <w:jc w:val="left"/>
        <w:rPr>
          <w:sz w:val="31"/>
        </w:rPr>
      </w:pPr>
      <w:r>
        <w:rPr>
          <w:color w:val="0D0D0D"/>
          <w:spacing w:val="2"/>
          <w:sz w:val="31"/>
        </w:rPr>
        <w:t>如果该债券是可转换债券，且约定转换率为</w:t>
      </w:r>
      <w:r>
        <w:rPr>
          <w:color w:val="0D0D0D"/>
          <w:sz w:val="31"/>
        </w:rPr>
        <w:t>1：20</w:t>
      </w:r>
      <w:r>
        <w:rPr>
          <w:color w:val="0D0D0D"/>
          <w:spacing w:val="-2"/>
          <w:sz w:val="31"/>
        </w:rPr>
        <w:t xml:space="preserve">，则转换价格是多少？ </w:t>
      </w:r>
      <w:r>
        <w:rPr>
          <w:b/>
          <w:color w:val="0D0D0D"/>
          <w:spacing w:val="1"/>
          <w:sz w:val="31"/>
        </w:rPr>
        <w:t xml:space="preserve">答案: </w:t>
      </w:r>
      <w:r>
        <w:rPr>
          <w:color w:val="0D0D0D"/>
          <w:sz w:val="31"/>
        </w:rPr>
        <w:t>（1）</w:t>
      </w:r>
      <w:r>
        <w:rPr>
          <w:color w:val="0D0D0D"/>
          <w:spacing w:val="-14"/>
          <w:sz w:val="31"/>
        </w:rPr>
        <w:t xml:space="preserve">市场利率为 </w:t>
      </w:r>
      <w:r>
        <w:rPr>
          <w:color w:val="0D0D0D"/>
          <w:sz w:val="31"/>
        </w:rPr>
        <w:t>10％时，该债券的投资价值</w:t>
      </w:r>
    </w:p>
    <w:p>
      <w:pPr>
        <w:pStyle w:val="BodyText"/>
        <w:spacing w:line="396" w:lineRule="exact"/>
        <w:ind w:left="3330"/>
      </w:pPr>
      <w:r>
        <w:rPr>
          <w:color w:val="0D0D0D"/>
        </w:rPr>
        <w:t>=1</w:t>
      </w:r>
      <w:r>
        <w:rPr>
          <w:color w:val="0D0D0D"/>
          <w:spacing w:val="-69"/>
        </w:rPr>
        <w:t xml:space="preserve"> </w:t>
      </w:r>
      <w:r>
        <w:rPr>
          <w:color w:val="0D0D0D"/>
          <w:spacing w:val="-23"/>
        </w:rPr>
        <w:t xml:space="preserve">000×8%×（P/A，10%，3）+1 </w:t>
      </w:r>
      <w:r>
        <w:rPr>
          <w:color w:val="0D0D0D"/>
          <w:spacing w:val="-17"/>
        </w:rPr>
        <w:t>000×（P/F，10%，3）=80×2.4869+1</w:t>
      </w:r>
      <w:r>
        <w:rPr>
          <w:color w:val="0D0D0D"/>
          <w:spacing w:val="-76"/>
        </w:rPr>
        <w:t xml:space="preserve"> </w:t>
      </w:r>
      <w:r>
        <w:rPr>
          <w:color w:val="0D0D0D"/>
        </w:rPr>
        <w:t>000×0.7513=950.25</w:t>
      </w:r>
    </w:p>
    <w:p>
      <w:pPr>
        <w:pStyle w:val="BodyText"/>
        <w:spacing w:before="13"/>
      </w:pPr>
      <w:r>
        <w:rPr>
          <w:color w:val="0D0D0D"/>
          <w:w w:val="102"/>
        </w:rPr>
        <w:t>（元</w:t>
      </w:r>
      <w:r>
        <w:rPr>
          <w:color w:val="0D0D0D"/>
          <w:spacing w:val="-162"/>
          <w:w w:val="102"/>
        </w:rPr>
        <w:t>）</w:t>
      </w:r>
      <w:r>
        <w:rPr>
          <w:color w:val="0D0D0D"/>
          <w:spacing w:val="-1"/>
          <w:w w:val="102"/>
        </w:rPr>
        <w:t>（</w:t>
      </w:r>
      <w:r>
        <w:rPr>
          <w:color w:val="0D0D0D"/>
          <w:w w:val="102"/>
        </w:rPr>
        <w:t>2）市场利率为</w:t>
      </w:r>
      <w:r>
        <w:rPr>
          <w:color w:val="0D0D0D"/>
          <w:spacing w:val="-86"/>
        </w:rPr>
        <w:t xml:space="preserve"> </w:t>
      </w:r>
      <w:r>
        <w:rPr>
          <w:color w:val="0D0D0D"/>
          <w:spacing w:val="-4"/>
          <w:w w:val="102"/>
        </w:rPr>
        <w:t>6</w:t>
      </w:r>
      <w:r>
        <w:rPr>
          <w:color w:val="0D0D0D"/>
          <w:w w:val="102"/>
        </w:rPr>
        <w:t>％时，该债券的投资价值</w:t>
      </w:r>
    </w:p>
    <w:p>
      <w:pPr>
        <w:pStyle w:val="BodyText"/>
        <w:spacing w:before="10"/>
        <w:ind w:left="3647"/>
      </w:pPr>
      <w:r>
        <w:rPr>
          <w:color w:val="0D0D0D"/>
          <w:w w:val="102"/>
        </w:rPr>
        <w:t>=1</w:t>
      </w:r>
      <w:r>
        <w:rPr>
          <w:color w:val="0D0D0D"/>
          <w:spacing w:val="-76"/>
        </w:rPr>
        <w:t xml:space="preserve"> </w:t>
      </w:r>
      <w:r>
        <w:rPr>
          <w:color w:val="0D0D0D"/>
          <w:w w:val="102"/>
        </w:rPr>
        <w:t>00</w:t>
      </w:r>
      <w:r>
        <w:rPr>
          <w:color w:val="0D0D0D"/>
          <w:spacing w:val="-4"/>
          <w:w w:val="102"/>
        </w:rPr>
        <w:t>0</w:t>
      </w:r>
      <w:r>
        <w:rPr>
          <w:color w:val="0D0D0D"/>
          <w:w w:val="102"/>
        </w:rPr>
        <w:t>×8</w:t>
      </w:r>
      <w:r>
        <w:rPr>
          <w:color w:val="0D0D0D"/>
          <w:spacing w:val="-4"/>
          <w:w w:val="102"/>
        </w:rPr>
        <w:t>%</w:t>
      </w:r>
      <w:r>
        <w:rPr>
          <w:color w:val="0D0D0D"/>
          <w:spacing w:val="-126"/>
          <w:w w:val="102"/>
        </w:rPr>
        <w:t>×</w:t>
      </w:r>
      <w:r>
        <w:rPr>
          <w:color w:val="0D0D0D"/>
          <w:spacing w:val="-4"/>
          <w:w w:val="102"/>
        </w:rPr>
        <w:t>（</w:t>
      </w:r>
      <w:r>
        <w:rPr>
          <w:color w:val="0D0D0D"/>
          <w:w w:val="102"/>
        </w:rPr>
        <w:t>P/</w:t>
      </w:r>
      <w:r>
        <w:rPr>
          <w:color w:val="0D0D0D"/>
          <w:spacing w:val="-3"/>
          <w:w w:val="102"/>
        </w:rPr>
        <w:t>A</w:t>
      </w:r>
      <w:r>
        <w:rPr>
          <w:color w:val="0D0D0D"/>
          <w:spacing w:val="-127"/>
          <w:w w:val="102"/>
        </w:rPr>
        <w:t>，</w:t>
      </w:r>
      <w:r>
        <w:rPr>
          <w:color w:val="0D0D0D"/>
          <w:w w:val="102"/>
        </w:rPr>
        <w:t>6%</w:t>
      </w:r>
      <w:r>
        <w:rPr>
          <w:color w:val="0D0D0D"/>
          <w:spacing w:val="-130"/>
          <w:w w:val="102"/>
        </w:rPr>
        <w:t>，</w:t>
      </w:r>
      <w:r>
        <w:rPr>
          <w:color w:val="0D0D0D"/>
          <w:w w:val="102"/>
        </w:rPr>
        <w:t>3</w:t>
      </w:r>
      <w:r>
        <w:rPr>
          <w:color w:val="0D0D0D"/>
          <w:spacing w:val="-126"/>
          <w:w w:val="102"/>
        </w:rPr>
        <w:t>）</w:t>
      </w:r>
      <w:r>
        <w:rPr>
          <w:color w:val="0D0D0D"/>
          <w:w w:val="102"/>
        </w:rPr>
        <w:t>+1</w:t>
      </w:r>
      <w:r>
        <w:rPr>
          <w:color w:val="0D0D0D"/>
          <w:spacing w:val="-80"/>
        </w:rPr>
        <w:t xml:space="preserve"> </w:t>
      </w:r>
      <w:r>
        <w:rPr>
          <w:color w:val="0D0D0D"/>
          <w:w w:val="102"/>
        </w:rPr>
        <w:t>00</w:t>
      </w:r>
      <w:r>
        <w:rPr>
          <w:color w:val="0D0D0D"/>
          <w:spacing w:val="-4"/>
          <w:w w:val="102"/>
        </w:rPr>
        <w:t>0</w:t>
      </w:r>
      <w:r>
        <w:rPr>
          <w:color w:val="0D0D0D"/>
          <w:spacing w:val="-126"/>
          <w:w w:val="102"/>
        </w:rPr>
        <w:t>×</w:t>
      </w:r>
      <w:r>
        <w:rPr>
          <w:color w:val="0D0D0D"/>
          <w:w w:val="102"/>
        </w:rPr>
        <w:t>（P/</w:t>
      </w:r>
      <w:r>
        <w:rPr>
          <w:color w:val="0D0D0D"/>
          <w:spacing w:val="-4"/>
          <w:w w:val="102"/>
        </w:rPr>
        <w:t>F</w:t>
      </w:r>
      <w:r>
        <w:rPr>
          <w:color w:val="0D0D0D"/>
          <w:spacing w:val="-130"/>
          <w:w w:val="102"/>
        </w:rPr>
        <w:t>，</w:t>
      </w:r>
      <w:r>
        <w:rPr>
          <w:color w:val="0D0D0D"/>
          <w:w w:val="102"/>
        </w:rPr>
        <w:t>6%</w:t>
      </w:r>
      <w:r>
        <w:rPr>
          <w:color w:val="0D0D0D"/>
          <w:spacing w:val="-127"/>
          <w:w w:val="102"/>
        </w:rPr>
        <w:t>，</w:t>
      </w:r>
      <w:r>
        <w:rPr>
          <w:color w:val="0D0D0D"/>
          <w:spacing w:val="-4"/>
          <w:w w:val="102"/>
        </w:rPr>
        <w:t>3</w:t>
      </w:r>
      <w:r>
        <w:rPr>
          <w:color w:val="0D0D0D"/>
          <w:spacing w:val="-127"/>
          <w:w w:val="102"/>
        </w:rPr>
        <w:t>）</w:t>
      </w:r>
      <w:r>
        <w:rPr>
          <w:color w:val="0D0D0D"/>
          <w:w w:val="102"/>
        </w:rPr>
        <w:t>=8</w:t>
      </w:r>
      <w:r>
        <w:rPr>
          <w:color w:val="0D0D0D"/>
          <w:spacing w:val="-4"/>
          <w:w w:val="102"/>
        </w:rPr>
        <w:t>0</w:t>
      </w:r>
      <w:r>
        <w:rPr>
          <w:color w:val="0D0D0D"/>
          <w:w w:val="102"/>
        </w:rPr>
        <w:t>×2.6730+1</w:t>
      </w:r>
      <w:r>
        <w:rPr>
          <w:color w:val="0D0D0D"/>
          <w:spacing w:val="-83"/>
        </w:rPr>
        <w:t xml:space="preserve"> </w:t>
      </w:r>
      <w:r>
        <w:rPr>
          <w:color w:val="0D0D0D"/>
          <w:w w:val="102"/>
        </w:rPr>
        <w:t>00</w:t>
      </w:r>
      <w:r>
        <w:rPr>
          <w:color w:val="0D0D0D"/>
          <w:spacing w:val="-4"/>
          <w:w w:val="102"/>
        </w:rPr>
        <w:t>0</w:t>
      </w:r>
      <w:r>
        <w:rPr>
          <w:color w:val="0D0D0D"/>
          <w:w w:val="102"/>
        </w:rPr>
        <w:t>×0.8396=1053.44</w:t>
      </w:r>
    </w:p>
    <w:p>
      <w:pPr>
        <w:pStyle w:val="BodyText"/>
        <w:spacing w:before="13"/>
      </w:pPr>
      <w:r>
        <w:rPr>
          <w:color w:val="0D0D0D"/>
        </w:rPr>
        <w:t>（元）</w:t>
      </w:r>
    </w:p>
    <w:p>
      <w:pPr>
        <w:pStyle w:val="BodyText"/>
        <w:spacing w:before="10"/>
        <w:ind w:left="3330"/>
      </w:pPr>
      <w:r>
        <w:rPr>
          <w:color w:val="0D0D0D"/>
        </w:rPr>
        <w:t>（3）转换价格=债券面值÷转换比率=1 000÷20=50（元）</w:t>
      </w:r>
    </w:p>
    <w:p>
      <w:pPr>
        <w:spacing w:after="0"/>
        <w:sectPr>
          <w:headerReference w:type="default" r:id="rId102"/>
          <w:footerReference w:type="default" r:id="rId103"/>
          <w:pgSz w:w="17860" w:h="25260"/>
          <w:pgMar w:top="1720" w:right="0" w:bottom="1940" w:left="0" w:header="1129" w:footer="1754"/>
          <w:pgNumType w:start="12"/>
          <w:cols w:space="708"/>
        </w:sectPr>
      </w:pPr>
    </w:p>
    <w:p>
      <w:pPr>
        <w:pStyle w:val="BodyText"/>
        <w:spacing w:before="3"/>
        <w:ind w:left="0"/>
        <w:rPr>
          <w:sz w:val="8"/>
        </w:rPr>
      </w:pPr>
    </w:p>
    <w:p>
      <w:pPr>
        <w:pStyle w:val="BodyText"/>
        <w:spacing w:before="63" w:line="247" w:lineRule="auto"/>
        <w:ind w:right="2639" w:firstLine="316"/>
        <w:jc w:val="both"/>
      </w:pPr>
      <w:r>
        <w:rPr>
          <w:color w:val="0D0D0D"/>
        </w:rPr>
        <w:t>6</w:t>
      </w:r>
      <w:r>
        <w:rPr>
          <w:color w:val="0D0D0D"/>
          <w:spacing w:val="-1"/>
        </w:rPr>
        <w:t xml:space="preserve">、金丰公司于 </w:t>
      </w:r>
      <w:r>
        <w:rPr>
          <w:color w:val="0D0D0D"/>
        </w:rPr>
        <w:t>2004</w:t>
      </w:r>
      <w:r>
        <w:rPr>
          <w:color w:val="0D0D0D"/>
          <w:spacing w:val="4"/>
        </w:rPr>
        <w:t xml:space="preserve"> 年 </w:t>
      </w:r>
      <w:r>
        <w:rPr>
          <w:color w:val="0D0D0D"/>
        </w:rPr>
        <w:t>1 月公开发售附认股权证的普通股，每一认股证允许持有人按协</w:t>
      </w:r>
      <w:r>
        <w:rPr>
          <w:color w:val="0D0D0D"/>
          <w:spacing w:val="-40"/>
        </w:rPr>
        <w:t>定价格</w:t>
      </w:r>
      <w:r>
        <w:rPr>
          <w:color w:val="0D0D0D"/>
        </w:rPr>
        <w:t>（</w:t>
      </w:r>
      <w:r>
        <w:rPr>
          <w:color w:val="0D0D0D"/>
          <w:spacing w:val="-19"/>
        </w:rPr>
        <w:t xml:space="preserve">每股 </w:t>
      </w:r>
      <w:r>
        <w:rPr>
          <w:color w:val="0D0D0D"/>
        </w:rPr>
        <w:t>20</w:t>
      </w:r>
      <w:r>
        <w:rPr>
          <w:color w:val="0D0D0D"/>
          <w:spacing w:val="-28"/>
        </w:rPr>
        <w:t xml:space="preserve"> 元</w:t>
      </w:r>
      <w:r>
        <w:rPr>
          <w:color w:val="0D0D0D"/>
          <w:spacing w:val="-119"/>
        </w:rPr>
        <w:t>）</w:t>
      </w:r>
      <w:r>
        <w:rPr>
          <w:color w:val="0D0D0D"/>
          <w:spacing w:val="-17"/>
        </w:rPr>
        <w:t xml:space="preserve">购买 </w:t>
      </w:r>
      <w:r>
        <w:rPr>
          <w:color w:val="0D0D0D"/>
        </w:rPr>
        <w:t>1</w:t>
      </w:r>
      <w:r>
        <w:rPr>
          <w:color w:val="0D0D0D"/>
          <w:spacing w:val="-13"/>
        </w:rPr>
        <w:t xml:space="preserve"> 股该公司的股票。认股证在 </w:t>
      </w:r>
      <w:r>
        <w:rPr>
          <w:color w:val="0D0D0D"/>
        </w:rPr>
        <w:t>2004</w:t>
      </w:r>
      <w:r>
        <w:rPr>
          <w:color w:val="0D0D0D"/>
          <w:spacing w:val="-38"/>
        </w:rPr>
        <w:t xml:space="preserve"> 年 </w:t>
      </w:r>
      <w:r>
        <w:rPr>
          <w:color w:val="0D0D0D"/>
        </w:rPr>
        <w:t>12</w:t>
      </w:r>
      <w:r>
        <w:rPr>
          <w:color w:val="0D0D0D"/>
          <w:spacing w:val="-24"/>
        </w:rPr>
        <w:t xml:space="preserve"> 月到期。假设现在是 </w:t>
      </w:r>
      <w:r>
        <w:rPr>
          <w:color w:val="0D0D0D"/>
        </w:rPr>
        <w:t xml:space="preserve">2004 </w:t>
      </w:r>
      <w:r>
        <w:rPr>
          <w:color w:val="0D0D0D"/>
          <w:spacing w:val="-12"/>
        </w:rPr>
        <w:t xml:space="preserve">年 </w:t>
      </w:r>
      <w:r>
        <w:rPr>
          <w:color w:val="0D0D0D"/>
        </w:rPr>
        <w:t>3</w:t>
      </w:r>
      <w:r>
        <w:rPr>
          <w:color w:val="0D0D0D"/>
          <w:spacing w:val="-3"/>
        </w:rPr>
        <w:t xml:space="preserve"> 月，金丰公司的股票交易价格为每股</w:t>
      </w:r>
      <w:r>
        <w:rPr>
          <w:color w:val="0D0D0D"/>
        </w:rPr>
        <w:t>21.5</w:t>
      </w:r>
      <w:r>
        <w:rPr>
          <w:color w:val="0D0D0D"/>
          <w:spacing w:val="-10"/>
        </w:rPr>
        <w:t xml:space="preserve"> 元，认股证价格每份为 </w:t>
      </w:r>
      <w:r>
        <w:rPr>
          <w:color w:val="0D0D0D"/>
        </w:rPr>
        <w:t>5</w:t>
      </w:r>
      <w:r>
        <w:rPr>
          <w:color w:val="0D0D0D"/>
          <w:spacing w:val="-5"/>
        </w:rPr>
        <w:t xml:space="preserve"> 元。现在认股权的</w:t>
      </w:r>
      <w:r>
        <w:rPr>
          <w:color w:val="0D0D0D"/>
          <w:spacing w:val="-4"/>
        </w:rPr>
        <w:t>理论价值为多少？认股证价值超过理论价值的溢价是多少？假设到</w:t>
      </w:r>
      <w:r>
        <w:rPr>
          <w:color w:val="0D0D0D"/>
        </w:rPr>
        <w:t>2004</w:t>
      </w:r>
      <w:r>
        <w:rPr>
          <w:color w:val="0D0D0D"/>
          <w:spacing w:val="-6"/>
        </w:rPr>
        <w:t xml:space="preserve"> 年 </w:t>
      </w:r>
      <w:r>
        <w:rPr>
          <w:color w:val="0D0D0D"/>
        </w:rPr>
        <w:t>11</w:t>
      </w:r>
      <w:r>
        <w:rPr>
          <w:color w:val="0D0D0D"/>
          <w:spacing w:val="-23"/>
        </w:rPr>
        <w:t xml:space="preserve"> 月，公司的普</w:t>
      </w:r>
      <w:r>
        <w:rPr>
          <w:color w:val="0D0D0D"/>
          <w:spacing w:val="-15"/>
        </w:rPr>
        <w:t xml:space="preserve">通股市价仍为 </w:t>
      </w:r>
      <w:r>
        <w:rPr>
          <w:color w:val="0D0D0D"/>
        </w:rPr>
        <w:t>21.5</w:t>
      </w:r>
      <w:r>
        <w:rPr>
          <w:color w:val="0D0D0D"/>
          <w:spacing w:val="-1"/>
        </w:rPr>
        <w:t xml:space="preserve"> 元，你认为认股证的价格应是多少？为什么？若金丰公司今年股利分配</w:t>
      </w:r>
      <w:r>
        <w:rPr>
          <w:color w:val="0D0D0D"/>
          <w:spacing w:val="-8"/>
        </w:rPr>
        <w:t xml:space="preserve">政策为每股支付现金红利 </w:t>
      </w:r>
      <w:r>
        <w:rPr>
          <w:color w:val="0D0D0D"/>
        </w:rPr>
        <w:t>1</w:t>
      </w:r>
      <w:r>
        <w:rPr>
          <w:color w:val="0D0D0D"/>
          <w:spacing w:val="-9"/>
        </w:rPr>
        <w:t xml:space="preserve"> 元，认股证持有人能否收到股利？</w:t>
      </w:r>
    </w:p>
    <w:p>
      <w:pPr>
        <w:pStyle w:val="Heading2"/>
        <w:spacing w:line="395" w:lineRule="exact"/>
        <w:ind w:left="3330"/>
      </w:pPr>
      <w:r>
        <w:rPr>
          <w:color w:val="0D0D0D"/>
        </w:rPr>
        <w:t>答案:</w:t>
      </w:r>
    </w:p>
    <w:p>
      <w:pPr>
        <w:pStyle w:val="BodyText"/>
        <w:spacing w:before="9"/>
        <w:ind w:left="3330"/>
      </w:pPr>
      <w:r>
        <w:rPr>
          <w:color w:val="0D0D0D"/>
        </w:rPr>
        <w:t>（1） 理论价值为：21.5-20＝1.5（元）</w:t>
      </w:r>
    </w:p>
    <w:p>
      <w:pPr>
        <w:pStyle w:val="BodyText"/>
        <w:spacing w:before="13"/>
        <w:ind w:left="3330"/>
      </w:pPr>
      <w:r>
        <w:rPr>
          <w:color w:val="0D0D0D"/>
        </w:rPr>
        <w:t>（2） 溢价为：5-1.5＝3.5（元）</w:t>
      </w:r>
    </w:p>
    <w:p>
      <w:pPr>
        <w:pStyle w:val="ListParagraph"/>
        <w:numPr>
          <w:ilvl w:val="0"/>
          <w:numId w:val="25"/>
        </w:numPr>
        <w:tabs>
          <w:tab w:val="left" w:pos="4130"/>
        </w:tabs>
        <w:spacing w:before="10" w:after="0" w:line="247" w:lineRule="auto"/>
        <w:ind w:left="2700" w:right="2505" w:firstLine="629"/>
        <w:jc w:val="left"/>
        <w:rPr>
          <w:sz w:val="31"/>
        </w:rPr>
      </w:pPr>
      <w:r>
        <w:rPr>
          <w:color w:val="0D0D0D"/>
          <w:sz w:val="31"/>
        </w:rPr>
        <w:t>认股证价格可能非常接近 1.5</w:t>
      </w:r>
      <w:r>
        <w:rPr>
          <w:color w:val="0D0D0D"/>
          <w:spacing w:val="-13"/>
          <w:sz w:val="31"/>
        </w:rPr>
        <w:t xml:space="preserve"> 元的理论价值。因为认股权证的剩余有效期间越长， </w:t>
      </w:r>
      <w:r>
        <w:rPr>
          <w:color w:val="0D0D0D"/>
          <w:spacing w:val="-8"/>
          <w:sz w:val="31"/>
        </w:rPr>
        <w:t xml:space="preserve">市价高于执行价格的可能就越大，而此认股证只有 </w:t>
      </w:r>
      <w:r>
        <w:rPr>
          <w:color w:val="0D0D0D"/>
          <w:sz w:val="31"/>
        </w:rPr>
        <w:t>1</w:t>
      </w:r>
      <w:r>
        <w:rPr>
          <w:color w:val="0D0D0D"/>
          <w:spacing w:val="-9"/>
          <w:sz w:val="31"/>
        </w:rPr>
        <w:t xml:space="preserve"> 个月的时间就到期了，这样短的时间限制了获利机会。</w:t>
      </w:r>
    </w:p>
    <w:p>
      <w:pPr>
        <w:pStyle w:val="ListParagraph"/>
        <w:numPr>
          <w:ilvl w:val="0"/>
          <w:numId w:val="25"/>
        </w:numPr>
        <w:tabs>
          <w:tab w:val="left" w:pos="4278"/>
        </w:tabs>
        <w:spacing w:before="0" w:after="0" w:line="244" w:lineRule="auto"/>
        <w:ind w:left="3330" w:right="8194" w:firstLine="0"/>
        <w:jc w:val="left"/>
        <w:rPr>
          <w:b/>
          <w:sz w:val="31"/>
        </w:rPr>
      </w:pPr>
      <w:r>
        <w:rPr>
          <w:color w:val="0D0D0D"/>
          <w:spacing w:val="-1"/>
          <w:sz w:val="31"/>
        </w:rPr>
        <w:t>认股证持有者不会有获得股利的权利。</w:t>
      </w:r>
      <w:r>
        <w:rPr>
          <w:b/>
          <w:color w:val="0D0D0D"/>
          <w:sz w:val="31"/>
        </w:rPr>
        <w:t>解析:</w:t>
      </w:r>
    </w:p>
    <w:p>
      <w:pPr>
        <w:pStyle w:val="Heading2"/>
        <w:spacing w:before="8"/>
      </w:pPr>
      <w:r>
        <w:rPr>
          <w:color w:val="0D0D0D"/>
        </w:rPr>
        <w:t>五、综合题</w:t>
      </w:r>
    </w:p>
    <w:p>
      <w:pPr>
        <w:pStyle w:val="BodyText"/>
        <w:spacing w:before="10"/>
      </w:pPr>
      <w:r>
        <w:rPr>
          <w:color w:val="0D0D0D"/>
        </w:rPr>
        <w:t>1、某公司向银行借入短期借款 10000 元，支付银行贷款利息的方式同银行协商后的结果是：</w:t>
      </w:r>
    </w:p>
    <w:p>
      <w:pPr>
        <w:pStyle w:val="ListParagraph"/>
        <w:numPr>
          <w:ilvl w:val="0"/>
          <w:numId w:val="24"/>
        </w:numPr>
        <w:tabs>
          <w:tab w:val="left" w:pos="4278"/>
        </w:tabs>
        <w:spacing w:before="13" w:after="0" w:line="240" w:lineRule="auto"/>
        <w:ind w:left="4277" w:right="0" w:hanging="948"/>
        <w:jc w:val="left"/>
        <w:rPr>
          <w:sz w:val="31"/>
        </w:rPr>
      </w:pPr>
      <w:r>
        <w:rPr>
          <w:color w:val="0D0D0D"/>
          <w:spacing w:val="-8"/>
          <w:sz w:val="31"/>
        </w:rPr>
        <w:t xml:space="preserve">如采用收款法，则利息率为 </w:t>
      </w:r>
      <w:r>
        <w:rPr>
          <w:color w:val="0D0D0D"/>
          <w:sz w:val="31"/>
        </w:rPr>
        <w:t>14％；</w:t>
      </w:r>
    </w:p>
    <w:p>
      <w:pPr>
        <w:pStyle w:val="ListParagraph"/>
        <w:numPr>
          <w:ilvl w:val="0"/>
          <w:numId w:val="24"/>
        </w:numPr>
        <w:tabs>
          <w:tab w:val="left" w:pos="4278"/>
        </w:tabs>
        <w:spacing w:before="10" w:after="0" w:line="240" w:lineRule="auto"/>
        <w:ind w:left="4277" w:right="0" w:hanging="948"/>
        <w:jc w:val="left"/>
        <w:rPr>
          <w:sz w:val="31"/>
        </w:rPr>
      </w:pPr>
      <w:r>
        <w:rPr>
          <w:color w:val="0D0D0D"/>
          <w:spacing w:val="-8"/>
          <w:sz w:val="31"/>
        </w:rPr>
        <w:t xml:space="preserve">如采用贴现法，利息率为 </w:t>
      </w:r>
      <w:r>
        <w:rPr>
          <w:color w:val="0D0D0D"/>
          <w:sz w:val="31"/>
        </w:rPr>
        <w:t>12％；</w:t>
      </w:r>
    </w:p>
    <w:p>
      <w:pPr>
        <w:pStyle w:val="ListParagraph"/>
        <w:numPr>
          <w:ilvl w:val="0"/>
          <w:numId w:val="24"/>
        </w:numPr>
        <w:tabs>
          <w:tab w:val="left" w:pos="4278"/>
        </w:tabs>
        <w:spacing w:before="13" w:after="0" w:line="244" w:lineRule="auto"/>
        <w:ind w:left="3330" w:right="3022" w:firstLine="0"/>
        <w:jc w:val="left"/>
        <w:rPr>
          <w:sz w:val="31"/>
        </w:rPr>
      </w:pPr>
      <w:r>
        <w:rPr>
          <w:color w:val="0D0D0D"/>
          <w:spacing w:val="4"/>
          <w:sz w:val="31"/>
        </w:rPr>
        <w:t xml:space="preserve">如采用补偿性余额，利息率降为 </w:t>
      </w:r>
      <w:r>
        <w:rPr>
          <w:color w:val="0D0D0D"/>
          <w:sz w:val="31"/>
        </w:rPr>
        <w:t>10</w:t>
      </w:r>
      <w:r>
        <w:rPr>
          <w:color w:val="0D0D0D"/>
          <w:spacing w:val="3"/>
          <w:sz w:val="31"/>
        </w:rPr>
        <w:t>％，银行要求的补偿性余额比例为</w:t>
      </w:r>
      <w:r>
        <w:rPr>
          <w:color w:val="0D0D0D"/>
          <w:sz w:val="31"/>
        </w:rPr>
        <w:t>20％</w:t>
      </w:r>
      <w:r>
        <w:rPr>
          <w:color w:val="0D0D0D"/>
          <w:spacing w:val="-15"/>
          <w:sz w:val="31"/>
        </w:rPr>
        <w:t>。</w:t>
      </w:r>
      <w:r>
        <w:rPr>
          <w:color w:val="0D0D0D"/>
          <w:sz w:val="31"/>
        </w:rPr>
        <w:t>请问：如果你是该公司的财务经理，你选择哪种支付方式？</w:t>
      </w:r>
    </w:p>
    <w:p>
      <w:pPr>
        <w:pStyle w:val="Heading2"/>
        <w:spacing w:before="7"/>
        <w:ind w:left="3330"/>
      </w:pPr>
      <w:r>
        <w:rPr>
          <w:color w:val="0D0D0D"/>
        </w:rPr>
        <w:t>答案:</w:t>
      </w:r>
    </w:p>
    <w:p>
      <w:pPr>
        <w:pStyle w:val="BodyText"/>
        <w:spacing w:before="10"/>
        <w:ind w:left="3330"/>
      </w:pPr>
      <w:r>
        <w:rPr>
          <w:color w:val="0D0D0D"/>
        </w:rPr>
        <w:t>（1） 采用收款法的实际利率为 14％；</w:t>
      </w:r>
    </w:p>
    <w:p>
      <w:pPr>
        <w:pStyle w:val="BodyText"/>
        <w:spacing w:before="9"/>
        <w:ind w:left="3330"/>
      </w:pPr>
      <w:r>
        <w:rPr>
          <w:color w:val="0D0D0D"/>
        </w:rPr>
        <w:t>（2） 采用贴现法时的实际利率为：12％/（1-12％）＝13.6％；</w:t>
      </w:r>
    </w:p>
    <w:p>
      <w:pPr>
        <w:pStyle w:val="BodyText"/>
        <w:spacing w:before="13"/>
        <w:ind w:left="3330"/>
      </w:pPr>
      <w:r>
        <w:rPr>
          <w:color w:val="0D0D0D"/>
        </w:rPr>
        <w:t>（3） 采用补偿性余额实际利率为：10％/（1-20％）＝12.5％.</w:t>
      </w:r>
    </w:p>
    <w:p>
      <w:pPr>
        <w:pStyle w:val="BodyText"/>
        <w:spacing w:before="10"/>
        <w:ind w:left="3489"/>
      </w:pPr>
      <w:r>
        <w:rPr>
          <w:color w:val="0D0D0D"/>
        </w:rPr>
        <w:t>几种办法相比较，第（3）种方法采取补偿性余额的实际利率最低，应选择这种方式。</w:t>
      </w:r>
    </w:p>
    <w:p>
      <w:pPr>
        <w:pStyle w:val="BodyText"/>
        <w:spacing w:before="13"/>
        <w:ind w:left="3334"/>
      </w:pPr>
      <w:r>
        <w:rPr>
          <w:color w:val="0D0D0D"/>
        </w:rPr>
        <w:t>2</w:t>
      </w:r>
      <w:r>
        <w:rPr>
          <w:color w:val="0D0D0D"/>
          <w:spacing w:val="-51"/>
        </w:rPr>
        <w:t xml:space="preserve">、某企业 </w:t>
      </w:r>
      <w:r>
        <w:rPr>
          <w:color w:val="0D0D0D"/>
        </w:rPr>
        <w:t>1999</w:t>
      </w:r>
      <w:r>
        <w:rPr>
          <w:color w:val="0D0D0D"/>
          <w:spacing w:val="-44"/>
        </w:rPr>
        <w:t xml:space="preserve"> 年至 </w:t>
      </w:r>
      <w:r>
        <w:rPr>
          <w:color w:val="0D0D0D"/>
        </w:rPr>
        <w:t>2003</w:t>
      </w:r>
      <w:r>
        <w:rPr>
          <w:color w:val="0D0D0D"/>
          <w:spacing w:val="-10"/>
        </w:rPr>
        <w:t xml:space="preserve"> 年的销量和资金占有数量有历史资料如下表所示</w:t>
      </w:r>
      <w:r>
        <w:rPr>
          <w:color w:val="0D0D0D"/>
          <w:spacing w:val="-57"/>
        </w:rPr>
        <w:t xml:space="preserve">，该企业 </w:t>
      </w:r>
      <w:r>
        <w:rPr>
          <w:color w:val="0D0D0D"/>
        </w:rPr>
        <w:t>2004</w:t>
      </w:r>
    </w:p>
    <w:p>
      <w:pPr>
        <w:pStyle w:val="BodyText"/>
        <w:spacing w:before="10"/>
      </w:pPr>
      <w:r>
        <w:rPr>
          <w:color w:val="0D0D0D"/>
        </w:rPr>
        <w:t>年的预计产销量为 86 000 件。</w:t>
      </w:r>
    </w:p>
    <w:p>
      <w:pPr>
        <w:pStyle w:val="BodyText"/>
        <w:spacing w:before="14"/>
        <w:ind w:left="3330"/>
      </w:pPr>
      <w:r>
        <w:rPr>
          <w:color w:val="0D0D0D"/>
          <w:spacing w:val="-54"/>
          <w:w w:val="102"/>
        </w:rPr>
        <w:t>要求：</w:t>
      </w:r>
      <w:r>
        <w:rPr>
          <w:color w:val="0D0D0D"/>
          <w:spacing w:val="-1"/>
          <w:w w:val="102"/>
        </w:rPr>
        <w:t>（</w:t>
      </w:r>
      <w:r>
        <w:rPr>
          <w:color w:val="0D0D0D"/>
          <w:w w:val="102"/>
        </w:rPr>
        <w:t>1）</w:t>
      </w:r>
      <w:r>
        <w:rPr>
          <w:color w:val="0D0D0D"/>
          <w:spacing w:val="-1"/>
        </w:rPr>
        <w:t xml:space="preserve"> </w:t>
      </w:r>
      <w:r>
        <w:rPr>
          <w:color w:val="0D0D0D"/>
          <w:spacing w:val="2"/>
          <w:w w:val="102"/>
        </w:rPr>
        <w:t>分别运用高低点法和回归分析法计算该企业</w:t>
      </w:r>
      <w:r>
        <w:rPr>
          <w:color w:val="0D0D0D"/>
          <w:w w:val="102"/>
        </w:rPr>
        <w:t>2004</w:t>
      </w:r>
      <w:r>
        <w:rPr>
          <w:color w:val="0D0D0D"/>
          <w:spacing w:val="-83"/>
        </w:rPr>
        <w:t xml:space="preserve"> </w:t>
      </w:r>
      <w:r>
        <w:rPr>
          <w:color w:val="0D0D0D"/>
          <w:w w:val="102"/>
        </w:rPr>
        <w:t>年的资金需要量；</w:t>
      </w:r>
    </w:p>
    <w:p>
      <w:pPr>
        <w:pStyle w:val="BodyText"/>
        <w:spacing w:before="9" w:line="247" w:lineRule="auto"/>
        <w:ind w:right="2680" w:firstLine="1576"/>
      </w:pPr>
      <w:r>
        <w:rPr>
          <w:color w:val="0D0D0D"/>
        </w:rPr>
        <w:t>（2）</w:t>
      </w:r>
      <w:r>
        <w:rPr>
          <w:color w:val="0D0D0D"/>
          <w:spacing w:val="-7"/>
        </w:rPr>
        <w:t xml:space="preserve"> 说明两种方法预测的 </w:t>
      </w:r>
      <w:r>
        <w:rPr>
          <w:color w:val="0D0D0D"/>
        </w:rPr>
        <w:t>2004</w:t>
      </w:r>
      <w:r>
        <w:rPr>
          <w:color w:val="0D0D0D"/>
          <w:spacing w:val="-9"/>
        </w:rPr>
        <w:t xml:space="preserve"> 年资金占有量出现差异的原因； 某企业销量与</w:t>
      </w:r>
      <w:r>
        <w:rPr>
          <w:color w:val="0D0D0D"/>
        </w:rPr>
        <w:t>资金用量表</w:t>
      </w:r>
    </w:p>
    <w:p>
      <w:pPr>
        <w:pStyle w:val="BodyText"/>
        <w:ind w:left="2745"/>
        <w:rPr>
          <w:sz w:val="20"/>
        </w:rPr>
      </w:pPr>
      <w:r>
        <w:rPr>
          <w:sz w:val="20"/>
        </w:rPr>
        <w:drawing>
          <wp:inline distT="0" distB="0" distL="0" distR="0">
            <wp:extent cx="5346754" cy="2757487"/>
            <wp:effectExtent l="0" t="0" r="0" b="0"/>
            <wp:docPr id="3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1.png"/>
                    <pic:cNvPicPr/>
                  </pic:nvPicPr>
                  <pic:blipFill>
                    <a:blip xmlns:r="http://schemas.openxmlformats.org/officeDocument/2006/relationships" r:embed="rId104" cstate="print"/>
                    <a:stretch>
                      <a:fillRect/>
                    </a:stretch>
                  </pic:blipFill>
                  <pic:spPr>
                    <a:xfrm>
                      <a:off x="0" y="0"/>
                      <a:ext cx="5346754" cy="2757487"/>
                    </a:xfrm>
                    <a:prstGeom prst="rect">
                      <a:avLst/>
                    </a:prstGeom>
                  </pic:spPr>
                </pic:pic>
              </a:graphicData>
            </a:graphic>
          </wp:inline>
        </w:drawing>
      </w:r>
    </w:p>
    <w:p>
      <w:pPr>
        <w:pStyle w:val="BodyText"/>
        <w:spacing w:before="7"/>
        <w:ind w:left="0"/>
        <w:rPr>
          <w:sz w:val="35"/>
        </w:rPr>
      </w:pPr>
    </w:p>
    <w:p>
      <w:pPr>
        <w:pStyle w:val="Heading2"/>
        <w:ind w:left="3330"/>
      </w:pPr>
      <w:r>
        <w:rPr>
          <w:color w:val="0D0D0D"/>
        </w:rPr>
        <w:t>答案:</w:t>
      </w:r>
    </w:p>
    <w:p>
      <w:pPr>
        <w:pStyle w:val="ListParagraph"/>
        <w:numPr>
          <w:ilvl w:val="0"/>
          <w:numId w:val="23"/>
        </w:numPr>
        <w:tabs>
          <w:tab w:val="left" w:pos="3651"/>
        </w:tabs>
        <w:spacing w:before="10" w:after="0" w:line="240" w:lineRule="auto"/>
        <w:ind w:left="3651" w:right="0" w:hanging="634"/>
        <w:jc w:val="left"/>
        <w:rPr>
          <w:sz w:val="31"/>
        </w:rPr>
      </w:pPr>
      <w:r>
        <w:rPr>
          <w:color w:val="0D0D0D"/>
          <w:spacing w:val="-10"/>
          <w:sz w:val="31"/>
        </w:rPr>
        <w:t xml:space="preserve">采用高低点法预测 </w:t>
      </w:r>
      <w:r>
        <w:rPr>
          <w:color w:val="0D0D0D"/>
          <w:sz w:val="31"/>
        </w:rPr>
        <w:t>2004</w:t>
      </w:r>
      <w:r>
        <w:rPr>
          <w:color w:val="0D0D0D"/>
          <w:spacing w:val="-11"/>
          <w:sz w:val="31"/>
        </w:rPr>
        <w:t xml:space="preserve"> 年的资金占有用量</w:t>
      </w:r>
    </w:p>
    <w:p>
      <w:pPr>
        <w:pStyle w:val="BodyText"/>
        <w:spacing w:before="10"/>
        <w:ind w:left="3330"/>
      </w:pPr>
      <w:r>
        <w:rPr>
          <w:color w:val="0D0D0D"/>
        </w:rPr>
        <w:t>①b=（700—630）÷（9.0—7.0）=35（元/件）</w:t>
      </w:r>
    </w:p>
    <w:p>
      <w:pPr>
        <w:pStyle w:val="BodyText"/>
        <w:spacing w:before="13" w:line="244" w:lineRule="auto"/>
        <w:ind w:left="3507" w:right="2641" w:hanging="180"/>
      </w:pPr>
      <w:r>
        <w:rPr>
          <w:color w:val="0D0D0D"/>
          <w:spacing w:val="-5"/>
        </w:rPr>
        <w:t xml:space="preserve">②由 </w:t>
      </w:r>
      <w:r>
        <w:rPr>
          <w:color w:val="0D0D0D"/>
        </w:rPr>
        <w:t>Y=a+bx</w:t>
      </w:r>
      <w:r>
        <w:rPr>
          <w:color w:val="0D0D0D"/>
          <w:spacing w:val="-11"/>
        </w:rPr>
        <w:t xml:space="preserve"> 代入 </w:t>
      </w:r>
      <w:r>
        <w:rPr>
          <w:color w:val="0D0D0D"/>
        </w:rPr>
        <w:t>2001</w:t>
      </w:r>
      <w:r>
        <w:rPr>
          <w:color w:val="0D0D0D"/>
          <w:spacing w:val="-11"/>
        </w:rPr>
        <w:t xml:space="preserve"> 年数据，求得；</w:t>
      </w:r>
      <w:r>
        <w:rPr>
          <w:color w:val="0D0D0D"/>
          <w:spacing w:val="-5"/>
        </w:rPr>
        <w:t>a=Y—bx=630—35×7=385（</w:t>
      </w:r>
      <w:r>
        <w:rPr>
          <w:color w:val="0D0D0D"/>
        </w:rPr>
        <w:t>万元）</w:t>
      </w:r>
      <w:r>
        <w:rPr>
          <w:color w:val="0D0D0D"/>
          <w:spacing w:val="-2"/>
        </w:rPr>
        <w:t>建立预测资金</w:t>
      </w:r>
      <w:r>
        <w:rPr>
          <w:color w:val="0D0D0D"/>
          <w:spacing w:val="-1"/>
        </w:rPr>
        <w:t xml:space="preserve">需要量的数学模型： </w:t>
      </w:r>
      <w:r>
        <w:rPr>
          <w:color w:val="0D0D0D"/>
        </w:rPr>
        <w:t>y=3 850 000+35x</w:t>
      </w:r>
    </w:p>
    <w:p>
      <w:pPr>
        <w:pStyle w:val="BodyText"/>
        <w:spacing w:before="7"/>
        <w:ind w:left="3330"/>
      </w:pPr>
      <w:r>
        <w:rPr>
          <w:color w:val="0D0D0D"/>
        </w:rPr>
        <w:t>③预测 2004 年产量为 86 000 件时的资金占有量为：3 850 000+35×86 000=6 860 000</w:t>
      </w:r>
    </w:p>
    <w:p>
      <w:pPr>
        <w:pStyle w:val="BodyText"/>
        <w:spacing w:before="9"/>
      </w:pPr>
      <w:r>
        <w:rPr>
          <w:color w:val="0D0D0D"/>
          <w:w w:val="102"/>
        </w:rPr>
        <w:t>元</w:t>
      </w:r>
    </w:p>
    <w:p>
      <w:pPr>
        <w:pStyle w:val="ListParagraph"/>
        <w:numPr>
          <w:ilvl w:val="0"/>
          <w:numId w:val="22"/>
        </w:numPr>
        <w:tabs>
          <w:tab w:val="left" w:pos="3494"/>
        </w:tabs>
        <w:spacing w:before="14" w:after="0" w:line="240" w:lineRule="auto"/>
        <w:ind w:left="3493" w:right="0" w:hanging="794"/>
        <w:jc w:val="left"/>
        <w:rPr>
          <w:sz w:val="31"/>
        </w:rPr>
      </w:pPr>
      <w:r>
        <w:rPr>
          <w:color w:val="0D0D0D"/>
          <w:spacing w:val="-10"/>
          <w:sz w:val="31"/>
        </w:rPr>
        <w:t xml:space="preserve">采用回归分析法预测 </w:t>
      </w:r>
      <w:r>
        <w:rPr>
          <w:color w:val="0D0D0D"/>
          <w:sz w:val="31"/>
        </w:rPr>
        <w:t>2004</w:t>
      </w:r>
      <w:r>
        <w:rPr>
          <w:color w:val="0D0D0D"/>
          <w:spacing w:val="-10"/>
          <w:sz w:val="31"/>
        </w:rPr>
        <w:t xml:space="preserve"> 年的资金占有量：</w:t>
      </w:r>
    </w:p>
    <w:p>
      <w:pPr>
        <w:pStyle w:val="BodyText"/>
        <w:spacing w:before="9"/>
        <w:ind w:left="3960"/>
      </w:pPr>
      <w:r>
        <w:rPr>
          <w:color w:val="0D0D0D"/>
        </w:rPr>
        <w:t>① 根据资料计算整理出下列计算表中数据。</w:t>
      </w:r>
    </w:p>
    <w:p>
      <w:pPr>
        <w:spacing w:after="0"/>
        <w:sectPr>
          <w:headerReference w:type="default" r:id="rId105"/>
          <w:footerReference w:type="default" r:id="rId106"/>
          <w:pgSz w:w="17860" w:h="25260"/>
          <w:pgMar w:top="1720" w:right="0" w:bottom="1940" w:left="0" w:header="1129" w:footer="1752"/>
          <w:pgNumType w:start="1"/>
          <w:cols w:space="708"/>
        </w:sectPr>
      </w:pPr>
    </w:p>
    <w:p>
      <w:pPr>
        <w:pStyle w:val="BodyText"/>
        <w:spacing w:before="2" w:after="1"/>
        <w:ind w:left="0"/>
        <w:rPr>
          <w:sz w:val="12"/>
        </w:rPr>
      </w:pPr>
    </w:p>
    <w:p>
      <w:pPr>
        <w:pStyle w:val="BodyText"/>
        <w:ind w:left="4164"/>
        <w:rPr>
          <w:sz w:val="20"/>
        </w:rPr>
      </w:pPr>
      <w:r>
        <w:rPr>
          <w:sz w:val="20"/>
        </w:rPr>
        <w:drawing>
          <wp:inline distT="0" distB="0" distL="0" distR="0">
            <wp:extent cx="6872397" cy="3643312"/>
            <wp:effectExtent l="0" t="0" r="0" b="0"/>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png"/>
                    <pic:cNvPicPr/>
                  </pic:nvPicPr>
                  <pic:blipFill>
                    <a:blip xmlns:r="http://schemas.openxmlformats.org/officeDocument/2006/relationships" r:embed="rId107" cstate="print"/>
                    <a:stretch>
                      <a:fillRect/>
                    </a:stretch>
                  </pic:blipFill>
                  <pic:spPr>
                    <a:xfrm>
                      <a:off x="0" y="0"/>
                      <a:ext cx="6872397" cy="3643312"/>
                    </a:xfrm>
                    <a:prstGeom prst="rect">
                      <a:avLst/>
                    </a:prstGeom>
                  </pic:spPr>
                </pic:pic>
              </a:graphicData>
            </a:graphic>
          </wp:inline>
        </w:drawing>
      </w:r>
    </w:p>
    <w:p>
      <w:pPr>
        <w:pStyle w:val="BodyText"/>
        <w:spacing w:before="53" w:after="19"/>
        <w:ind w:left="3334"/>
      </w:pPr>
      <w:r>
        <w:rPr>
          <w:color w:val="0D0D0D"/>
        </w:rPr>
        <w:t>将表中数据代入下列联立方程式：</w:t>
      </w:r>
    </w:p>
    <w:p>
      <w:pPr>
        <w:pStyle w:val="BodyText"/>
        <w:ind w:left="4139"/>
        <w:rPr>
          <w:sz w:val="20"/>
        </w:rPr>
      </w:pPr>
      <w:r>
        <w:rPr>
          <w:sz w:val="20"/>
        </w:rPr>
        <w:drawing>
          <wp:inline distT="0" distB="0" distL="0" distR="0">
            <wp:extent cx="5415023" cy="2211038"/>
            <wp:effectExtent l="0" t="0" r="0" b="0"/>
            <wp:docPr id="4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png"/>
                    <pic:cNvPicPr/>
                  </pic:nvPicPr>
                  <pic:blipFill>
                    <a:blip xmlns:r="http://schemas.openxmlformats.org/officeDocument/2006/relationships" r:embed="rId108" cstate="print"/>
                    <a:stretch>
                      <a:fillRect/>
                    </a:stretch>
                  </pic:blipFill>
                  <pic:spPr>
                    <a:xfrm>
                      <a:off x="0" y="0"/>
                      <a:ext cx="5415023" cy="2211038"/>
                    </a:xfrm>
                    <a:prstGeom prst="rect">
                      <a:avLst/>
                    </a:prstGeom>
                  </pic:spPr>
                </pic:pic>
              </a:graphicData>
            </a:graphic>
          </wp:inline>
        </w:drawing>
      </w:r>
    </w:p>
    <w:p>
      <w:pPr>
        <w:pStyle w:val="BodyText"/>
        <w:spacing w:before="43"/>
        <w:ind w:left="3175"/>
      </w:pPr>
      <w:r>
        <w:rPr>
          <w:color w:val="0D0D0D"/>
        </w:rPr>
        <w:t>② 预计 2004 年产量为 86 000 件时的资金占有量为： 3 720 000+36×86 000=6 816 000</w:t>
      </w:r>
    </w:p>
    <w:p>
      <w:pPr>
        <w:pStyle w:val="BodyText"/>
        <w:spacing w:before="10"/>
      </w:pPr>
      <w:r>
        <w:rPr>
          <w:color w:val="0D0D0D"/>
        </w:rPr>
        <w:t>（元）</w:t>
      </w:r>
    </w:p>
    <w:p>
      <w:pPr>
        <w:pStyle w:val="BodyText"/>
        <w:spacing w:before="13"/>
      </w:pPr>
      <w:r>
        <w:rPr>
          <w:color w:val="0D0D0D"/>
        </w:rPr>
        <w:t>（3）两种测算方法的差额 6 860 000—6 816 000=44 000（元）</w:t>
      </w:r>
    </w:p>
    <w:p>
      <w:pPr>
        <w:pStyle w:val="BodyText"/>
        <w:spacing w:before="10" w:line="244" w:lineRule="auto"/>
        <w:ind w:right="2435" w:firstLine="629"/>
      </w:pPr>
      <w:r>
        <w:rPr>
          <w:color w:val="0D0D0D"/>
        </w:rPr>
        <w:t>其原因是高低点法只考虑了2001 年和2003 年的情况，而回归分析法考虑了各年的情况， 一般而言，回归分析法的测算结果要比高低点法精确。</w:t>
      </w:r>
    </w:p>
    <w:p>
      <w:pPr>
        <w:pStyle w:val="BodyText"/>
        <w:ind w:left="0"/>
        <w:rPr>
          <w:sz w:val="20"/>
        </w:rPr>
      </w:pPr>
    </w:p>
    <w:p>
      <w:pPr>
        <w:pStyle w:val="BodyText"/>
        <w:ind w:left="0"/>
        <w:rPr>
          <w:sz w:val="20"/>
        </w:rPr>
      </w:pPr>
    </w:p>
    <w:p>
      <w:pPr>
        <w:pStyle w:val="BodyText"/>
        <w:ind w:left="0"/>
        <w:rPr>
          <w:sz w:val="20"/>
        </w:rPr>
      </w:pPr>
    </w:p>
    <w:p>
      <w:pPr>
        <w:pStyle w:val="BodyText"/>
        <w:spacing w:before="12"/>
        <w:ind w:left="0"/>
        <w:rPr>
          <w:sz w:val="26"/>
        </w:rPr>
      </w:pPr>
    </w:p>
    <w:p>
      <w:pPr>
        <w:spacing w:after="0"/>
        <w:rPr>
          <w:sz w:val="26"/>
        </w:rPr>
        <w:sectPr>
          <w:headerReference w:type="default" r:id="rId109"/>
          <w:footerReference w:type="default" r:id="rId110"/>
          <w:pgSz w:w="17860" w:h="25260"/>
          <w:pgMar w:top="1720" w:right="0" w:bottom="1940" w:left="0" w:header="1129" w:footer="1752"/>
          <w:pgNumType w:start="2"/>
          <w:cols w:space="708"/>
        </w:sectPr>
      </w:pPr>
    </w:p>
    <w:p>
      <w:pPr>
        <w:pStyle w:val="BodyText"/>
        <w:ind w:left="0"/>
        <w:rPr>
          <w:sz w:val="32"/>
        </w:rPr>
      </w:pPr>
    </w:p>
    <w:p>
      <w:pPr>
        <w:pStyle w:val="BodyText"/>
        <w:spacing w:before="7"/>
        <w:ind w:left="0"/>
        <w:rPr>
          <w:sz w:val="30"/>
        </w:rPr>
      </w:pPr>
    </w:p>
    <w:p>
      <w:pPr>
        <w:spacing w:before="0"/>
        <w:ind w:left="2700" w:right="0" w:firstLine="0"/>
        <w:jc w:val="left"/>
        <w:rPr>
          <w:b/>
          <w:sz w:val="31"/>
        </w:rPr>
      </w:pPr>
      <w:r>
        <w:rPr>
          <w:b/>
          <w:color w:val="0D0D0D"/>
          <w:sz w:val="31"/>
        </w:rPr>
        <w:t>一、单项选择题</w:t>
      </w:r>
    </w:p>
    <w:p>
      <w:pPr>
        <w:pStyle w:val="Heading1"/>
        <w:tabs>
          <w:tab w:val="left" w:pos="2891"/>
        </w:tabs>
      </w:pPr>
      <w:r>
        <w:rPr>
          <w:b w:val="0"/>
        </w:rPr>
        <w:br w:type="column"/>
      </w:r>
      <w:r>
        <w:rPr>
          <w:color w:val="0D0D0D"/>
        </w:rPr>
        <w:t>第五章</w:t>
        <w:tab/>
        <w:t>资金成本与资金结构</w:t>
      </w:r>
    </w:p>
    <w:p>
      <w:pPr>
        <w:spacing w:after="0"/>
        <w:sectPr>
          <w:headerReference w:type="default" r:id="rId111"/>
          <w:footerReference w:type="default" r:id="rId112"/>
          <w:type w:val="continuous"/>
          <w:pgSz w:w="17860" w:h="25260"/>
          <w:pgMar w:top="1720" w:right="0" w:bottom="1940" w:left="0" w:header="708" w:footer="708"/>
          <w:pgNumType w:start="3"/>
          <w:cols w:num="2" w:space="708" w:equalWidth="0">
            <w:col w:w="4919" w:space="40"/>
            <w:col w:w="12901" w:space="0"/>
          </w:cols>
        </w:sectPr>
      </w:pPr>
    </w:p>
    <w:p>
      <w:pPr>
        <w:pStyle w:val="BodyText"/>
        <w:spacing w:before="10" w:line="247" w:lineRule="auto"/>
        <w:ind w:right="2679"/>
      </w:pPr>
      <w:r>
        <w:rPr>
          <w:color w:val="0D0D0D"/>
        </w:rPr>
        <w:t>1、公司增发的普通股的市价为 10</w:t>
      </w:r>
      <w:r>
        <w:rPr>
          <w:color w:val="0D0D0D"/>
          <w:spacing w:val="22"/>
        </w:rPr>
        <w:t xml:space="preserve"> 元</w:t>
      </w:r>
      <w:r>
        <w:rPr>
          <w:color w:val="0D0D0D"/>
        </w:rPr>
        <w:t>/股，筹资费用率为市价的 6</w:t>
      </w:r>
      <w:r>
        <w:rPr>
          <w:color w:val="0D0D0D"/>
          <w:spacing w:val="-2"/>
        </w:rPr>
        <w:t>％，最近刚发放的股利为</w:t>
      </w:r>
      <w:r>
        <w:rPr>
          <w:color w:val="0D0D0D"/>
          <w:spacing w:val="-21"/>
        </w:rPr>
        <w:t xml:space="preserve">每股 </w:t>
      </w:r>
      <w:r>
        <w:rPr>
          <w:color w:val="0D0D0D"/>
        </w:rPr>
        <w:t>0.6</w:t>
      </w:r>
      <w:r>
        <w:rPr>
          <w:color w:val="0D0D0D"/>
          <w:spacing w:val="-5"/>
        </w:rPr>
        <w:t xml:space="preserve"> 元，已知该股标的资金成本率为</w:t>
      </w:r>
      <w:r>
        <w:rPr>
          <w:color w:val="0D0D0D"/>
        </w:rPr>
        <w:t xml:space="preserve">11％，则该股票的股利年增长率为（ </w:t>
      </w:r>
      <w:r>
        <w:rPr>
          <w:color w:val="0D0D0D"/>
          <w:spacing w:val="-159"/>
        </w:rPr>
        <w:t>）</w:t>
      </w:r>
      <w:r>
        <w:rPr>
          <w:color w:val="0D0D0D"/>
        </w:rPr>
        <w:t>。</w:t>
      </w:r>
    </w:p>
    <w:p>
      <w:pPr>
        <w:pStyle w:val="BodyText"/>
        <w:tabs>
          <w:tab w:val="left" w:pos="5065"/>
          <w:tab w:val="left" w:pos="7273"/>
          <w:tab w:val="left" w:pos="9635"/>
        </w:tabs>
        <w:spacing w:line="396" w:lineRule="exact"/>
        <w:ind w:left="3334"/>
      </w:pPr>
      <w:r>
        <w:rPr>
          <w:color w:val="0D0D0D"/>
          <w:spacing w:val="-4"/>
        </w:rPr>
        <w:t>A</w:t>
      </w:r>
      <w:r>
        <w:rPr>
          <w:color w:val="0D0D0D"/>
        </w:rPr>
        <w:t>、5％</w:t>
        <w:tab/>
        <w:t>B</w:t>
      </w:r>
      <w:r>
        <w:rPr>
          <w:color w:val="0D0D0D"/>
          <w:spacing w:val="-4"/>
        </w:rPr>
        <w:t>、</w:t>
      </w:r>
      <w:r>
        <w:rPr>
          <w:color w:val="0D0D0D"/>
        </w:rPr>
        <w:t>4.34％</w:t>
        <w:tab/>
        <w:t>C</w:t>
      </w:r>
      <w:r>
        <w:rPr>
          <w:color w:val="0D0D0D"/>
          <w:spacing w:val="-4"/>
        </w:rPr>
        <w:t>、</w:t>
      </w:r>
      <w:r>
        <w:rPr>
          <w:color w:val="0D0D0D"/>
        </w:rPr>
        <w:t>5.685％</w:t>
        <w:tab/>
      </w:r>
      <w:r>
        <w:rPr>
          <w:color w:val="0D0D0D"/>
          <w:spacing w:val="-4"/>
        </w:rPr>
        <w:t>D</w:t>
      </w:r>
      <w:r>
        <w:rPr>
          <w:color w:val="0D0D0D"/>
        </w:rPr>
        <w:t>、10.34％</w:t>
      </w:r>
    </w:p>
    <w:p>
      <w:pPr>
        <w:spacing w:before="13"/>
        <w:ind w:left="3330" w:right="0" w:firstLine="0"/>
        <w:jc w:val="left"/>
        <w:rPr>
          <w:sz w:val="31"/>
        </w:rPr>
      </w:pPr>
      <w:r>
        <w:drawing>
          <wp:anchor distT="0" distB="0" distL="0" distR="0" simplePos="0" relativeHeight="251672576" behindDoc="1" locked="0" layoutInCell="1" allowOverlap="1">
            <wp:simplePos x="0" y="0"/>
            <wp:positionH relativeFrom="page">
              <wp:posOffset>4670171</wp:posOffset>
            </wp:positionH>
            <wp:positionV relativeFrom="paragraph">
              <wp:posOffset>281685</wp:posOffset>
            </wp:positionV>
            <wp:extent cx="1260094" cy="544195"/>
            <wp:effectExtent l="0" t="0" r="0" b="0"/>
            <wp:wrapNone/>
            <wp:docPr id="4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4.png"/>
                    <pic:cNvPicPr/>
                  </pic:nvPicPr>
                  <pic:blipFill>
                    <a:blip xmlns:r="http://schemas.openxmlformats.org/officeDocument/2006/relationships" r:embed="rId113" cstate="print"/>
                    <a:stretch>
                      <a:fillRect/>
                    </a:stretch>
                  </pic:blipFill>
                  <pic:spPr>
                    <a:xfrm>
                      <a:off x="0" y="0"/>
                      <a:ext cx="1260094" cy="544195"/>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6926580</wp:posOffset>
            </wp:positionH>
            <wp:positionV relativeFrom="paragraph">
              <wp:posOffset>281685</wp:posOffset>
            </wp:positionV>
            <wp:extent cx="1600200" cy="542925"/>
            <wp:effectExtent l="0" t="0" r="0" b="0"/>
            <wp:wrapNone/>
            <wp:docPr id="4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5.png"/>
                    <pic:cNvPicPr/>
                  </pic:nvPicPr>
                  <pic:blipFill>
                    <a:blip xmlns:r="http://schemas.openxmlformats.org/officeDocument/2006/relationships" r:embed="rId114" cstate="print"/>
                    <a:stretch>
                      <a:fillRect/>
                    </a:stretch>
                  </pic:blipFill>
                  <pic:spPr>
                    <a:xfrm>
                      <a:off x="0" y="0"/>
                      <a:ext cx="1600200" cy="542925"/>
                    </a:xfrm>
                    <a:prstGeom prst="rect">
                      <a:avLst/>
                    </a:prstGeom>
                  </pic:spPr>
                </pic:pic>
              </a:graphicData>
            </a:graphic>
          </wp:anchor>
        </w:drawing>
      </w:r>
      <w:r>
        <w:rPr>
          <w:b/>
          <w:color w:val="0D0D0D"/>
          <w:sz w:val="31"/>
        </w:rPr>
        <w:t>答案:</w:t>
      </w:r>
      <w:r>
        <w:rPr>
          <w:color w:val="0D0D0D"/>
          <w:sz w:val="31"/>
        </w:rPr>
        <w:t>B</w:t>
      </w:r>
    </w:p>
    <w:p>
      <w:pPr>
        <w:pStyle w:val="BodyText"/>
        <w:ind w:left="0"/>
        <w:rPr>
          <w:sz w:val="32"/>
        </w:rPr>
      </w:pPr>
    </w:p>
    <w:p>
      <w:pPr>
        <w:pStyle w:val="BodyText"/>
        <w:tabs>
          <w:tab w:val="left" w:pos="9368"/>
          <w:tab w:val="left" w:pos="13463"/>
        </w:tabs>
        <w:spacing w:before="273"/>
        <w:ind w:left="3363"/>
      </w:pPr>
      <w:r>
        <w:rPr>
          <w:b/>
          <w:color w:val="0D0D0D"/>
        </w:rPr>
        <w:t>解</w:t>
      </w:r>
      <w:r>
        <w:rPr>
          <w:b/>
          <w:color w:val="0D0D0D"/>
          <w:spacing w:val="61"/>
        </w:rPr>
        <w:t>析</w:t>
      </w:r>
      <w:r>
        <w:rPr>
          <w:b/>
          <w:color w:val="0D0D0D"/>
        </w:rPr>
        <w:t>:</w:t>
      </w:r>
      <w:r>
        <w:rPr>
          <w:b/>
          <w:color w:val="0D0D0D"/>
          <w:spacing w:val="-114"/>
        </w:rPr>
        <w:t xml:space="preserve"> </w:t>
      </w:r>
      <w:r>
        <w:rPr>
          <w:color w:val="0D0D0D"/>
        </w:rPr>
        <w:t>股票的资本成本率＝</w:t>
        <w:tab/>
        <w:t>即</w:t>
      </w:r>
      <w:r>
        <w:rPr>
          <w:color w:val="0D0D0D"/>
          <w:spacing w:val="45"/>
        </w:rPr>
        <w:t xml:space="preserve"> </w:t>
      </w:r>
      <w:r>
        <w:rPr>
          <w:color w:val="0D0D0D"/>
        </w:rPr>
        <w:t>11</w:t>
      </w:r>
      <w:r>
        <w:rPr>
          <w:color w:val="0D0D0D"/>
          <w:spacing w:val="-125"/>
        </w:rPr>
        <w:t xml:space="preserve"> </w:t>
      </w:r>
      <w:r>
        <w:rPr>
          <w:color w:val="0D0D0D"/>
        </w:rPr>
        <w:t>％＝</w:t>
        <w:tab/>
        <w:t>，计算得出</w:t>
      </w:r>
    </w:p>
    <w:p>
      <w:pPr>
        <w:pStyle w:val="BodyText"/>
        <w:spacing w:before="14"/>
      </w:pPr>
      <w:r>
        <w:rPr>
          <w:color w:val="0D0D0D"/>
        </w:rPr>
        <w:t>g=4.34%</w:t>
      </w:r>
    </w:p>
    <w:p>
      <w:pPr>
        <w:pStyle w:val="BodyText"/>
        <w:spacing w:before="9" w:line="247" w:lineRule="auto"/>
        <w:ind w:right="2686"/>
      </w:pPr>
      <w:r>
        <w:rPr>
          <w:color w:val="0D0D0D"/>
          <w:w w:val="102"/>
        </w:rPr>
        <w:t>2</w:t>
      </w:r>
      <w:r>
        <w:rPr>
          <w:color w:val="0D0D0D"/>
          <w:spacing w:val="2"/>
          <w:w w:val="102"/>
        </w:rPr>
        <w:t>、某企业的产权比率为</w:t>
      </w:r>
      <w:r>
        <w:rPr>
          <w:color w:val="0D0D0D"/>
          <w:w w:val="102"/>
        </w:rPr>
        <w:t>4</w:t>
      </w:r>
      <w:r>
        <w:rPr>
          <w:color w:val="0D0D0D"/>
          <w:spacing w:val="-8"/>
          <w:w w:val="102"/>
        </w:rPr>
        <w:t>0</w:t>
      </w:r>
      <w:r>
        <w:rPr>
          <w:color w:val="0D0D0D"/>
          <w:w w:val="102"/>
        </w:rPr>
        <w:t>％（按市场价格计算</w:t>
      </w:r>
      <w:r>
        <w:rPr>
          <w:color w:val="0D0D0D"/>
          <w:spacing w:val="-209"/>
          <w:w w:val="102"/>
        </w:rPr>
        <w:t>）</w:t>
      </w:r>
      <w:r>
        <w:rPr>
          <w:color w:val="0D0D0D"/>
          <w:spacing w:val="4"/>
          <w:w w:val="102"/>
        </w:rPr>
        <w:t>，债务平均利率为</w:t>
      </w:r>
      <w:r>
        <w:rPr>
          <w:color w:val="0D0D0D"/>
          <w:w w:val="102"/>
        </w:rPr>
        <w:t>15.1</w:t>
      </w:r>
      <w:r>
        <w:rPr>
          <w:color w:val="0D0D0D"/>
          <w:spacing w:val="-8"/>
          <w:w w:val="102"/>
        </w:rPr>
        <w:t>5％，股东权益资金</w:t>
      </w:r>
      <w:r>
        <w:rPr>
          <w:color w:val="0D0D0D"/>
          <w:spacing w:val="-20"/>
        </w:rPr>
        <w:t xml:space="preserve">成本是 </w:t>
      </w:r>
      <w:r>
        <w:rPr>
          <w:color w:val="0D0D0D"/>
        </w:rPr>
        <w:t>20</w:t>
      </w:r>
      <w:r>
        <w:rPr>
          <w:color w:val="0D0D0D"/>
          <w:spacing w:val="-10"/>
        </w:rPr>
        <w:t xml:space="preserve">％，所得税税率为 </w:t>
      </w:r>
      <w:r>
        <w:rPr>
          <w:color w:val="0D0D0D"/>
        </w:rPr>
        <w:t xml:space="preserve">33％，则加权平均资金成本为（ </w:t>
      </w:r>
      <w:r>
        <w:rPr>
          <w:color w:val="0D0D0D"/>
          <w:spacing w:val="-162"/>
        </w:rPr>
        <w:t>）</w:t>
      </w:r>
      <w:r>
        <w:rPr>
          <w:color w:val="0D0D0D"/>
        </w:rPr>
        <w:t>。</w:t>
      </w:r>
    </w:p>
    <w:p>
      <w:pPr>
        <w:pStyle w:val="BodyText"/>
        <w:tabs>
          <w:tab w:val="left" w:pos="5696"/>
          <w:tab w:val="left" w:pos="8058"/>
          <w:tab w:val="left" w:pos="10423"/>
        </w:tabs>
        <w:spacing w:line="396" w:lineRule="exact"/>
        <w:ind w:left="3334"/>
      </w:pPr>
      <w:r>
        <w:rPr>
          <w:color w:val="0D0D0D"/>
          <w:spacing w:val="-4"/>
        </w:rPr>
        <w:t>A</w:t>
      </w:r>
      <w:r>
        <w:rPr>
          <w:color w:val="0D0D0D"/>
        </w:rPr>
        <w:t>、17.19％</w:t>
        <w:tab/>
        <w:t>B</w:t>
      </w:r>
      <w:r>
        <w:rPr>
          <w:color w:val="0D0D0D"/>
          <w:spacing w:val="-4"/>
        </w:rPr>
        <w:t>、</w:t>
      </w:r>
      <w:r>
        <w:rPr>
          <w:color w:val="0D0D0D"/>
        </w:rPr>
        <w:t>16.06％</w:t>
        <w:tab/>
        <w:t>C</w:t>
      </w:r>
      <w:r>
        <w:rPr>
          <w:color w:val="0D0D0D"/>
          <w:spacing w:val="-4"/>
        </w:rPr>
        <w:t>、</w:t>
      </w:r>
      <w:r>
        <w:rPr>
          <w:color w:val="0D0D0D"/>
        </w:rPr>
        <w:t>18.45％</w:t>
        <w:tab/>
      </w:r>
      <w:r>
        <w:rPr>
          <w:color w:val="0D0D0D"/>
          <w:spacing w:val="-4"/>
        </w:rPr>
        <w:t>D</w:t>
      </w:r>
      <w:r>
        <w:rPr>
          <w:color w:val="0D0D0D"/>
        </w:rPr>
        <w:t>、18.55％</w:t>
      </w:r>
    </w:p>
    <w:p>
      <w:pPr>
        <w:spacing w:before="13"/>
        <w:ind w:left="3330" w:right="0" w:firstLine="0"/>
        <w:jc w:val="left"/>
        <w:rPr>
          <w:sz w:val="31"/>
        </w:rPr>
      </w:pPr>
      <w:r>
        <w:rPr>
          <w:b/>
          <w:color w:val="0D0D0D"/>
          <w:sz w:val="31"/>
        </w:rPr>
        <w:t>答案:</w:t>
      </w:r>
      <w:r>
        <w:rPr>
          <w:color w:val="0D0D0D"/>
          <w:sz w:val="31"/>
        </w:rPr>
        <w:t>A</w:t>
      </w:r>
    </w:p>
    <w:p>
      <w:pPr>
        <w:pStyle w:val="BodyText"/>
        <w:spacing w:before="10" w:line="247" w:lineRule="auto"/>
        <w:ind w:right="2517" w:firstLine="629"/>
      </w:pPr>
      <w:r>
        <w:rPr>
          <w:b/>
          <w:color w:val="0D0D0D"/>
        </w:rPr>
        <w:t>解析:</w:t>
      </w:r>
      <w:r>
        <w:rPr>
          <w:color w:val="0D0D0D"/>
        </w:rPr>
        <w:t>（1）产权比率＝</w:t>
      </w:r>
      <w:r>
        <w:rPr>
          <w:color w:val="0D0D0D"/>
          <w:spacing w:val="-3"/>
        </w:rPr>
        <w:t>负债总额</w:t>
      </w:r>
      <w:r>
        <w:rPr>
          <w:color w:val="0D0D0D"/>
          <w:spacing w:val="-4"/>
        </w:rPr>
        <w:t>/</w:t>
      </w:r>
      <w:r>
        <w:rPr>
          <w:color w:val="0D0D0D"/>
        </w:rPr>
        <w:t>所有者权益×100％，</w:t>
      </w:r>
      <w:r>
        <w:rPr>
          <w:color w:val="0D0D0D"/>
          <w:spacing w:val="11"/>
        </w:rPr>
        <w:t xml:space="preserve">根据产权比率为 </w:t>
      </w:r>
      <w:r>
        <w:rPr>
          <w:color w:val="0D0D0D"/>
        </w:rPr>
        <w:t>40％可知，负债＝0.4</w:t>
      </w:r>
      <w:r>
        <w:rPr>
          <w:color w:val="0D0D0D"/>
          <w:spacing w:val="-2"/>
        </w:rPr>
        <w:t>×所有者权益，因此，在资金结构中，负债资金占的比例为：负债</w:t>
      </w:r>
      <w:r>
        <w:rPr>
          <w:color w:val="0D0D0D"/>
        </w:rPr>
        <w:t>/（</w:t>
      </w:r>
      <w:r>
        <w:rPr>
          <w:color w:val="0D0D0D"/>
          <w:spacing w:val="-2"/>
        </w:rPr>
        <w:t>负债+所有者 权益</w:t>
      </w:r>
      <w:r>
        <w:rPr>
          <w:color w:val="0D0D0D"/>
          <w:spacing w:val="-8"/>
        </w:rPr>
        <w:t>）＝0.4</w:t>
      </w:r>
      <w:r>
        <w:rPr>
          <w:color w:val="0D0D0D"/>
          <w:spacing w:val="-5"/>
        </w:rPr>
        <w:t>×所有者权益</w:t>
      </w:r>
      <w:r>
        <w:rPr>
          <w:color w:val="0D0D0D"/>
          <w:spacing w:val="-7"/>
        </w:rPr>
        <w:t>/（0.4</w:t>
      </w:r>
      <w:r>
        <w:rPr>
          <w:color w:val="0D0D0D"/>
          <w:spacing w:val="-4"/>
        </w:rPr>
        <w:t>×所有者权益+所有者权益</w:t>
      </w:r>
      <w:r>
        <w:rPr>
          <w:color w:val="0D0D0D"/>
          <w:spacing w:val="-15"/>
        </w:rPr>
        <w:t>）＝2/7</w:t>
      </w:r>
      <w:r>
        <w:rPr>
          <w:color w:val="0D0D0D"/>
          <w:spacing w:val="-5"/>
        </w:rPr>
        <w:t xml:space="preserve">，权益资金占的比例为： </w:t>
      </w:r>
      <w:r>
        <w:rPr>
          <w:color w:val="0D0D0D"/>
          <w:spacing w:val="-2"/>
          <w:w w:val="102"/>
        </w:rPr>
        <w:t>所有者权益</w:t>
      </w:r>
      <w:r>
        <w:rPr>
          <w:color w:val="0D0D0D"/>
          <w:spacing w:val="-123"/>
          <w:w w:val="102"/>
        </w:rPr>
        <w:t>/</w:t>
      </w:r>
      <w:r>
        <w:rPr>
          <w:color w:val="0D0D0D"/>
          <w:w w:val="102"/>
        </w:rPr>
        <w:t>（</w:t>
      </w:r>
      <w:r>
        <w:rPr>
          <w:color w:val="0D0D0D"/>
          <w:spacing w:val="-3"/>
          <w:w w:val="102"/>
        </w:rPr>
        <w:t>负债+所有者权益</w:t>
      </w:r>
      <w:r>
        <w:rPr>
          <w:color w:val="0D0D0D"/>
          <w:spacing w:val="-133"/>
          <w:w w:val="102"/>
        </w:rPr>
        <w:t>）</w:t>
      </w:r>
      <w:r>
        <w:rPr>
          <w:color w:val="0D0D0D"/>
          <w:w w:val="102"/>
        </w:rPr>
        <w:t>＝</w:t>
      </w:r>
      <w:r>
        <w:rPr>
          <w:color w:val="0D0D0D"/>
          <w:spacing w:val="-3"/>
          <w:w w:val="102"/>
        </w:rPr>
        <w:t>所有者权益</w:t>
      </w:r>
      <w:r>
        <w:rPr>
          <w:color w:val="0D0D0D"/>
          <w:spacing w:val="-123"/>
          <w:w w:val="102"/>
        </w:rPr>
        <w:t>/</w:t>
      </w:r>
      <w:r>
        <w:rPr>
          <w:color w:val="0D0D0D"/>
          <w:spacing w:val="-4"/>
          <w:w w:val="102"/>
        </w:rPr>
        <w:t>（</w:t>
      </w:r>
      <w:r>
        <w:rPr>
          <w:color w:val="0D0D0D"/>
          <w:w w:val="102"/>
        </w:rPr>
        <w:t>0.</w:t>
      </w:r>
      <w:r>
        <w:rPr>
          <w:color w:val="0D0D0D"/>
          <w:spacing w:val="-4"/>
          <w:w w:val="102"/>
        </w:rPr>
        <w:t>4</w:t>
      </w:r>
      <w:r>
        <w:rPr>
          <w:color w:val="0D0D0D"/>
          <w:spacing w:val="-3"/>
          <w:w w:val="102"/>
        </w:rPr>
        <w:t>×所有者权益+所有者权益</w:t>
      </w:r>
      <w:r>
        <w:rPr>
          <w:color w:val="0D0D0D"/>
          <w:spacing w:val="-133"/>
          <w:w w:val="102"/>
        </w:rPr>
        <w:t>）</w:t>
      </w:r>
      <w:r>
        <w:rPr>
          <w:color w:val="0D0D0D"/>
          <w:w w:val="102"/>
        </w:rPr>
        <w:t>＝5/7</w:t>
      </w:r>
      <w:r>
        <w:rPr>
          <w:color w:val="0D0D0D"/>
          <w:spacing w:val="-127"/>
        </w:rPr>
        <w:t xml:space="preserve"> </w:t>
      </w:r>
      <w:r>
        <w:rPr>
          <w:color w:val="0D0D0D"/>
          <w:w w:val="102"/>
        </w:rPr>
        <w:t>（2）</w:t>
      </w:r>
      <w:r>
        <w:rPr>
          <w:color w:val="0D0D0D"/>
        </w:rPr>
        <w:t>因为负债利息可以抵减所得税，所以，债务资金的平均成本</w:t>
      </w:r>
      <w:r>
        <w:rPr>
          <w:color w:val="0D0D0D"/>
          <w:spacing w:val="-4"/>
        </w:rPr>
        <w:t>＝15.15％×（1-33％）</w:t>
      </w:r>
      <w:r>
        <w:rPr>
          <w:color w:val="0D0D0D"/>
        </w:rPr>
        <w:t>注意：</w:t>
      </w:r>
    </w:p>
    <w:p>
      <w:pPr>
        <w:spacing w:after="0" w:line="247" w:lineRule="auto"/>
        <w:sectPr>
          <w:headerReference w:type="default" r:id="rId115"/>
          <w:footerReference w:type="default" r:id="rId116"/>
          <w:type w:val="continuous"/>
          <w:pgSz w:w="17860" w:h="25260"/>
          <w:pgMar w:top="1720" w:right="0" w:bottom="1940" w:left="0" w:header="708" w:footer="708"/>
          <w:pgNumType w:start="4"/>
          <w:cols w:space="708"/>
        </w:sectPr>
      </w:pPr>
    </w:p>
    <w:p>
      <w:pPr>
        <w:pStyle w:val="BodyText"/>
        <w:spacing w:before="3"/>
        <w:ind w:left="0"/>
        <w:rPr>
          <w:sz w:val="8"/>
        </w:rPr>
      </w:pPr>
    </w:p>
    <w:p>
      <w:pPr>
        <w:pStyle w:val="BodyText"/>
        <w:spacing w:before="63" w:line="247" w:lineRule="auto"/>
        <w:ind w:right="2681"/>
      </w:pPr>
      <w:r>
        <w:rPr>
          <w:color w:val="0D0D0D"/>
          <w:w w:val="102"/>
        </w:rPr>
        <w:t>如果题中没有给出“筹资费率</w:t>
      </w:r>
      <w:r>
        <w:rPr>
          <w:color w:val="0D0D0D"/>
          <w:spacing w:val="-14"/>
          <w:w w:val="102"/>
        </w:rPr>
        <w:t>”，则计算资金成本时认为筹资费率</w:t>
      </w:r>
      <w:r>
        <w:rPr>
          <w:color w:val="0D0D0D"/>
          <w:spacing w:val="-14"/>
        </w:rPr>
        <w:t xml:space="preserve"> </w:t>
      </w:r>
      <w:r>
        <w:rPr>
          <w:color w:val="0D0D0D"/>
          <w:w w:val="102"/>
        </w:rPr>
        <w:t>f</w:t>
      </w:r>
      <w:r>
        <w:rPr>
          <w:color w:val="0D0D0D"/>
          <w:spacing w:val="-1"/>
          <w:w w:val="102"/>
        </w:rPr>
        <w:t>＝</w:t>
      </w:r>
      <w:r>
        <w:rPr>
          <w:color w:val="0D0D0D"/>
          <w:w w:val="102"/>
        </w:rPr>
        <w:t>0</w:t>
      </w:r>
      <w:r>
        <w:rPr>
          <w:color w:val="0D0D0D"/>
        </w:rPr>
        <w:t xml:space="preserve"> </w:t>
      </w:r>
      <w:r>
        <w:rPr>
          <w:color w:val="0D0D0D"/>
          <w:spacing w:val="-2"/>
          <w:w w:val="102"/>
        </w:rPr>
        <w:t>因此，加权平均资</w:t>
      </w:r>
      <w:r>
        <w:rPr>
          <w:color w:val="0D0D0D"/>
        </w:rPr>
        <w:t>金成本＝2/7×15.15％×（1-33％）+5/7×20％＝17.19％</w:t>
      </w:r>
    </w:p>
    <w:p>
      <w:pPr>
        <w:pStyle w:val="BodyText"/>
        <w:spacing w:line="244" w:lineRule="auto"/>
        <w:ind w:right="2679"/>
      </w:pPr>
      <w:r>
        <w:rPr>
          <w:color w:val="0D0D0D"/>
        </w:rPr>
        <w:t>3</w:t>
      </w:r>
      <w:r>
        <w:rPr>
          <w:color w:val="0D0D0D"/>
          <w:spacing w:val="-3"/>
        </w:rPr>
        <w:t xml:space="preserve">、大华公司按面值发行 </w:t>
      </w:r>
      <w:r>
        <w:rPr>
          <w:color w:val="0D0D0D"/>
        </w:rPr>
        <w:t>100</w:t>
      </w:r>
      <w:r>
        <w:rPr>
          <w:color w:val="0D0D0D"/>
          <w:spacing w:val="-6"/>
        </w:rPr>
        <w:t xml:space="preserve"> 万元的优先股，筹资费率为 </w:t>
      </w:r>
      <w:r>
        <w:rPr>
          <w:color w:val="0D0D0D"/>
        </w:rPr>
        <w:t>2</w:t>
      </w:r>
      <w:r>
        <w:rPr>
          <w:color w:val="0D0D0D"/>
          <w:spacing w:val="-3"/>
        </w:rPr>
        <w:t xml:space="preserve">％，每年支付 </w:t>
      </w:r>
      <w:r>
        <w:rPr>
          <w:color w:val="0D0D0D"/>
        </w:rPr>
        <w:t>10</w:t>
      </w:r>
      <w:r>
        <w:rPr>
          <w:color w:val="0D0D0D"/>
          <w:spacing w:val="-3"/>
        </w:rPr>
        <w:t>％的股利，若该</w:t>
      </w:r>
      <w:r>
        <w:rPr>
          <w:color w:val="0D0D0D"/>
          <w:spacing w:val="-10"/>
        </w:rPr>
        <w:t xml:space="preserve">公司的所得税率为 </w:t>
      </w:r>
      <w:r>
        <w:rPr>
          <w:color w:val="0D0D0D"/>
        </w:rPr>
        <w:t xml:space="preserve">30％，则优先股的成本为（ </w:t>
      </w:r>
      <w:r>
        <w:rPr>
          <w:color w:val="0D0D0D"/>
          <w:spacing w:val="-159"/>
        </w:rPr>
        <w:t>）</w:t>
      </w:r>
      <w:r>
        <w:rPr>
          <w:color w:val="0D0D0D"/>
        </w:rPr>
        <w:t>。</w:t>
      </w:r>
    </w:p>
    <w:p>
      <w:pPr>
        <w:pStyle w:val="BodyText"/>
        <w:tabs>
          <w:tab w:val="left" w:pos="5537"/>
          <w:tab w:val="left" w:pos="7428"/>
          <w:tab w:val="left" w:pos="9790"/>
        </w:tabs>
        <w:spacing w:before="6" w:line="244" w:lineRule="auto"/>
        <w:ind w:left="3330" w:right="6963" w:firstLine="3"/>
      </w:pPr>
      <w:r>
        <w:drawing>
          <wp:anchor distT="0" distB="0" distL="0" distR="0" simplePos="0" relativeHeight="251674624" behindDoc="0" locked="0" layoutInCell="1" allowOverlap="1">
            <wp:simplePos x="0" y="0"/>
            <wp:positionH relativeFrom="page">
              <wp:posOffset>3616578</wp:posOffset>
            </wp:positionH>
            <wp:positionV relativeFrom="paragraph">
              <wp:posOffset>512699</wp:posOffset>
            </wp:positionV>
            <wp:extent cx="4542409" cy="733424"/>
            <wp:effectExtent l="0" t="0" r="0" b="0"/>
            <wp:wrapNone/>
            <wp:docPr id="4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6.png"/>
                    <pic:cNvPicPr/>
                  </pic:nvPicPr>
                  <pic:blipFill>
                    <a:blip xmlns:r="http://schemas.openxmlformats.org/officeDocument/2006/relationships" r:embed="rId117" cstate="print"/>
                    <a:stretch>
                      <a:fillRect/>
                    </a:stretch>
                  </pic:blipFill>
                  <pic:spPr>
                    <a:xfrm>
                      <a:off x="0" y="0"/>
                      <a:ext cx="4542409" cy="733424"/>
                    </a:xfrm>
                    <a:prstGeom prst="rect">
                      <a:avLst/>
                    </a:prstGeom>
                  </pic:spPr>
                </pic:pic>
              </a:graphicData>
            </a:graphic>
          </wp:anchor>
        </w:drawing>
      </w:r>
      <w:r>
        <w:rPr>
          <w:color w:val="0D0D0D"/>
          <w:spacing w:val="-4"/>
        </w:rPr>
        <w:t>A</w:t>
      </w:r>
      <w:r>
        <w:rPr>
          <w:color w:val="0D0D0D"/>
        </w:rPr>
        <w:t>、7.37％</w:t>
        <w:tab/>
        <w:t>B、</w:t>
      </w:r>
      <w:r>
        <w:rPr>
          <w:color w:val="0D0D0D"/>
          <w:spacing w:val="-3"/>
        </w:rPr>
        <w:t>10％</w:t>
        <w:tab/>
      </w:r>
      <w:r>
        <w:rPr>
          <w:color w:val="0D0D0D"/>
        </w:rPr>
        <w:t>C</w:t>
      </w:r>
      <w:r>
        <w:rPr>
          <w:color w:val="0D0D0D"/>
          <w:spacing w:val="-4"/>
        </w:rPr>
        <w:t>、</w:t>
      </w:r>
      <w:r>
        <w:rPr>
          <w:color w:val="0D0D0D"/>
        </w:rPr>
        <w:t>10.20％</w:t>
        <w:tab/>
      </w:r>
      <w:r>
        <w:rPr>
          <w:color w:val="0D0D0D"/>
          <w:spacing w:val="-4"/>
        </w:rPr>
        <w:t>D</w:t>
      </w:r>
      <w:r>
        <w:rPr>
          <w:color w:val="0D0D0D"/>
        </w:rPr>
        <w:t>、</w:t>
      </w:r>
      <w:r>
        <w:rPr>
          <w:color w:val="0D0D0D"/>
          <w:spacing w:val="-6"/>
        </w:rPr>
        <w:t xml:space="preserve">15％ </w:t>
      </w:r>
      <w:r>
        <w:rPr>
          <w:b/>
          <w:color w:val="0D0D0D"/>
        </w:rPr>
        <w:t>答案:</w:t>
      </w:r>
      <w:r>
        <w:rPr>
          <w:color w:val="0D0D0D"/>
        </w:rPr>
        <w:t>C</w:t>
      </w:r>
    </w:p>
    <w:p>
      <w:pPr>
        <w:pStyle w:val="BodyText"/>
        <w:ind w:left="0"/>
        <w:rPr>
          <w:sz w:val="32"/>
        </w:rPr>
      </w:pPr>
    </w:p>
    <w:p>
      <w:pPr>
        <w:pStyle w:val="BodyText"/>
        <w:spacing w:before="5"/>
        <w:ind w:left="0"/>
        <w:rPr>
          <w:sz w:val="35"/>
        </w:rPr>
      </w:pPr>
    </w:p>
    <w:p>
      <w:pPr>
        <w:spacing w:before="0"/>
        <w:ind w:left="3013" w:right="0" w:firstLine="0"/>
        <w:jc w:val="left"/>
        <w:rPr>
          <w:sz w:val="31"/>
        </w:rPr>
      </w:pPr>
      <w:r>
        <w:rPr>
          <w:b/>
          <w:color w:val="0D0D0D"/>
          <w:sz w:val="31"/>
        </w:rPr>
        <w:t>解析:</w:t>
      </w:r>
      <w:r>
        <w:rPr>
          <w:color w:val="0D0D0D"/>
          <w:sz w:val="31"/>
        </w:rPr>
        <w:t>优先股成本＝</w:t>
      </w:r>
    </w:p>
    <w:p>
      <w:pPr>
        <w:pStyle w:val="BodyText"/>
        <w:spacing w:before="10"/>
      </w:pPr>
      <w:r>
        <w:rPr>
          <w:color w:val="0D0D0D"/>
        </w:rPr>
        <w:t xml:space="preserve">4、财务杠杆系数不等于（ </w:t>
      </w:r>
      <w:r>
        <w:rPr>
          <w:color w:val="0D0D0D"/>
          <w:spacing w:val="-159"/>
        </w:rPr>
        <w:t>）</w:t>
      </w:r>
      <w:r>
        <w:rPr>
          <w:color w:val="0D0D0D"/>
        </w:rPr>
        <w:t>。</w:t>
      </w:r>
    </w:p>
    <w:p>
      <w:pPr>
        <w:pStyle w:val="BodyText"/>
        <w:spacing w:before="13" w:line="244" w:lineRule="auto"/>
        <w:ind w:left="3334" w:right="8209"/>
      </w:pPr>
      <w:r>
        <w:rPr>
          <w:color w:val="0D0D0D"/>
          <w:spacing w:val="-4"/>
        </w:rPr>
        <w:t>A</w:t>
      </w:r>
      <w:r>
        <w:rPr>
          <w:color w:val="0D0D0D"/>
          <w:spacing w:val="-2"/>
        </w:rPr>
        <w:t>、普通股每股利润变动率</w:t>
      </w:r>
      <w:r>
        <w:rPr>
          <w:color w:val="0D0D0D"/>
          <w:spacing w:val="-4"/>
        </w:rPr>
        <w:t>/</w:t>
      </w:r>
      <w:r>
        <w:rPr>
          <w:color w:val="0D0D0D"/>
          <w:spacing w:val="-2"/>
        </w:rPr>
        <w:t xml:space="preserve">息税前利润变动率 </w:t>
      </w:r>
      <w:r>
        <w:rPr>
          <w:color w:val="0D0D0D"/>
          <w:spacing w:val="-4"/>
        </w:rPr>
        <w:t>B</w:t>
      </w:r>
      <w:r>
        <w:rPr>
          <w:color w:val="0D0D0D"/>
          <w:spacing w:val="-2"/>
        </w:rPr>
        <w:t>、息税前利润变动率</w:t>
      </w:r>
      <w:r>
        <w:rPr>
          <w:color w:val="0D0D0D"/>
        </w:rPr>
        <w:t>/</w:t>
      </w:r>
      <w:r>
        <w:rPr>
          <w:color w:val="0D0D0D"/>
          <w:spacing w:val="-2"/>
        </w:rPr>
        <w:t>普通股每股利润变动率</w:t>
      </w:r>
    </w:p>
    <w:p>
      <w:pPr>
        <w:pStyle w:val="BodyText"/>
        <w:spacing w:before="7" w:line="244" w:lineRule="auto"/>
        <w:ind w:left="3334" w:right="3019"/>
      </w:pPr>
      <w:r>
        <w:rPr>
          <w:color w:val="0D0D0D"/>
          <w:spacing w:val="-4"/>
        </w:rPr>
        <w:t>C</w:t>
      </w:r>
      <w:r>
        <w:rPr>
          <w:color w:val="0D0D0D"/>
          <w:spacing w:val="-2"/>
        </w:rPr>
        <w:t>、息税前利润</w:t>
      </w:r>
      <w:r>
        <w:rPr>
          <w:color w:val="0D0D0D"/>
          <w:spacing w:val="-4"/>
        </w:rPr>
        <w:t>/</w:t>
      </w:r>
      <w:r>
        <w:rPr>
          <w:color w:val="0D0D0D"/>
          <w:spacing w:val="-6"/>
        </w:rPr>
        <w:t>〔息税前利润-利息-融资租赁租金-优先股股利</w:t>
      </w:r>
      <w:r>
        <w:rPr>
          <w:color w:val="0D0D0D"/>
        </w:rPr>
        <w:t>/（1-所得税税率</w:t>
      </w:r>
      <w:r>
        <w:rPr>
          <w:color w:val="0D0D0D"/>
          <w:spacing w:val="-169"/>
        </w:rPr>
        <w:t>）</w:t>
      </w:r>
      <w:r>
        <w:rPr>
          <w:color w:val="0D0D0D"/>
          <w:spacing w:val="-13"/>
        </w:rPr>
        <w:t xml:space="preserve">〕 </w:t>
      </w:r>
      <w:r>
        <w:rPr>
          <w:color w:val="0D0D0D"/>
          <w:spacing w:val="-4"/>
        </w:rPr>
        <w:t>D</w:t>
      </w:r>
      <w:r>
        <w:rPr>
          <w:color w:val="0D0D0D"/>
          <w:spacing w:val="-2"/>
        </w:rPr>
        <w:t>、息税前利润</w:t>
      </w:r>
      <w:r>
        <w:rPr>
          <w:color w:val="0D0D0D"/>
        </w:rPr>
        <w:t>/（</w:t>
      </w:r>
      <w:r>
        <w:rPr>
          <w:color w:val="0D0D0D"/>
          <w:spacing w:val="-3"/>
        </w:rPr>
        <w:t>息税前利润-利息</w:t>
      </w:r>
      <w:r>
        <w:rPr>
          <w:color w:val="0D0D0D"/>
        </w:rPr>
        <w:t>）</w:t>
      </w:r>
    </w:p>
    <w:p>
      <w:pPr>
        <w:spacing w:before="8"/>
        <w:ind w:left="3330" w:right="0" w:firstLine="0"/>
        <w:jc w:val="left"/>
        <w:rPr>
          <w:sz w:val="31"/>
        </w:rPr>
      </w:pPr>
      <w:r>
        <w:rPr>
          <w:b/>
          <w:color w:val="0D0D0D"/>
          <w:sz w:val="31"/>
        </w:rPr>
        <w:t>答案:</w:t>
      </w:r>
      <w:r>
        <w:rPr>
          <w:color w:val="0D0D0D"/>
          <w:sz w:val="31"/>
        </w:rPr>
        <w:t>B</w:t>
      </w:r>
    </w:p>
    <w:p>
      <w:pPr>
        <w:pStyle w:val="BodyText"/>
        <w:spacing w:before="10" w:line="244" w:lineRule="auto"/>
        <w:ind w:right="2673" w:firstLine="629"/>
      </w:pPr>
      <w:r>
        <w:rPr>
          <w:b/>
          <w:color w:val="0D0D0D"/>
        </w:rPr>
        <w:t>解析:</w:t>
      </w:r>
      <w:r>
        <w:rPr>
          <w:color w:val="0D0D0D"/>
        </w:rPr>
        <w:t>A</w:t>
      </w:r>
      <w:r>
        <w:rPr>
          <w:color w:val="0D0D0D"/>
          <w:spacing w:val="-4"/>
        </w:rPr>
        <w:t xml:space="preserve"> 是按定义确定的计算公式，</w:t>
      </w:r>
      <w:r>
        <w:rPr>
          <w:color w:val="0D0D0D"/>
          <w:spacing w:val="-47"/>
        </w:rPr>
        <w:t>C</w:t>
      </w:r>
      <w:r>
        <w:rPr>
          <w:color w:val="0D0D0D"/>
          <w:spacing w:val="-10"/>
        </w:rPr>
        <w:t xml:space="preserve"> 是同时存在银行借款、融资租赁和优先股时的简化</w:t>
      </w:r>
      <w:r>
        <w:rPr>
          <w:color w:val="0D0D0D"/>
          <w:spacing w:val="-1"/>
        </w:rPr>
        <w:t>计算公式，</w:t>
      </w:r>
      <w:r>
        <w:rPr>
          <w:color w:val="0D0D0D"/>
          <w:spacing w:val="-4"/>
        </w:rPr>
        <w:t>D</w:t>
      </w:r>
      <w:r>
        <w:rPr>
          <w:color w:val="0D0D0D"/>
          <w:spacing w:val="-9"/>
        </w:rPr>
        <w:t xml:space="preserve"> 是不存在融资租赁和优先股时的简化计算公式。</w:t>
      </w:r>
    </w:p>
    <w:p>
      <w:pPr>
        <w:pStyle w:val="BodyText"/>
        <w:spacing w:before="7"/>
      </w:pPr>
      <w:r>
        <w:rPr>
          <w:color w:val="0D0D0D"/>
        </w:rPr>
        <w:t>5、某公司产权比率为 2：5，若资金成本和资金结构不变且负债全部为长期债券，当发行 100</w:t>
      </w:r>
    </w:p>
    <w:p>
      <w:pPr>
        <w:pStyle w:val="BodyText"/>
        <w:spacing w:before="9"/>
      </w:pPr>
      <w:r>
        <w:rPr>
          <w:color w:val="0D0D0D"/>
        </w:rPr>
        <w:t>万元长期债券时，筹资总额分界点为（ ）万元。</w:t>
      </w:r>
    </w:p>
    <w:p>
      <w:pPr>
        <w:pStyle w:val="BodyText"/>
        <w:tabs>
          <w:tab w:val="left" w:pos="5537"/>
          <w:tab w:val="left" w:pos="7586"/>
          <w:tab w:val="left" w:pos="9790"/>
        </w:tabs>
        <w:spacing w:before="14"/>
        <w:ind w:left="3334"/>
      </w:pPr>
      <w:r>
        <w:rPr>
          <w:color w:val="0D0D0D"/>
          <w:spacing w:val="-4"/>
        </w:rPr>
        <w:t>A</w:t>
      </w:r>
      <w:r>
        <w:rPr>
          <w:color w:val="0D0D0D"/>
        </w:rPr>
        <w:t>、1200</w:t>
        <w:tab/>
        <w:t>B、200</w:t>
        <w:tab/>
      </w:r>
      <w:r>
        <w:rPr>
          <w:color w:val="0D0D0D"/>
          <w:spacing w:val="-4"/>
        </w:rPr>
        <w:t>C</w:t>
      </w:r>
      <w:r>
        <w:rPr>
          <w:color w:val="0D0D0D"/>
        </w:rPr>
        <w:t>、350</w:t>
        <w:tab/>
      </w:r>
      <w:r>
        <w:rPr>
          <w:color w:val="0D0D0D"/>
          <w:spacing w:val="-4"/>
        </w:rPr>
        <w:t>D</w:t>
      </w:r>
      <w:r>
        <w:rPr>
          <w:color w:val="0D0D0D"/>
        </w:rPr>
        <w:t>、100</w:t>
      </w:r>
    </w:p>
    <w:p>
      <w:pPr>
        <w:spacing w:before="9"/>
        <w:ind w:left="3330" w:right="0" w:firstLine="0"/>
        <w:jc w:val="left"/>
        <w:rPr>
          <w:sz w:val="31"/>
        </w:rPr>
      </w:pPr>
      <w:r>
        <w:rPr>
          <w:b/>
          <w:color w:val="0D0D0D"/>
          <w:sz w:val="31"/>
        </w:rPr>
        <w:t>答案:</w:t>
      </w:r>
      <w:r>
        <w:rPr>
          <w:color w:val="0D0D0D"/>
          <w:sz w:val="31"/>
        </w:rPr>
        <w:t>C</w:t>
      </w:r>
    </w:p>
    <w:p>
      <w:pPr>
        <w:pStyle w:val="BodyText"/>
        <w:spacing w:before="13"/>
        <w:ind w:left="3330"/>
      </w:pPr>
      <w:r>
        <w:rPr>
          <w:b/>
          <w:color w:val="0D0D0D"/>
        </w:rPr>
        <w:t>解析:</w:t>
      </w:r>
      <w:r>
        <w:rPr>
          <w:color w:val="0D0D0D"/>
        </w:rPr>
        <w:t>100÷2/7＝350（万元）</w:t>
      </w:r>
    </w:p>
    <w:p>
      <w:pPr>
        <w:pStyle w:val="BodyText"/>
        <w:spacing w:before="10"/>
      </w:pPr>
      <w:r>
        <w:rPr>
          <w:color w:val="0D0D0D"/>
        </w:rPr>
        <w:t xml:space="preserve">6、下列各项中属于酌量性固定成本的是（ </w:t>
      </w:r>
      <w:r>
        <w:rPr>
          <w:color w:val="0D0D0D"/>
          <w:spacing w:val="-159"/>
        </w:rPr>
        <w:t>）</w:t>
      </w:r>
      <w:r>
        <w:rPr>
          <w:color w:val="0D0D0D"/>
        </w:rPr>
        <w:t>。</w:t>
      </w:r>
    </w:p>
    <w:p>
      <w:pPr>
        <w:pStyle w:val="BodyText"/>
        <w:tabs>
          <w:tab w:val="left" w:pos="8641"/>
          <w:tab w:val="left" w:pos="11748"/>
          <w:tab w:val="left" w:pos="14852"/>
        </w:tabs>
        <w:spacing w:before="13" w:line="244" w:lineRule="auto"/>
        <w:ind w:right="2529" w:firstLine="633"/>
      </w:pPr>
      <w:r>
        <w:rPr>
          <w:color w:val="0D0D0D"/>
          <w:spacing w:val="-4"/>
        </w:rPr>
        <w:t>A</w:t>
      </w:r>
      <w:r>
        <w:rPr>
          <w:color w:val="0D0D0D"/>
          <w:spacing w:val="-47"/>
        </w:rPr>
        <w:t>、</w:t>
      </w:r>
      <w:r>
        <w:rPr>
          <w:color w:val="0D0D0D"/>
        </w:rPr>
        <w:t>固定资产直线法计提的折旧费</w:t>
        <w:tab/>
        <w:t>B</w:t>
      </w:r>
      <w:r>
        <w:rPr>
          <w:color w:val="0D0D0D"/>
          <w:spacing w:val="-51"/>
        </w:rPr>
        <w:t>、</w:t>
      </w:r>
      <w:r>
        <w:rPr>
          <w:color w:val="0D0D0D"/>
        </w:rPr>
        <w:t>长期租赁费</w:t>
        <w:tab/>
      </w:r>
      <w:r>
        <w:rPr>
          <w:color w:val="0D0D0D"/>
          <w:spacing w:val="-4"/>
        </w:rPr>
        <w:t>C</w:t>
      </w:r>
      <w:r>
        <w:rPr>
          <w:color w:val="0D0D0D"/>
          <w:spacing w:val="-47"/>
        </w:rPr>
        <w:t>、</w:t>
      </w:r>
      <w:r>
        <w:rPr>
          <w:color w:val="0D0D0D"/>
        </w:rPr>
        <w:t>直接材料费</w:t>
        <w:tab/>
        <w:t>D</w:t>
      </w:r>
      <w:r>
        <w:rPr>
          <w:color w:val="0D0D0D"/>
          <w:spacing w:val="-17"/>
        </w:rPr>
        <w:t>、</w:t>
      </w:r>
      <w:r>
        <w:rPr>
          <w:color w:val="0D0D0D"/>
        </w:rPr>
        <w:t>广告费</w:t>
      </w:r>
    </w:p>
    <w:p>
      <w:pPr>
        <w:spacing w:before="7"/>
        <w:ind w:left="3330" w:right="0" w:firstLine="0"/>
        <w:jc w:val="left"/>
        <w:rPr>
          <w:sz w:val="31"/>
        </w:rPr>
      </w:pPr>
      <w:r>
        <w:rPr>
          <w:b/>
          <w:color w:val="0D0D0D"/>
          <w:sz w:val="31"/>
        </w:rPr>
        <w:t>答案:</w:t>
      </w:r>
      <w:r>
        <w:rPr>
          <w:color w:val="0D0D0D"/>
          <w:sz w:val="31"/>
        </w:rPr>
        <w:t>D</w:t>
      </w:r>
    </w:p>
    <w:p>
      <w:pPr>
        <w:pStyle w:val="BodyText"/>
        <w:spacing w:before="10" w:line="247" w:lineRule="auto"/>
        <w:ind w:right="2643" w:firstLine="629"/>
      </w:pPr>
      <w:r>
        <w:rPr>
          <w:b/>
          <w:color w:val="0D0D0D"/>
        </w:rPr>
        <w:t>解析:</w:t>
      </w:r>
      <w:r>
        <w:rPr>
          <w:color w:val="0D0D0D"/>
        </w:rPr>
        <w:t>固定资产直线法计提的折旧费和长期租赁费属于约束性固定成本；直接材料费属于变动成本；广告费、职工培训费属于酌量性固定成本。</w:t>
      </w:r>
    </w:p>
    <w:p>
      <w:pPr>
        <w:pStyle w:val="BodyText"/>
        <w:tabs>
          <w:tab w:val="left" w:pos="8220"/>
        </w:tabs>
        <w:spacing w:line="247" w:lineRule="auto"/>
        <w:ind w:left="3334" w:right="2534" w:hanging="634"/>
      </w:pPr>
      <w:r>
        <w:rPr>
          <w:color w:val="0D0D0D"/>
        </w:rPr>
        <w:t>7</w:t>
      </w:r>
      <w:r>
        <w:rPr>
          <w:color w:val="0D0D0D"/>
          <w:spacing w:val="-76"/>
        </w:rPr>
        <w:t>、</w:t>
      </w:r>
      <w:r>
        <w:rPr>
          <w:color w:val="0D0D0D"/>
        </w:rPr>
        <w:t>某企业固定成本为</w:t>
      </w:r>
      <w:r>
        <w:rPr>
          <w:color w:val="0D0D0D"/>
          <w:spacing w:val="-44"/>
        </w:rPr>
        <w:t xml:space="preserve"> </w:t>
      </w:r>
      <w:r>
        <w:rPr>
          <w:color w:val="0D0D0D"/>
        </w:rPr>
        <w:t>20</w:t>
      </w:r>
      <w:r>
        <w:rPr>
          <w:color w:val="0D0D0D"/>
          <w:spacing w:val="-27"/>
        </w:rPr>
        <w:t xml:space="preserve"> </w:t>
      </w:r>
      <w:r>
        <w:rPr>
          <w:color w:val="0D0D0D"/>
        </w:rPr>
        <w:t>万元</w:t>
      </w:r>
      <w:r>
        <w:rPr>
          <w:color w:val="0D0D0D"/>
          <w:spacing w:val="-80"/>
        </w:rPr>
        <w:t>，</w:t>
      </w:r>
      <w:r>
        <w:rPr>
          <w:color w:val="0D0D0D"/>
        </w:rPr>
        <w:t>全部资金均为自有资金</w:t>
      </w:r>
      <w:r>
        <w:rPr>
          <w:color w:val="0D0D0D"/>
          <w:spacing w:val="-94"/>
        </w:rPr>
        <w:t>，</w:t>
      </w:r>
      <w:r>
        <w:rPr>
          <w:color w:val="0D0D0D"/>
        </w:rPr>
        <w:t>其中优先股占</w:t>
      </w:r>
      <w:r>
        <w:rPr>
          <w:color w:val="0D0D0D"/>
          <w:spacing w:val="-39"/>
        </w:rPr>
        <w:t xml:space="preserve"> </w:t>
      </w:r>
      <w:r>
        <w:rPr>
          <w:color w:val="0D0D0D"/>
          <w:spacing w:val="-21"/>
        </w:rPr>
        <w:t>15％，</w:t>
      </w:r>
      <w:r>
        <w:rPr>
          <w:color w:val="0D0D0D"/>
        </w:rPr>
        <w:t>则该企</w:t>
      </w:r>
      <w:r>
        <w:rPr>
          <w:color w:val="0D0D0D"/>
          <w:spacing w:val="-83"/>
        </w:rPr>
        <w:t>业</w:t>
      </w:r>
      <w:r>
        <w:rPr>
          <w:color w:val="0D0D0D"/>
        </w:rPr>
        <w:t>（</w:t>
      </w:r>
      <w:r>
        <w:rPr>
          <w:color w:val="0D0D0D"/>
          <w:spacing w:val="118"/>
        </w:rPr>
        <w:t xml:space="preserve"> </w:t>
      </w:r>
      <w:r>
        <w:rPr>
          <w:color w:val="0D0D0D"/>
          <w:spacing w:val="-162"/>
        </w:rPr>
        <w:t>）</w:t>
      </w:r>
      <w:r>
        <w:rPr>
          <w:color w:val="0D0D0D"/>
          <w:spacing w:val="-13"/>
        </w:rPr>
        <w:t>。</w:t>
      </w:r>
      <w:r>
        <w:rPr>
          <w:color w:val="0D0D0D"/>
          <w:spacing w:val="-4"/>
        </w:rPr>
        <w:t>A</w:t>
      </w:r>
      <w:r>
        <w:rPr>
          <w:color w:val="0D0D0D"/>
        </w:rPr>
        <w:t>、只存在经营杠杆</w:t>
        <w:tab/>
      </w:r>
      <w:r>
        <w:rPr>
          <w:color w:val="0D0D0D"/>
          <w:spacing w:val="-4"/>
        </w:rPr>
        <w:t>B</w:t>
      </w:r>
      <w:r>
        <w:rPr>
          <w:color w:val="0D0D0D"/>
        </w:rPr>
        <w:t>、只存在财务杠杆</w:t>
      </w:r>
    </w:p>
    <w:p>
      <w:pPr>
        <w:pStyle w:val="BodyText"/>
        <w:tabs>
          <w:tab w:val="left" w:pos="8216"/>
        </w:tabs>
        <w:spacing w:line="247" w:lineRule="auto"/>
        <w:ind w:left="3330" w:right="4417" w:firstLine="3"/>
      </w:pPr>
      <w:r>
        <w:rPr>
          <w:color w:val="0D0D0D"/>
          <w:spacing w:val="-4"/>
        </w:rPr>
        <w:t>C</w:t>
      </w:r>
      <w:r>
        <w:rPr>
          <w:color w:val="0D0D0D"/>
        </w:rPr>
        <w:t>、存在经营杠杆和财务杠杆</w:t>
        <w:tab/>
      </w:r>
      <w:r>
        <w:rPr>
          <w:color w:val="0D0D0D"/>
          <w:spacing w:val="-4"/>
        </w:rPr>
        <w:t>D</w:t>
      </w:r>
      <w:r>
        <w:rPr>
          <w:color w:val="0D0D0D"/>
        </w:rPr>
        <w:t>、经营杠杆和财务杠杆可以相互抵</w:t>
      </w:r>
      <w:r>
        <w:rPr>
          <w:color w:val="0D0D0D"/>
          <w:spacing w:val="-17"/>
        </w:rPr>
        <w:t>消</w:t>
      </w:r>
      <w:r>
        <w:rPr>
          <w:b/>
          <w:color w:val="0D0D0D"/>
        </w:rPr>
        <w:t>答案:</w:t>
      </w:r>
      <w:r>
        <w:rPr>
          <w:color w:val="0D0D0D"/>
        </w:rPr>
        <w:t>C</w:t>
      </w:r>
    </w:p>
    <w:p>
      <w:pPr>
        <w:pStyle w:val="BodyText"/>
        <w:spacing w:line="247" w:lineRule="auto"/>
        <w:ind w:right="2643" w:firstLine="629"/>
      </w:pPr>
      <w:r>
        <w:rPr>
          <w:b/>
          <w:color w:val="0D0D0D"/>
        </w:rPr>
        <w:t>解析:</w:t>
      </w:r>
      <w:r>
        <w:rPr>
          <w:color w:val="0D0D0D"/>
        </w:rPr>
        <w:t>有固定成本，说明存在经营杠杆；有优先股，说明存在财务杠杆。所以存在经营杠杆和财务杠杆。</w:t>
      </w:r>
    </w:p>
    <w:p>
      <w:pPr>
        <w:pStyle w:val="BodyText"/>
        <w:spacing w:line="247" w:lineRule="auto"/>
        <w:ind w:right="2681"/>
      </w:pPr>
      <w:r>
        <w:rPr>
          <w:color w:val="0D0D0D"/>
        </w:rPr>
        <w:t>8、某公司的经营杠杆系数为 2</w:t>
      </w:r>
      <w:r>
        <w:rPr>
          <w:color w:val="0D0D0D"/>
          <w:spacing w:val="2"/>
        </w:rPr>
        <w:t xml:space="preserve">，财务杠杆系数为 </w:t>
      </w:r>
      <w:r>
        <w:rPr>
          <w:color w:val="0D0D0D"/>
        </w:rPr>
        <w:t>3</w:t>
      </w:r>
      <w:r>
        <w:rPr>
          <w:color w:val="0D0D0D"/>
          <w:spacing w:val="2"/>
        </w:rPr>
        <w:t xml:space="preserve">，预计销售将增长 </w:t>
      </w:r>
      <w:r>
        <w:rPr>
          <w:color w:val="0D0D0D"/>
        </w:rPr>
        <w:t>10</w:t>
      </w:r>
      <w:r>
        <w:rPr>
          <w:color w:val="0D0D0D"/>
          <w:spacing w:val="-2"/>
        </w:rPr>
        <w:t>％，在其他条件不</w:t>
      </w:r>
      <w:r>
        <w:rPr>
          <w:color w:val="0D0D0D"/>
        </w:rPr>
        <w:t xml:space="preserve">变的情况下，每股利润将增长（ </w:t>
      </w:r>
      <w:r>
        <w:rPr>
          <w:color w:val="0D0D0D"/>
          <w:spacing w:val="-159"/>
        </w:rPr>
        <w:t>）</w:t>
      </w:r>
      <w:r>
        <w:rPr>
          <w:color w:val="0D0D0D"/>
        </w:rPr>
        <w:t>。</w:t>
      </w:r>
    </w:p>
    <w:p>
      <w:pPr>
        <w:pStyle w:val="BodyText"/>
        <w:tabs>
          <w:tab w:val="left" w:pos="5537"/>
          <w:tab w:val="left" w:pos="8375"/>
          <w:tab w:val="left" w:pos="11208"/>
        </w:tabs>
        <w:spacing w:line="244" w:lineRule="auto"/>
        <w:ind w:left="3330" w:right="5547" w:firstLine="3"/>
      </w:pPr>
      <w:r>
        <w:rPr>
          <w:color w:val="0D0D0D"/>
          <w:spacing w:val="-4"/>
        </w:rPr>
        <w:t>A</w:t>
      </w:r>
      <w:r>
        <w:rPr>
          <w:color w:val="0D0D0D"/>
        </w:rPr>
        <w:t>、50％</w:t>
        <w:tab/>
        <w:t>B、</w:t>
      </w:r>
      <w:r>
        <w:rPr>
          <w:color w:val="0D0D0D"/>
          <w:spacing w:val="-3"/>
        </w:rPr>
        <w:t>10％</w:t>
        <w:tab/>
      </w:r>
      <w:r>
        <w:rPr>
          <w:color w:val="0D0D0D"/>
          <w:spacing w:val="-4"/>
        </w:rPr>
        <w:t>C</w:t>
      </w:r>
      <w:r>
        <w:rPr>
          <w:color w:val="0D0D0D"/>
        </w:rPr>
        <w:t>、30％</w:t>
        <w:tab/>
      </w:r>
      <w:r>
        <w:rPr>
          <w:color w:val="0D0D0D"/>
          <w:spacing w:val="-4"/>
        </w:rPr>
        <w:t>D</w:t>
      </w:r>
      <w:r>
        <w:rPr>
          <w:color w:val="0D0D0D"/>
        </w:rPr>
        <w:t>、</w:t>
      </w:r>
      <w:r>
        <w:rPr>
          <w:color w:val="0D0D0D"/>
          <w:spacing w:val="-8"/>
        </w:rPr>
        <w:t xml:space="preserve">60％ </w:t>
      </w:r>
      <w:r>
        <w:rPr>
          <w:b/>
          <w:color w:val="0D0D0D"/>
        </w:rPr>
        <w:t>答案:</w:t>
      </w:r>
      <w:r>
        <w:rPr>
          <w:color w:val="0D0D0D"/>
        </w:rPr>
        <w:t>D</w:t>
      </w:r>
    </w:p>
    <w:p>
      <w:pPr>
        <w:pStyle w:val="BodyText"/>
        <w:spacing w:before="2"/>
        <w:ind w:left="3330"/>
      </w:pPr>
      <w:r>
        <w:rPr>
          <w:b/>
          <w:color w:val="0D0D0D"/>
        </w:rPr>
        <w:t>解析:</w:t>
      </w:r>
      <w:r>
        <w:rPr>
          <w:color w:val="0D0D0D"/>
        </w:rPr>
        <w:t>DCL＝DOL·DFL＝2×3=6，所以，每股利润增长率＝6×10％＝60％</w:t>
      </w:r>
    </w:p>
    <w:p>
      <w:pPr>
        <w:pStyle w:val="BodyText"/>
        <w:spacing w:before="10" w:line="249" w:lineRule="auto"/>
        <w:ind w:right="2547"/>
      </w:pPr>
      <w:r>
        <w:rPr>
          <w:color w:val="0D0D0D"/>
        </w:rPr>
        <w:t>9</w:t>
      </w:r>
      <w:r>
        <w:rPr>
          <w:color w:val="0D0D0D"/>
          <w:spacing w:val="-5"/>
        </w:rPr>
        <w:t xml:space="preserve">、某企业本年的息税前利润为 </w:t>
      </w:r>
      <w:r>
        <w:rPr>
          <w:color w:val="0D0D0D"/>
        </w:rPr>
        <w:t>5000</w:t>
      </w:r>
      <w:r>
        <w:rPr>
          <w:color w:val="0D0D0D"/>
          <w:spacing w:val="-12"/>
        </w:rPr>
        <w:t xml:space="preserve"> 万元，本年利息为 </w:t>
      </w:r>
      <w:r>
        <w:rPr>
          <w:color w:val="0D0D0D"/>
        </w:rPr>
        <w:t>500</w:t>
      </w:r>
      <w:r>
        <w:rPr>
          <w:color w:val="0D0D0D"/>
          <w:spacing w:val="-10"/>
        </w:rPr>
        <w:t xml:space="preserve"> 万元，优先股股利为 </w:t>
      </w:r>
      <w:r>
        <w:rPr>
          <w:color w:val="0D0D0D"/>
        </w:rPr>
        <w:t>400</w:t>
      </w:r>
      <w:r>
        <w:rPr>
          <w:color w:val="0D0D0D"/>
          <w:spacing w:val="-13"/>
        </w:rPr>
        <w:t xml:space="preserve"> 万元， </w:t>
      </w:r>
      <w:r>
        <w:rPr>
          <w:color w:val="0D0D0D"/>
          <w:spacing w:val="-12"/>
        </w:rPr>
        <w:t xml:space="preserve">所得税税率为 </w:t>
      </w:r>
      <w:r>
        <w:rPr>
          <w:color w:val="0D0D0D"/>
        </w:rPr>
        <w:t xml:space="preserve">20％，则该企业下年度财务杠杆系数为（ </w:t>
      </w:r>
      <w:r>
        <w:rPr>
          <w:color w:val="0D0D0D"/>
          <w:spacing w:val="-162"/>
        </w:rPr>
        <w:t>）</w:t>
      </w:r>
      <w:r>
        <w:rPr>
          <w:color w:val="0D0D0D"/>
        </w:rPr>
        <w:t>。</w:t>
      </w:r>
    </w:p>
    <w:p>
      <w:pPr>
        <w:pStyle w:val="BodyText"/>
        <w:tabs>
          <w:tab w:val="left" w:pos="5224"/>
          <w:tab w:val="left" w:pos="7428"/>
          <w:tab w:val="left" w:pos="10107"/>
        </w:tabs>
        <w:spacing w:line="389" w:lineRule="exact"/>
        <w:ind w:left="3334"/>
      </w:pPr>
      <w:r>
        <w:rPr>
          <w:color w:val="0D0D0D"/>
          <w:spacing w:val="-4"/>
        </w:rPr>
        <w:t>A</w:t>
      </w:r>
      <w:r>
        <w:rPr>
          <w:color w:val="0D0D0D"/>
        </w:rPr>
        <w:t>、1</w:t>
        <w:tab/>
      </w:r>
      <w:r>
        <w:rPr>
          <w:color w:val="0D0D0D"/>
          <w:spacing w:val="-4"/>
        </w:rPr>
        <w:t>B</w:t>
      </w:r>
      <w:r>
        <w:rPr>
          <w:color w:val="0D0D0D"/>
        </w:rPr>
        <w:t>、1.11</w:t>
        <w:tab/>
        <w:t>C</w:t>
      </w:r>
      <w:r>
        <w:rPr>
          <w:color w:val="0D0D0D"/>
          <w:spacing w:val="-4"/>
        </w:rPr>
        <w:t>、</w:t>
      </w:r>
      <w:r>
        <w:rPr>
          <w:color w:val="0D0D0D"/>
        </w:rPr>
        <w:t>1.22</w:t>
        <w:tab/>
        <w:t>D、1.25</w:t>
      </w:r>
    </w:p>
    <w:p>
      <w:pPr>
        <w:spacing w:before="13"/>
        <w:ind w:left="3330" w:right="0" w:firstLine="0"/>
        <w:jc w:val="left"/>
        <w:rPr>
          <w:sz w:val="31"/>
        </w:rPr>
      </w:pPr>
      <w:r>
        <w:drawing>
          <wp:anchor distT="0" distB="0" distL="0" distR="0" simplePos="0" relativeHeight="251675648" behindDoc="1" locked="0" layoutInCell="1" allowOverlap="1">
            <wp:simplePos x="0" y="0"/>
            <wp:positionH relativeFrom="page">
              <wp:posOffset>4416678</wp:posOffset>
            </wp:positionH>
            <wp:positionV relativeFrom="paragraph">
              <wp:posOffset>280797</wp:posOffset>
            </wp:positionV>
            <wp:extent cx="1444878" cy="555752"/>
            <wp:effectExtent l="0" t="0" r="0" b="0"/>
            <wp:wrapNone/>
            <wp:docPr id="4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7.png"/>
                    <pic:cNvPicPr/>
                  </pic:nvPicPr>
                  <pic:blipFill>
                    <a:blip xmlns:r="http://schemas.openxmlformats.org/officeDocument/2006/relationships" r:embed="rId118" cstate="print"/>
                    <a:stretch>
                      <a:fillRect/>
                    </a:stretch>
                  </pic:blipFill>
                  <pic:spPr>
                    <a:xfrm>
                      <a:off x="0" y="0"/>
                      <a:ext cx="1444878" cy="555752"/>
                    </a:xfrm>
                    <a:prstGeom prst="rect">
                      <a:avLst/>
                    </a:prstGeom>
                  </pic:spPr>
                </pic:pic>
              </a:graphicData>
            </a:graphic>
          </wp:anchor>
        </w:drawing>
      </w:r>
      <w:r>
        <w:rPr>
          <w:b/>
          <w:color w:val="0D0D0D"/>
          <w:sz w:val="31"/>
        </w:rPr>
        <w:t>答案:</w:t>
      </w:r>
      <w:r>
        <w:rPr>
          <w:color w:val="0D0D0D"/>
          <w:sz w:val="31"/>
        </w:rPr>
        <w:t>D</w:t>
      </w:r>
    </w:p>
    <w:p>
      <w:pPr>
        <w:pStyle w:val="BodyText"/>
        <w:ind w:left="0"/>
        <w:rPr>
          <w:sz w:val="32"/>
        </w:rPr>
      </w:pPr>
    </w:p>
    <w:p>
      <w:pPr>
        <w:pStyle w:val="BodyText"/>
        <w:tabs>
          <w:tab w:val="left" w:pos="9231"/>
        </w:tabs>
        <w:spacing w:before="248"/>
        <w:ind w:left="3330"/>
      </w:pPr>
      <w:r>
        <w:rPr>
          <w:b/>
          <w:color w:val="0D0D0D"/>
        </w:rPr>
        <w:t>解析:</w:t>
      </w:r>
      <w:r>
        <w:rPr>
          <w:color w:val="0D0D0D"/>
        </w:rPr>
        <w:t>企业财务杠杆系数＝</w:t>
        <w:tab/>
        <w:t>＝1.25</w:t>
      </w:r>
    </w:p>
    <w:p>
      <w:pPr>
        <w:pStyle w:val="BodyText"/>
        <w:spacing w:before="13"/>
      </w:pPr>
      <w:r>
        <w:rPr>
          <w:color w:val="0D0D0D"/>
        </w:rPr>
        <w:t>10、某保险公司的推销员每月固定工资 800 元，在此基础上，推销员还可按推销保险金额的</w:t>
      </w:r>
    </w:p>
    <w:p>
      <w:pPr>
        <w:pStyle w:val="BodyText"/>
        <w:spacing w:before="13"/>
      </w:pPr>
      <w:r>
        <w:rPr>
          <w:color w:val="0D0D0D"/>
        </w:rPr>
        <w:t xml:space="preserve">1％领取奖金，那么推销员的工资费用属于（ </w:t>
      </w:r>
      <w:r>
        <w:rPr>
          <w:color w:val="0D0D0D"/>
          <w:spacing w:val="-163"/>
        </w:rPr>
        <w:t>）</w:t>
      </w:r>
      <w:r>
        <w:rPr>
          <w:color w:val="0D0D0D"/>
        </w:rPr>
        <w:t>。</w:t>
      </w:r>
    </w:p>
    <w:p>
      <w:pPr>
        <w:pStyle w:val="BodyText"/>
        <w:tabs>
          <w:tab w:val="left" w:pos="6322"/>
          <w:tab w:val="left" w:pos="9318"/>
          <w:tab w:val="left" w:pos="12000"/>
        </w:tabs>
        <w:spacing w:before="10" w:line="244" w:lineRule="auto"/>
        <w:ind w:left="3330" w:right="4119" w:firstLine="3"/>
      </w:pPr>
      <w:r>
        <w:rPr>
          <w:color w:val="0D0D0D"/>
          <w:spacing w:val="-4"/>
        </w:rPr>
        <w:t>A</w:t>
      </w:r>
      <w:r>
        <w:rPr>
          <w:color w:val="0D0D0D"/>
        </w:rPr>
        <w:t>、半固定成本</w:t>
        <w:tab/>
        <w:t>B、半变动成本</w:t>
        <w:tab/>
        <w:t>C、变动成本</w:t>
        <w:tab/>
      </w:r>
      <w:r>
        <w:rPr>
          <w:color w:val="0D0D0D"/>
          <w:spacing w:val="-4"/>
        </w:rPr>
        <w:t>D</w:t>
      </w:r>
      <w:r>
        <w:rPr>
          <w:color w:val="0D0D0D"/>
        </w:rPr>
        <w:t>、固定成</w:t>
      </w:r>
      <w:r>
        <w:rPr>
          <w:color w:val="0D0D0D"/>
          <w:spacing w:val="-18"/>
        </w:rPr>
        <w:t>本</w:t>
      </w:r>
      <w:r>
        <w:rPr>
          <w:b/>
          <w:color w:val="0D0D0D"/>
        </w:rPr>
        <w:t>答案:</w:t>
      </w:r>
      <w:r>
        <w:rPr>
          <w:color w:val="0D0D0D"/>
        </w:rPr>
        <w:t>B</w:t>
      </w:r>
    </w:p>
    <w:p>
      <w:pPr>
        <w:pStyle w:val="BodyText"/>
        <w:spacing w:before="7"/>
        <w:ind w:left="3330"/>
      </w:pPr>
      <w:r>
        <w:rPr>
          <w:b/>
          <w:color w:val="0D0D0D"/>
        </w:rPr>
        <w:t>解析:</w:t>
      </w:r>
      <w:r>
        <w:rPr>
          <w:color w:val="0D0D0D"/>
        </w:rPr>
        <w:t>半变动成本，它通常有一个初始量，类似于固定成本，在这个初始量的基础上随</w:t>
      </w:r>
    </w:p>
    <w:p>
      <w:pPr>
        <w:spacing w:after="0"/>
        <w:sectPr>
          <w:headerReference w:type="default" r:id="rId119"/>
          <w:footerReference w:type="default" r:id="rId120"/>
          <w:pgSz w:w="17860" w:h="25260"/>
          <w:pgMar w:top="1720" w:right="0" w:bottom="1940" w:left="0" w:header="1129" w:footer="1752"/>
          <w:pgNumType w:start="5"/>
          <w:cols w:space="708"/>
        </w:sectPr>
      </w:pPr>
    </w:p>
    <w:p>
      <w:pPr>
        <w:pStyle w:val="BodyText"/>
        <w:spacing w:before="3"/>
        <w:ind w:left="0"/>
        <w:rPr>
          <w:sz w:val="8"/>
        </w:rPr>
      </w:pPr>
    </w:p>
    <w:p>
      <w:pPr>
        <w:pStyle w:val="BodyText"/>
        <w:spacing w:before="63"/>
      </w:pPr>
      <w:r>
        <w:rPr>
          <w:color w:val="0D0D0D"/>
        </w:rPr>
        <w:t>业务量的增长而增长，又类似于变动成本。</w:t>
      </w:r>
    </w:p>
    <w:p>
      <w:pPr>
        <w:pStyle w:val="BodyText"/>
        <w:spacing w:before="10" w:line="247" w:lineRule="auto"/>
        <w:ind w:right="2630"/>
        <w:jc w:val="both"/>
      </w:pPr>
      <w:r>
        <w:rPr>
          <w:color w:val="0D0D0D"/>
        </w:rPr>
        <w:t>11</w:t>
      </w:r>
      <w:r>
        <w:rPr>
          <w:color w:val="0D0D0D"/>
          <w:spacing w:val="-22"/>
        </w:rPr>
        <w:t>、</w:t>
      </w:r>
      <w:r>
        <w:rPr>
          <w:color w:val="0D0D0D"/>
        </w:rPr>
        <w:t>A</w:t>
      </w:r>
      <w:r>
        <w:rPr>
          <w:color w:val="0D0D0D"/>
          <w:spacing w:val="-9"/>
        </w:rPr>
        <w:t xml:space="preserve"> 企业负债的市场价值为 </w:t>
      </w:r>
      <w:r>
        <w:rPr>
          <w:color w:val="0D0D0D"/>
        </w:rPr>
        <w:t>4000</w:t>
      </w:r>
      <w:r>
        <w:rPr>
          <w:color w:val="0D0D0D"/>
          <w:spacing w:val="-3"/>
        </w:rPr>
        <w:t xml:space="preserve"> 万元，股东权益的市场价值为</w:t>
      </w:r>
      <w:r>
        <w:rPr>
          <w:color w:val="0D0D0D"/>
        </w:rPr>
        <w:t>6000</w:t>
      </w:r>
      <w:r>
        <w:rPr>
          <w:color w:val="0D0D0D"/>
          <w:spacing w:val="-5"/>
        </w:rPr>
        <w:t xml:space="preserve"> 万元。债务的平均利</w:t>
      </w:r>
      <w:r>
        <w:rPr>
          <w:color w:val="0D0D0D"/>
          <w:spacing w:val="-12"/>
        </w:rPr>
        <w:t xml:space="preserve">率为 </w:t>
      </w:r>
      <w:r>
        <w:rPr>
          <w:color w:val="0D0D0D"/>
        </w:rPr>
        <w:t>15％，β</w:t>
      </w:r>
      <w:r>
        <w:rPr>
          <w:color w:val="0D0D0D"/>
          <w:spacing w:val="-18"/>
        </w:rPr>
        <w:t xml:space="preserve">为 </w:t>
      </w:r>
      <w:r>
        <w:rPr>
          <w:color w:val="0D0D0D"/>
        </w:rPr>
        <w:t>1.41</w:t>
      </w:r>
      <w:r>
        <w:rPr>
          <w:color w:val="0D0D0D"/>
          <w:spacing w:val="-6"/>
        </w:rPr>
        <w:t xml:space="preserve">，所得税税率为 </w:t>
      </w:r>
      <w:r>
        <w:rPr>
          <w:color w:val="0D0D0D"/>
        </w:rPr>
        <w:t>34</w:t>
      </w:r>
      <w:r>
        <w:rPr>
          <w:color w:val="0D0D0D"/>
          <w:spacing w:val="-5"/>
        </w:rPr>
        <w:t xml:space="preserve">％，市场的风险溢价 </w:t>
      </w:r>
      <w:r>
        <w:rPr>
          <w:color w:val="0D0D0D"/>
        </w:rPr>
        <w:t>9.2</w:t>
      </w:r>
      <w:r>
        <w:rPr>
          <w:color w:val="0D0D0D"/>
          <w:spacing w:val="-6"/>
        </w:rPr>
        <w:t xml:space="preserve">％，国债的利率为 </w:t>
      </w:r>
      <w:r>
        <w:rPr>
          <w:color w:val="0D0D0D"/>
        </w:rPr>
        <w:t>11</w:t>
      </w:r>
      <w:r>
        <w:rPr>
          <w:color w:val="0D0D0D"/>
          <w:spacing w:val="-7"/>
        </w:rPr>
        <w:t>％。</w:t>
      </w:r>
      <w:r>
        <w:rPr>
          <w:color w:val="0D0D0D"/>
        </w:rPr>
        <w:t xml:space="preserve">则加权平均资金成本为（ </w:t>
      </w:r>
      <w:r>
        <w:rPr>
          <w:color w:val="0D0D0D"/>
          <w:spacing w:val="-159"/>
        </w:rPr>
        <w:t>）</w:t>
      </w:r>
      <w:r>
        <w:rPr>
          <w:color w:val="0D0D0D"/>
        </w:rPr>
        <w:t>。</w:t>
      </w:r>
    </w:p>
    <w:p>
      <w:pPr>
        <w:pStyle w:val="BodyText"/>
        <w:tabs>
          <w:tab w:val="left" w:pos="5854"/>
          <w:tab w:val="left" w:pos="8058"/>
          <w:tab w:val="left" w:pos="10740"/>
        </w:tabs>
        <w:ind w:left="3334"/>
      </w:pPr>
      <w:r>
        <w:rPr>
          <w:color w:val="0D0D0D"/>
          <w:spacing w:val="-4"/>
        </w:rPr>
        <w:t>A</w:t>
      </w:r>
      <w:r>
        <w:rPr>
          <w:color w:val="0D0D0D"/>
        </w:rPr>
        <w:t>、23.97％</w:t>
        <w:tab/>
      </w:r>
      <w:r>
        <w:rPr>
          <w:color w:val="0D0D0D"/>
          <w:spacing w:val="-4"/>
        </w:rPr>
        <w:t>B、</w:t>
      </w:r>
      <w:r>
        <w:rPr>
          <w:color w:val="0D0D0D"/>
        </w:rPr>
        <w:t>9.9％</w:t>
        <w:tab/>
        <w:t>C</w:t>
      </w:r>
      <w:r>
        <w:rPr>
          <w:color w:val="0D0D0D"/>
          <w:spacing w:val="-4"/>
        </w:rPr>
        <w:t>、</w:t>
      </w:r>
      <w:r>
        <w:rPr>
          <w:color w:val="0D0D0D"/>
        </w:rPr>
        <w:t>18.34％</w:t>
        <w:tab/>
      </w:r>
      <w:r>
        <w:rPr>
          <w:color w:val="0D0D0D"/>
          <w:spacing w:val="-4"/>
        </w:rPr>
        <w:t>D</w:t>
      </w:r>
      <w:r>
        <w:rPr>
          <w:color w:val="0D0D0D"/>
        </w:rPr>
        <w:t>、18.67％</w:t>
      </w:r>
    </w:p>
    <w:p>
      <w:pPr>
        <w:spacing w:before="10"/>
        <w:ind w:left="3330" w:right="0" w:firstLine="0"/>
        <w:jc w:val="left"/>
        <w:rPr>
          <w:sz w:val="31"/>
        </w:rPr>
      </w:pPr>
      <w:r>
        <w:rPr>
          <w:b/>
          <w:color w:val="0D0D0D"/>
          <w:sz w:val="31"/>
        </w:rPr>
        <w:t>答案:</w:t>
      </w:r>
      <w:r>
        <w:rPr>
          <w:color w:val="0D0D0D"/>
          <w:sz w:val="31"/>
        </w:rPr>
        <w:t>C</w:t>
      </w:r>
    </w:p>
    <w:p>
      <w:pPr>
        <w:pStyle w:val="BodyText"/>
        <w:spacing w:before="13"/>
        <w:ind w:left="3355"/>
      </w:pPr>
      <w:r>
        <w:rPr>
          <w:b/>
          <w:color w:val="0D0D0D"/>
          <w:spacing w:val="25"/>
        </w:rPr>
        <w:t>解析:</w:t>
      </w:r>
      <w:r>
        <w:rPr>
          <w:color w:val="0D0D0D"/>
        </w:rPr>
        <w:t>股东权益资金成本＝</w:t>
      </w:r>
      <w:r>
        <w:rPr>
          <w:color w:val="0D0D0D"/>
          <w:spacing w:val="4"/>
        </w:rPr>
        <w:t xml:space="preserve">  </w:t>
      </w:r>
      <w:r>
        <w:rPr>
          <w:color w:val="0D0D0D"/>
          <w:spacing w:val="7"/>
        </w:rPr>
        <w:t>11％+1.41×9.2％＝</w:t>
      </w:r>
      <w:r>
        <w:rPr>
          <w:color w:val="0D0D0D"/>
          <w:spacing w:val="-78"/>
        </w:rPr>
        <w:t xml:space="preserve"> </w:t>
      </w:r>
      <w:r>
        <w:rPr>
          <w:color w:val="0D0D0D"/>
          <w:spacing w:val="3"/>
        </w:rPr>
        <w:t>23.97</w:t>
      </w:r>
      <w:r>
        <w:rPr>
          <w:color w:val="0D0D0D"/>
        </w:rPr>
        <w:t>％负债的资金成本＝</w:t>
      </w:r>
      <w:r>
        <w:rPr>
          <w:color w:val="0D0D0D"/>
          <w:spacing w:val="5"/>
        </w:rPr>
        <w:t xml:space="preserve">  15％×</w:t>
      </w:r>
    </w:p>
    <w:p>
      <w:pPr>
        <w:pStyle w:val="BodyText"/>
        <w:tabs>
          <w:tab w:val="left" w:pos="3481"/>
          <w:tab w:val="left" w:pos="4572"/>
          <w:tab w:val="left" w:pos="5350"/>
          <w:tab w:val="left" w:pos="6127"/>
          <w:tab w:val="left" w:pos="6909"/>
          <w:tab w:val="left" w:pos="7842"/>
          <w:tab w:val="left" w:pos="8619"/>
          <w:tab w:val="left" w:pos="9397"/>
          <w:tab w:val="left" w:pos="10174"/>
          <w:tab w:val="left" w:pos="10951"/>
          <w:tab w:val="left" w:pos="11732"/>
          <w:tab w:val="left" w:pos="12510"/>
          <w:tab w:val="left" w:pos="13287"/>
          <w:tab w:val="left" w:pos="14065"/>
          <w:tab w:val="left" w:pos="14845"/>
        </w:tabs>
        <w:spacing w:before="10"/>
      </w:pPr>
      <w:r>
        <w:drawing>
          <wp:anchor distT="0" distB="0" distL="0" distR="0" simplePos="0" relativeHeight="251676672" behindDoc="0" locked="0" layoutInCell="1" allowOverlap="1">
            <wp:simplePos x="0" y="0"/>
            <wp:positionH relativeFrom="page">
              <wp:posOffset>1714500</wp:posOffset>
            </wp:positionH>
            <wp:positionV relativeFrom="paragraph">
              <wp:posOffset>282575</wp:posOffset>
            </wp:positionV>
            <wp:extent cx="4539625" cy="450056"/>
            <wp:effectExtent l="0" t="0" r="0" b="0"/>
            <wp:wrapTopAndBottom/>
            <wp:docPr id="5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8.png"/>
                    <pic:cNvPicPr/>
                  </pic:nvPicPr>
                  <pic:blipFill>
                    <a:blip xmlns:r="http://schemas.openxmlformats.org/officeDocument/2006/relationships" r:embed="rId121" cstate="print"/>
                    <a:stretch>
                      <a:fillRect/>
                    </a:stretch>
                  </pic:blipFill>
                  <pic:spPr>
                    <a:xfrm>
                      <a:off x="0" y="0"/>
                      <a:ext cx="4539625" cy="450056"/>
                    </a:xfrm>
                    <a:prstGeom prst="rect">
                      <a:avLst/>
                    </a:prstGeom>
                  </pic:spPr>
                </pic:pic>
              </a:graphicData>
            </a:graphic>
          </wp:anchor>
        </w:drawing>
      </w:r>
      <w:r>
        <w:rPr>
          <w:color w:val="0D0D0D"/>
        </w:rPr>
        <w:t>（</w:t>
        <w:tab/>
        <w:t>1-34</w:t>
        <w:tab/>
        <w:t>％</w:t>
        <w:tab/>
        <w:t>）</w:t>
        <w:tab/>
        <w:t>＝</w:t>
        <w:tab/>
        <w:t>9.9</w:t>
        <w:tab/>
        <w:t>％</w:t>
        <w:tab/>
        <w:t>加</w:t>
        <w:tab/>
        <w:t>权</w:t>
        <w:tab/>
        <w:t>平</w:t>
        <w:tab/>
        <w:t>均</w:t>
        <w:tab/>
        <w:t>资</w:t>
        <w:tab/>
        <w:t>金</w:t>
        <w:tab/>
        <w:t>成</w:t>
        <w:tab/>
        <w:t>本</w:t>
        <w:tab/>
        <w:t>＝</w:t>
      </w:r>
    </w:p>
    <w:p>
      <w:pPr>
        <w:pStyle w:val="BodyText"/>
        <w:spacing w:before="65" w:line="247" w:lineRule="auto"/>
        <w:ind w:right="2645"/>
        <w:jc w:val="both"/>
      </w:pPr>
      <w:r>
        <w:rPr>
          <w:color w:val="0D0D0D"/>
        </w:rPr>
        <w:t>12</w:t>
      </w:r>
      <w:r>
        <w:rPr>
          <w:color w:val="0D0D0D"/>
          <w:spacing w:val="2"/>
        </w:rPr>
        <w:t>、某公司发行普通股股票</w:t>
      </w:r>
      <w:r>
        <w:rPr>
          <w:color w:val="0D0D0D"/>
        </w:rPr>
        <w:t>600</w:t>
      </w:r>
      <w:r>
        <w:rPr>
          <w:color w:val="0D0D0D"/>
          <w:spacing w:val="13"/>
        </w:rPr>
        <w:t xml:space="preserve"> 万元，筹资费用率为</w:t>
      </w:r>
      <w:r>
        <w:rPr>
          <w:color w:val="0D0D0D"/>
        </w:rPr>
        <w:t>5％，</w:t>
      </w:r>
      <w:r>
        <w:rPr>
          <w:color w:val="0D0D0D"/>
          <w:spacing w:val="4"/>
        </w:rPr>
        <w:t>上年股利率为</w:t>
      </w:r>
      <w:r>
        <w:rPr>
          <w:color w:val="0D0D0D"/>
        </w:rPr>
        <w:t>14</w:t>
      </w:r>
      <w:r>
        <w:rPr>
          <w:color w:val="0D0D0D"/>
          <w:spacing w:val="-2"/>
        </w:rPr>
        <w:t>％，预计股利每</w:t>
      </w:r>
      <w:r>
        <w:rPr>
          <w:color w:val="0D0D0D"/>
          <w:spacing w:val="-4"/>
        </w:rPr>
        <w:t xml:space="preserve">年增长 </w:t>
      </w:r>
      <w:r>
        <w:rPr>
          <w:color w:val="0D0D0D"/>
        </w:rPr>
        <w:t>5％，</w:t>
      </w:r>
      <w:r>
        <w:rPr>
          <w:color w:val="0D0D0D"/>
          <w:spacing w:val="-5"/>
        </w:rPr>
        <w:t xml:space="preserve">所得税税率 </w:t>
      </w:r>
      <w:r>
        <w:rPr>
          <w:color w:val="0D0D0D"/>
        </w:rPr>
        <w:t>33</w:t>
      </w:r>
      <w:r>
        <w:rPr>
          <w:color w:val="0D0D0D"/>
          <w:spacing w:val="-4"/>
        </w:rPr>
        <w:t xml:space="preserve">％，该公司年末留存 </w:t>
      </w:r>
      <w:r>
        <w:rPr>
          <w:color w:val="0D0D0D"/>
        </w:rPr>
        <w:t>50</w:t>
      </w:r>
      <w:r>
        <w:rPr>
          <w:color w:val="0D0D0D"/>
          <w:spacing w:val="-4"/>
        </w:rPr>
        <w:t xml:space="preserve"> 万元未分配利润用作发展之需，则该笔留存收益的成本为（ </w:t>
      </w:r>
      <w:r>
        <w:rPr>
          <w:color w:val="0D0D0D"/>
          <w:spacing w:val="-159"/>
        </w:rPr>
        <w:t>）</w:t>
      </w:r>
      <w:r>
        <w:rPr>
          <w:color w:val="0D0D0D"/>
        </w:rPr>
        <w:t>。</w:t>
      </w:r>
    </w:p>
    <w:p>
      <w:pPr>
        <w:pStyle w:val="BodyText"/>
        <w:tabs>
          <w:tab w:val="left" w:pos="6013"/>
          <w:tab w:val="left" w:pos="8375"/>
          <w:tab w:val="left" w:pos="10740"/>
        </w:tabs>
        <w:spacing w:line="394" w:lineRule="exact"/>
        <w:ind w:left="3334"/>
      </w:pPr>
      <w:r>
        <w:rPr>
          <w:color w:val="0D0D0D"/>
          <w:spacing w:val="-4"/>
        </w:rPr>
        <w:t>A</w:t>
      </w:r>
      <w:r>
        <w:rPr>
          <w:color w:val="0D0D0D"/>
        </w:rPr>
        <w:t>、14.74％</w:t>
        <w:tab/>
      </w:r>
      <w:r>
        <w:rPr>
          <w:color w:val="0D0D0D"/>
          <w:spacing w:val="-4"/>
        </w:rPr>
        <w:t>B</w:t>
      </w:r>
      <w:r>
        <w:rPr>
          <w:color w:val="0D0D0D"/>
        </w:rPr>
        <w:t>、19.7％</w:t>
        <w:tab/>
        <w:t>C、19％</w:t>
        <w:tab/>
        <w:t>D</w:t>
      </w:r>
      <w:r>
        <w:rPr>
          <w:color w:val="0D0D0D"/>
          <w:spacing w:val="-4"/>
        </w:rPr>
        <w:t>、</w:t>
      </w:r>
      <w:r>
        <w:rPr>
          <w:color w:val="0D0D0D"/>
        </w:rPr>
        <w:t>20.47％</w:t>
      </w:r>
    </w:p>
    <w:p>
      <w:pPr>
        <w:spacing w:before="15"/>
        <w:ind w:left="3330" w:right="0" w:firstLine="0"/>
        <w:jc w:val="left"/>
        <w:rPr>
          <w:sz w:val="31"/>
        </w:rPr>
      </w:pPr>
      <w:r>
        <w:rPr>
          <w:b/>
          <w:color w:val="0D0D0D"/>
          <w:sz w:val="31"/>
        </w:rPr>
        <w:t>答案:</w:t>
      </w:r>
      <w:r>
        <w:rPr>
          <w:color w:val="0D0D0D"/>
          <w:sz w:val="31"/>
        </w:rPr>
        <w:t>B</w:t>
      </w:r>
    </w:p>
    <w:p>
      <w:pPr>
        <w:pStyle w:val="BodyText"/>
        <w:spacing w:before="9"/>
        <w:ind w:left="3330"/>
      </w:pPr>
      <w:r>
        <w:rPr>
          <w:b/>
          <w:color w:val="0D0D0D"/>
        </w:rPr>
        <w:t>解析:</w:t>
      </w:r>
      <w:r>
        <w:rPr>
          <w:color w:val="0D0D0D"/>
        </w:rPr>
        <w:t>留存收益成本率＝（预计第一期股利/股票发行总额）+股利逐年增长率</w:t>
      </w:r>
    </w:p>
    <w:p>
      <w:pPr>
        <w:pStyle w:val="BodyText"/>
        <w:spacing w:before="13"/>
        <w:ind w:left="6168"/>
      </w:pPr>
      <w:r>
        <w:rPr>
          <w:color w:val="0D0D0D"/>
        </w:rPr>
        <w:t>＝〔14％×（1+5％）+5％＝19.7％〕</w:t>
      </w:r>
    </w:p>
    <w:p>
      <w:pPr>
        <w:pStyle w:val="BodyText"/>
        <w:spacing w:before="10"/>
      </w:pPr>
      <w:r>
        <w:rPr>
          <w:color w:val="0D0D0D"/>
          <w:w w:val="102"/>
        </w:rPr>
        <w:t>1</w:t>
      </w:r>
      <w:r>
        <w:rPr>
          <w:color w:val="0D0D0D"/>
          <w:spacing w:val="-1"/>
          <w:w w:val="102"/>
        </w:rPr>
        <w:t>3</w:t>
      </w:r>
      <w:r>
        <w:rPr>
          <w:color w:val="0D0D0D"/>
          <w:w w:val="102"/>
        </w:rPr>
        <w:t>、一般而言，企业资金成本最高的筹资方式是（</w:t>
      </w:r>
      <w:r>
        <w:rPr>
          <w:color w:val="0D0D0D"/>
          <w:spacing w:val="-197"/>
          <w:w w:val="102"/>
        </w:rPr>
        <w:t>）</w:t>
      </w:r>
      <w:r>
        <w:rPr>
          <w:color w:val="0D0D0D"/>
          <w:w w:val="102"/>
        </w:rPr>
        <w:t>。</w:t>
      </w:r>
    </w:p>
    <w:p>
      <w:pPr>
        <w:pStyle w:val="BodyText"/>
        <w:tabs>
          <w:tab w:val="left" w:pos="6168"/>
          <w:tab w:val="left" w:pos="8688"/>
          <w:tab w:val="left" w:pos="11525"/>
        </w:tabs>
        <w:spacing w:before="13" w:line="244" w:lineRule="auto"/>
        <w:ind w:left="3330" w:right="4272" w:firstLine="3"/>
      </w:pPr>
      <w:r>
        <w:rPr>
          <w:color w:val="0D0D0D"/>
          <w:spacing w:val="-4"/>
        </w:rPr>
        <w:t>A</w:t>
      </w:r>
      <w:r>
        <w:rPr>
          <w:color w:val="0D0D0D"/>
        </w:rPr>
        <w:t>、发行债券</w:t>
        <w:tab/>
      </w:r>
      <w:r>
        <w:rPr>
          <w:color w:val="0D0D0D"/>
          <w:spacing w:val="-4"/>
        </w:rPr>
        <w:t>B</w:t>
      </w:r>
      <w:r>
        <w:rPr>
          <w:color w:val="0D0D0D"/>
        </w:rPr>
        <w:t>、长期借款</w:t>
        <w:tab/>
        <w:t>C、发行普通股</w:t>
        <w:tab/>
        <w:t>D、发行优先</w:t>
      </w:r>
      <w:r>
        <w:rPr>
          <w:color w:val="0D0D0D"/>
          <w:spacing w:val="-17"/>
        </w:rPr>
        <w:t>股</w:t>
      </w:r>
      <w:r>
        <w:rPr>
          <w:b/>
          <w:color w:val="0D0D0D"/>
        </w:rPr>
        <w:t>答案:</w:t>
      </w:r>
      <w:r>
        <w:rPr>
          <w:color w:val="0D0D0D"/>
        </w:rPr>
        <w:t>C</w:t>
      </w:r>
    </w:p>
    <w:p>
      <w:pPr>
        <w:pStyle w:val="BodyText"/>
        <w:spacing w:before="7"/>
        <w:ind w:left="3330"/>
      </w:pPr>
      <w:r>
        <w:rPr>
          <w:b/>
          <w:color w:val="0D0D0D"/>
        </w:rPr>
        <w:t>解析:</w:t>
      </w:r>
      <w:r>
        <w:rPr>
          <w:color w:val="0D0D0D"/>
        </w:rPr>
        <w:t>一般而言，企业资金成本从高到低排序依次为普通股、优先股、债券、长期借款。</w:t>
      </w:r>
    </w:p>
    <w:p>
      <w:pPr>
        <w:pStyle w:val="BodyText"/>
        <w:spacing w:before="10"/>
      </w:pPr>
      <w:r>
        <w:rPr>
          <w:color w:val="0D0D0D"/>
        </w:rPr>
        <w:t xml:space="preserve">14、下列属于资金结构存量调整的方式有（ </w:t>
      </w:r>
      <w:r>
        <w:rPr>
          <w:color w:val="0D0D0D"/>
          <w:spacing w:val="-162"/>
        </w:rPr>
        <w:t>）</w:t>
      </w:r>
      <w:r>
        <w:rPr>
          <w:color w:val="0D0D0D"/>
        </w:rPr>
        <w:t>。</w:t>
      </w:r>
    </w:p>
    <w:p>
      <w:pPr>
        <w:pStyle w:val="BodyText"/>
        <w:tabs>
          <w:tab w:val="left" w:pos="5537"/>
          <w:tab w:val="left" w:pos="8058"/>
          <w:tab w:val="left" w:pos="10578"/>
        </w:tabs>
        <w:spacing w:before="13" w:line="244" w:lineRule="auto"/>
        <w:ind w:left="3330" w:right="5541" w:firstLine="3"/>
      </w:pPr>
      <w:r>
        <w:rPr>
          <w:color w:val="0D0D0D"/>
          <w:spacing w:val="-4"/>
        </w:rPr>
        <w:t>A</w:t>
      </w:r>
      <w:r>
        <w:rPr>
          <w:color w:val="0D0D0D"/>
        </w:rPr>
        <w:t>、债转股</w:t>
        <w:tab/>
        <w:t>B、融资租赁</w:t>
        <w:tab/>
        <w:t>C、发行新股</w:t>
        <w:tab/>
      </w:r>
      <w:r>
        <w:rPr>
          <w:color w:val="0D0D0D"/>
          <w:spacing w:val="-4"/>
        </w:rPr>
        <w:t>D</w:t>
      </w:r>
      <w:r>
        <w:rPr>
          <w:color w:val="0D0D0D"/>
        </w:rPr>
        <w:t>、股票回</w:t>
      </w:r>
      <w:r>
        <w:rPr>
          <w:color w:val="0D0D0D"/>
          <w:spacing w:val="-18"/>
        </w:rPr>
        <w:t>购</w:t>
      </w:r>
      <w:r>
        <w:rPr>
          <w:b/>
          <w:color w:val="0D0D0D"/>
        </w:rPr>
        <w:t>答案:</w:t>
      </w:r>
      <w:r>
        <w:rPr>
          <w:color w:val="0D0D0D"/>
        </w:rPr>
        <w:t>A</w:t>
      </w:r>
    </w:p>
    <w:p>
      <w:pPr>
        <w:pStyle w:val="BodyText"/>
        <w:spacing w:before="7" w:line="244" w:lineRule="auto"/>
        <w:ind w:right="2643" w:firstLine="629"/>
      </w:pPr>
      <w:r>
        <w:rPr>
          <w:b/>
          <w:color w:val="0D0D0D"/>
        </w:rPr>
        <w:t>解析:</w:t>
      </w:r>
      <w:r>
        <w:rPr>
          <w:color w:val="0D0D0D"/>
        </w:rPr>
        <w:t>融资租赁、发行新股属于资金结构增量调整方式；股票回购属于资金结构减量调整的方式；债转股属于资金结构存量调整方式。</w:t>
      </w:r>
    </w:p>
    <w:p>
      <w:pPr>
        <w:pStyle w:val="BodyText"/>
        <w:spacing w:before="7"/>
      </w:pPr>
      <w:r>
        <w:rPr>
          <w:color w:val="0D0D0D"/>
        </w:rPr>
        <w:t xml:space="preserve">15、以下哪种资本结构理论，认为负债越多则企业价值越大（ </w:t>
      </w:r>
      <w:r>
        <w:rPr>
          <w:color w:val="0D0D0D"/>
          <w:spacing w:val="-159"/>
        </w:rPr>
        <w:t>）</w:t>
      </w:r>
      <w:r>
        <w:rPr>
          <w:color w:val="0D0D0D"/>
        </w:rPr>
        <w:t>。</w:t>
      </w:r>
    </w:p>
    <w:p>
      <w:pPr>
        <w:pStyle w:val="BodyText"/>
        <w:tabs>
          <w:tab w:val="left" w:pos="6168"/>
          <w:tab w:val="left" w:pos="9318"/>
          <w:tab w:val="left" w:pos="12785"/>
        </w:tabs>
        <w:spacing w:before="10" w:line="247" w:lineRule="auto"/>
        <w:ind w:left="3330" w:right="3329" w:firstLine="3"/>
      </w:pPr>
      <w:r>
        <w:rPr>
          <w:color w:val="0D0D0D"/>
          <w:spacing w:val="-4"/>
        </w:rPr>
        <w:t>A</w:t>
      </w:r>
      <w:r>
        <w:rPr>
          <w:color w:val="0D0D0D"/>
        </w:rPr>
        <w:t>、净收益理论</w:t>
        <w:tab/>
      </w:r>
      <w:r>
        <w:rPr>
          <w:color w:val="0D0D0D"/>
          <w:spacing w:val="-4"/>
        </w:rPr>
        <w:t>B</w:t>
      </w:r>
      <w:r>
        <w:rPr>
          <w:color w:val="0D0D0D"/>
        </w:rPr>
        <w:t>、传统折衷理论</w:t>
        <w:tab/>
        <w:t>C、净营业收益理论</w:t>
        <w:tab/>
        <w:t>D、代理理</w:t>
      </w:r>
      <w:r>
        <w:rPr>
          <w:color w:val="0D0D0D"/>
          <w:spacing w:val="-17"/>
        </w:rPr>
        <w:t>论</w:t>
      </w:r>
      <w:r>
        <w:rPr>
          <w:b/>
          <w:color w:val="0D0D0D"/>
        </w:rPr>
        <w:t>答案:</w:t>
      </w:r>
      <w:r>
        <w:rPr>
          <w:color w:val="0D0D0D"/>
        </w:rPr>
        <w:t>A</w:t>
      </w:r>
    </w:p>
    <w:p>
      <w:pPr>
        <w:pStyle w:val="BodyText"/>
        <w:spacing w:line="396" w:lineRule="exact"/>
        <w:ind w:left="3330"/>
      </w:pPr>
      <w:r>
        <w:rPr>
          <w:b/>
          <w:color w:val="0D0D0D"/>
        </w:rPr>
        <w:t>解析:</w:t>
      </w:r>
      <w:r>
        <w:rPr>
          <w:color w:val="0D0D0D"/>
        </w:rPr>
        <w:t>净收益理论认为负债可以降低资本成本，负债越多则企业价值越大。</w:t>
      </w:r>
    </w:p>
    <w:p>
      <w:pPr>
        <w:pStyle w:val="BodyText"/>
        <w:spacing w:before="13" w:line="244" w:lineRule="auto"/>
        <w:ind w:right="2667"/>
      </w:pPr>
      <w:r>
        <w:rPr>
          <w:color w:val="0D0D0D"/>
        </w:rPr>
        <w:t>16、某公司普通股股票的β</w:t>
      </w:r>
      <w:r>
        <w:rPr>
          <w:color w:val="0D0D0D"/>
          <w:spacing w:val="3"/>
        </w:rPr>
        <w:t xml:space="preserve">系数为 </w:t>
      </w:r>
      <w:r>
        <w:rPr>
          <w:color w:val="0D0D0D"/>
        </w:rPr>
        <w:t>1.5</w:t>
      </w:r>
      <w:r>
        <w:rPr>
          <w:color w:val="0D0D0D"/>
          <w:spacing w:val="5"/>
        </w:rPr>
        <w:t xml:space="preserve">，无风险利率为 </w:t>
      </w:r>
      <w:r>
        <w:rPr>
          <w:color w:val="0D0D0D"/>
        </w:rPr>
        <w:t>8</w:t>
      </w:r>
      <w:r>
        <w:rPr>
          <w:color w:val="0D0D0D"/>
          <w:spacing w:val="-1"/>
        </w:rPr>
        <w:t>％，市场上所有股票的平均报酬率</w:t>
      </w:r>
      <w:r>
        <w:rPr>
          <w:color w:val="0D0D0D"/>
          <w:spacing w:val="-38"/>
        </w:rPr>
        <w:t xml:space="preserve">为 </w:t>
      </w:r>
      <w:r>
        <w:rPr>
          <w:color w:val="0D0D0D"/>
        </w:rPr>
        <w:t xml:space="preserve">10％，则该公司股票的资本成本为（ </w:t>
      </w:r>
      <w:r>
        <w:rPr>
          <w:color w:val="0D0D0D"/>
          <w:spacing w:val="-162"/>
        </w:rPr>
        <w:t>）</w:t>
      </w:r>
      <w:r>
        <w:rPr>
          <w:color w:val="0D0D0D"/>
        </w:rPr>
        <w:t>。</w:t>
      </w:r>
    </w:p>
    <w:p>
      <w:pPr>
        <w:pStyle w:val="BodyText"/>
        <w:tabs>
          <w:tab w:val="left" w:pos="5537"/>
          <w:tab w:val="left" w:pos="7745"/>
          <w:tab w:val="left" w:pos="9945"/>
        </w:tabs>
        <w:spacing w:before="7" w:line="244" w:lineRule="auto"/>
        <w:ind w:left="3330" w:right="6807" w:firstLine="3"/>
      </w:pPr>
      <w:r>
        <w:rPr>
          <w:color w:val="0D0D0D"/>
          <w:spacing w:val="-4"/>
        </w:rPr>
        <w:t>A</w:t>
      </w:r>
      <w:r>
        <w:rPr>
          <w:color w:val="0D0D0D"/>
        </w:rPr>
        <w:t>、8％</w:t>
        <w:tab/>
        <w:t>B、</w:t>
      </w:r>
      <w:r>
        <w:rPr>
          <w:color w:val="0D0D0D"/>
          <w:spacing w:val="-3"/>
        </w:rPr>
        <w:t>15％</w:t>
        <w:tab/>
      </w:r>
      <w:r>
        <w:rPr>
          <w:color w:val="0D0D0D"/>
          <w:spacing w:val="-4"/>
        </w:rPr>
        <w:t>C</w:t>
      </w:r>
      <w:r>
        <w:rPr>
          <w:color w:val="0D0D0D"/>
        </w:rPr>
        <w:t>、11％</w:t>
        <w:tab/>
        <w:t>D、</w:t>
      </w:r>
      <w:r>
        <w:rPr>
          <w:color w:val="0D0D0D"/>
          <w:spacing w:val="-8"/>
        </w:rPr>
        <w:t xml:space="preserve">12％ </w:t>
      </w:r>
      <w:r>
        <w:rPr>
          <w:b/>
          <w:color w:val="0D0D0D"/>
        </w:rPr>
        <w:t>答案:</w:t>
      </w:r>
      <w:r>
        <w:rPr>
          <w:color w:val="0D0D0D"/>
        </w:rPr>
        <w:t>C</w:t>
      </w:r>
    </w:p>
    <w:p>
      <w:pPr>
        <w:pStyle w:val="BodyText"/>
        <w:spacing w:before="4" w:line="247" w:lineRule="auto"/>
        <w:ind w:right="2543" w:firstLine="629"/>
      </w:pPr>
      <w:r>
        <w:rPr>
          <w:b/>
          <w:color w:val="0D0D0D"/>
          <w:spacing w:val="-1"/>
        </w:rPr>
        <w:t>解析:</w:t>
      </w:r>
      <w:r>
        <w:rPr>
          <w:color w:val="0D0D0D"/>
          <w:spacing w:val="-1"/>
        </w:rPr>
        <w:t>根据资本资产定价模式：Ki＝RF＋（RM－RF）=8%＋1.5×（10％－8％）＝11％</w:t>
      </w:r>
      <w:r>
        <w:rPr>
          <w:color w:val="0D0D0D"/>
          <w:spacing w:val="-11"/>
        </w:rPr>
        <w:t>。</w:t>
      </w:r>
      <w:r>
        <w:rPr>
          <w:color w:val="0D0D0D"/>
        </w:rPr>
        <w:t>顺便强调一下，10％为所有股票的平均报酬率，而</w:t>
      </w:r>
      <w:r>
        <w:rPr>
          <w:color w:val="0D0D0D"/>
          <w:spacing w:val="-4"/>
        </w:rPr>
        <w:t>（10％－8％）</w:t>
      </w:r>
      <w:r>
        <w:rPr>
          <w:color w:val="0D0D0D"/>
        </w:rPr>
        <w:t>为所有股票的平均风险报 酬率。</w:t>
      </w:r>
    </w:p>
    <w:p>
      <w:pPr>
        <w:pStyle w:val="BodyText"/>
        <w:spacing w:line="244" w:lineRule="auto"/>
        <w:ind w:right="2655"/>
      </w:pPr>
      <w:r>
        <w:rPr>
          <w:color w:val="0D0D0D"/>
        </w:rPr>
        <w:t>17、某公司计划发行债券，面值500</w:t>
      </w:r>
      <w:r>
        <w:rPr>
          <w:color w:val="0D0D0D"/>
          <w:spacing w:val="16"/>
        </w:rPr>
        <w:t xml:space="preserve"> 万元，年利息率为</w:t>
      </w:r>
      <w:r>
        <w:rPr>
          <w:color w:val="0D0D0D"/>
        </w:rPr>
        <w:t>10</w:t>
      </w:r>
      <w:r>
        <w:rPr>
          <w:color w:val="0D0D0D"/>
          <w:spacing w:val="3"/>
        </w:rPr>
        <w:t>％，预计筹资费用率为</w:t>
      </w:r>
      <w:r>
        <w:rPr>
          <w:color w:val="0D0D0D"/>
        </w:rPr>
        <w:t>5</w:t>
      </w:r>
      <w:r>
        <w:rPr>
          <w:color w:val="0D0D0D"/>
          <w:spacing w:val="-4"/>
        </w:rPr>
        <w:t>％，预计</w:t>
      </w:r>
      <w:r>
        <w:rPr>
          <w:color w:val="0D0D0D"/>
          <w:spacing w:val="-14"/>
        </w:rPr>
        <w:t xml:space="preserve">发行价格为 </w:t>
      </w:r>
      <w:r>
        <w:rPr>
          <w:color w:val="0D0D0D"/>
        </w:rPr>
        <w:t>600</w:t>
      </w:r>
      <w:r>
        <w:rPr>
          <w:color w:val="0D0D0D"/>
          <w:spacing w:val="-18"/>
        </w:rPr>
        <w:t xml:space="preserve"> 万元，所得税率为 </w:t>
      </w:r>
      <w:r>
        <w:rPr>
          <w:color w:val="0D0D0D"/>
        </w:rPr>
        <w:t xml:space="preserve">33％，则该债券的成本为（ </w:t>
      </w:r>
      <w:r>
        <w:rPr>
          <w:color w:val="0D0D0D"/>
          <w:spacing w:val="-159"/>
        </w:rPr>
        <w:t>）</w:t>
      </w:r>
      <w:r>
        <w:rPr>
          <w:color w:val="0D0D0D"/>
        </w:rPr>
        <w:t>。</w:t>
      </w:r>
    </w:p>
    <w:p>
      <w:pPr>
        <w:pStyle w:val="BodyText"/>
        <w:tabs>
          <w:tab w:val="left" w:pos="5224"/>
          <w:tab w:val="left" w:pos="7428"/>
          <w:tab w:val="left" w:pos="9635"/>
        </w:tabs>
        <w:spacing w:before="7" w:line="247" w:lineRule="auto"/>
        <w:ind w:left="3330" w:right="6803" w:firstLine="3"/>
      </w:pPr>
      <w:r>
        <w:drawing>
          <wp:anchor distT="0" distB="0" distL="0" distR="0" simplePos="0" relativeHeight="251677696" behindDoc="0" locked="0" layoutInCell="1" allowOverlap="1">
            <wp:simplePos x="0" y="0"/>
            <wp:positionH relativeFrom="page">
              <wp:posOffset>4016628</wp:posOffset>
            </wp:positionH>
            <wp:positionV relativeFrom="paragraph">
              <wp:posOffset>499618</wp:posOffset>
            </wp:positionV>
            <wp:extent cx="2699384" cy="521588"/>
            <wp:effectExtent l="0" t="0" r="0" b="0"/>
            <wp:wrapNone/>
            <wp:docPr id="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png"/>
                    <pic:cNvPicPr/>
                  </pic:nvPicPr>
                  <pic:blipFill>
                    <a:blip xmlns:r="http://schemas.openxmlformats.org/officeDocument/2006/relationships" r:embed="rId122" cstate="print"/>
                    <a:stretch>
                      <a:fillRect/>
                    </a:stretch>
                  </pic:blipFill>
                  <pic:spPr>
                    <a:xfrm>
                      <a:off x="0" y="0"/>
                      <a:ext cx="2699384" cy="521588"/>
                    </a:xfrm>
                    <a:prstGeom prst="rect">
                      <a:avLst/>
                    </a:prstGeom>
                  </pic:spPr>
                </pic:pic>
              </a:graphicData>
            </a:graphic>
          </wp:anchor>
        </w:drawing>
      </w:r>
      <w:r>
        <w:rPr>
          <w:color w:val="0D0D0D"/>
          <w:spacing w:val="-4"/>
        </w:rPr>
        <w:t>A</w:t>
      </w:r>
      <w:r>
        <w:rPr>
          <w:color w:val="0D0D0D"/>
        </w:rPr>
        <w:t>、10％</w:t>
        <w:tab/>
      </w:r>
      <w:r>
        <w:rPr>
          <w:color w:val="0D0D0D"/>
          <w:spacing w:val="-4"/>
        </w:rPr>
        <w:t>B</w:t>
      </w:r>
      <w:r>
        <w:rPr>
          <w:color w:val="0D0D0D"/>
        </w:rPr>
        <w:t>、7.05％</w:t>
        <w:tab/>
        <w:t>C</w:t>
      </w:r>
      <w:r>
        <w:rPr>
          <w:color w:val="0D0D0D"/>
          <w:spacing w:val="-4"/>
        </w:rPr>
        <w:t>、</w:t>
      </w:r>
      <w:r>
        <w:rPr>
          <w:color w:val="0D0D0D"/>
        </w:rPr>
        <w:t>5.88％</w:t>
        <w:tab/>
      </w:r>
      <w:r>
        <w:rPr>
          <w:color w:val="0D0D0D"/>
          <w:spacing w:val="-4"/>
        </w:rPr>
        <w:t>D</w:t>
      </w:r>
      <w:r>
        <w:rPr>
          <w:color w:val="0D0D0D"/>
        </w:rPr>
        <w:t>、</w:t>
      </w:r>
      <w:r>
        <w:rPr>
          <w:color w:val="0D0D0D"/>
          <w:spacing w:val="-5"/>
        </w:rPr>
        <w:t xml:space="preserve">8.77％ </w:t>
      </w:r>
      <w:r>
        <w:rPr>
          <w:b/>
          <w:color w:val="0D0D0D"/>
        </w:rPr>
        <w:t>答案:</w:t>
      </w:r>
      <w:r>
        <w:rPr>
          <w:color w:val="0D0D0D"/>
        </w:rPr>
        <w:t>C</w:t>
      </w:r>
    </w:p>
    <w:p>
      <w:pPr>
        <w:pStyle w:val="BodyText"/>
        <w:spacing w:before="11"/>
        <w:ind w:left="0"/>
        <w:rPr>
          <w:sz w:val="39"/>
        </w:rPr>
      </w:pPr>
    </w:p>
    <w:p>
      <w:pPr>
        <w:spacing w:before="0"/>
        <w:ind w:left="3330" w:right="0" w:firstLine="0"/>
        <w:jc w:val="left"/>
        <w:rPr>
          <w:sz w:val="31"/>
        </w:rPr>
      </w:pPr>
      <w:r>
        <w:rPr>
          <w:b/>
          <w:color w:val="0D0D0D"/>
          <w:sz w:val="31"/>
        </w:rPr>
        <w:t>解析:</w:t>
      </w:r>
      <w:r>
        <w:rPr>
          <w:color w:val="0D0D0D"/>
          <w:sz w:val="31"/>
        </w:rPr>
        <w:t>债券资金成本＝</w:t>
      </w:r>
    </w:p>
    <w:p>
      <w:pPr>
        <w:pStyle w:val="BodyText"/>
        <w:spacing w:before="10"/>
      </w:pPr>
      <w:r>
        <w:rPr>
          <w:color w:val="0D0D0D"/>
        </w:rPr>
        <w:t>18、按照比较资本成本法，要使资本结构达到最佳，应使（ ）达到最低。</w:t>
      </w:r>
    </w:p>
    <w:p>
      <w:pPr>
        <w:pStyle w:val="BodyText"/>
        <w:tabs>
          <w:tab w:val="left" w:pos="7122"/>
          <w:tab w:val="left" w:pos="10276"/>
          <w:tab w:val="left" w:pos="13434"/>
        </w:tabs>
        <w:spacing w:before="13" w:line="244" w:lineRule="auto"/>
        <w:ind w:right="2684" w:firstLine="633"/>
      </w:pPr>
      <w:r>
        <w:rPr>
          <w:color w:val="0D0D0D"/>
        </w:rPr>
        <w:t>A、加权平均资本成本</w:t>
        <w:tab/>
      </w:r>
      <w:r>
        <w:rPr>
          <w:color w:val="0D0D0D"/>
          <w:spacing w:val="-4"/>
        </w:rPr>
        <w:t>B</w:t>
      </w:r>
      <w:r>
        <w:rPr>
          <w:color w:val="0D0D0D"/>
        </w:rPr>
        <w:t>、边际资本成本</w:t>
        <w:tab/>
        <w:t>C、债务资本成本</w:t>
        <w:tab/>
      </w:r>
      <w:r>
        <w:rPr>
          <w:color w:val="0D0D0D"/>
          <w:spacing w:val="-4"/>
        </w:rPr>
        <w:t>D</w:t>
      </w:r>
      <w:r>
        <w:rPr>
          <w:color w:val="0D0D0D"/>
        </w:rPr>
        <w:t>、自有资</w:t>
      </w:r>
      <w:r>
        <w:rPr>
          <w:color w:val="0D0D0D"/>
          <w:spacing w:val="-17"/>
        </w:rPr>
        <w:t>本</w:t>
      </w:r>
      <w:r>
        <w:rPr>
          <w:color w:val="0D0D0D"/>
        </w:rPr>
        <w:t>成本</w:t>
      </w:r>
    </w:p>
    <w:p>
      <w:pPr>
        <w:spacing w:before="7"/>
        <w:ind w:left="3330" w:right="0" w:firstLine="0"/>
        <w:jc w:val="left"/>
        <w:rPr>
          <w:sz w:val="31"/>
        </w:rPr>
      </w:pPr>
      <w:r>
        <w:rPr>
          <w:b/>
          <w:color w:val="0D0D0D"/>
          <w:sz w:val="31"/>
        </w:rPr>
        <w:t>答案:</w:t>
      </w:r>
      <w:r>
        <w:rPr>
          <w:color w:val="0D0D0D"/>
          <w:sz w:val="31"/>
        </w:rPr>
        <w:t>A</w:t>
      </w:r>
    </w:p>
    <w:p>
      <w:pPr>
        <w:pStyle w:val="BodyText"/>
        <w:spacing w:before="9"/>
        <w:ind w:left="3330"/>
      </w:pPr>
      <w:r>
        <w:rPr>
          <w:b/>
          <w:color w:val="0D0D0D"/>
        </w:rPr>
        <w:t>解析:</w:t>
      </w:r>
      <w:r>
        <w:rPr>
          <w:color w:val="0D0D0D"/>
        </w:rPr>
        <w:t>最佳资本结构是指使企业价值最大，加权平均资金成本最低的资本结构。</w:t>
      </w:r>
    </w:p>
    <w:p>
      <w:pPr>
        <w:pStyle w:val="BodyText"/>
        <w:tabs>
          <w:tab w:val="left" w:pos="8058"/>
        </w:tabs>
        <w:spacing w:before="14" w:line="244" w:lineRule="auto"/>
        <w:ind w:left="3334" w:right="4438" w:hanging="634"/>
      </w:pPr>
      <w:r>
        <w:rPr>
          <w:color w:val="0D0D0D"/>
        </w:rPr>
        <w:t>19、资金成本包括用资费用和筹资费用，下列费用不属于筹资费用的是（</w:t>
      </w:r>
      <w:r>
        <w:rPr>
          <w:color w:val="0D0D0D"/>
          <w:spacing w:val="148"/>
        </w:rPr>
        <w:t xml:space="preserve"> </w:t>
      </w:r>
      <w:r>
        <w:rPr>
          <w:color w:val="0D0D0D"/>
          <w:spacing w:val="-162"/>
        </w:rPr>
        <w:t>）</w:t>
      </w:r>
      <w:r>
        <w:rPr>
          <w:color w:val="0D0D0D"/>
          <w:spacing w:val="-16"/>
        </w:rPr>
        <w:t>。</w:t>
      </w:r>
      <w:r>
        <w:rPr>
          <w:color w:val="0D0D0D"/>
          <w:spacing w:val="-4"/>
        </w:rPr>
        <w:t>A</w:t>
      </w:r>
      <w:r>
        <w:rPr>
          <w:color w:val="0D0D0D"/>
        </w:rPr>
        <w:t>、向银行支付的借款手续费</w:t>
        <w:tab/>
        <w:t>B、股票的发行费用</w:t>
      </w:r>
    </w:p>
    <w:p>
      <w:pPr>
        <w:spacing w:after="0" w:line="244" w:lineRule="auto"/>
        <w:sectPr>
          <w:headerReference w:type="default" r:id="rId123"/>
          <w:footerReference w:type="default" r:id="rId124"/>
          <w:pgSz w:w="17860" w:h="25260"/>
          <w:pgMar w:top="1720" w:right="0" w:bottom="1940" w:left="0" w:header="1129" w:footer="1752"/>
          <w:pgNumType w:start="6"/>
          <w:cols w:space="708"/>
        </w:sectPr>
      </w:pPr>
    </w:p>
    <w:p>
      <w:pPr>
        <w:pStyle w:val="BodyText"/>
        <w:spacing w:before="3"/>
        <w:ind w:left="0"/>
        <w:rPr>
          <w:sz w:val="8"/>
        </w:rPr>
      </w:pPr>
    </w:p>
    <w:p>
      <w:pPr>
        <w:pStyle w:val="BodyText"/>
        <w:spacing w:before="63" w:line="247" w:lineRule="auto"/>
        <w:ind w:left="3330" w:right="6786" w:firstLine="3"/>
        <w:jc w:val="both"/>
      </w:pPr>
      <w:r>
        <w:rPr>
          <w:color w:val="0D0D0D"/>
        </w:rPr>
        <w:t>C、向股东支付的股利    D、向证券经纪商支付的佣金</w:t>
      </w:r>
      <w:r>
        <w:rPr>
          <w:b/>
          <w:color w:val="0D0D0D"/>
        </w:rPr>
        <w:t>答案:</w:t>
      </w:r>
      <w:r>
        <w:rPr>
          <w:color w:val="0D0D0D"/>
        </w:rPr>
        <w:t>C</w:t>
      </w:r>
    </w:p>
    <w:p>
      <w:pPr>
        <w:pStyle w:val="BodyText"/>
        <w:spacing w:line="247" w:lineRule="auto"/>
        <w:ind w:right="2643" w:firstLine="629"/>
        <w:jc w:val="both"/>
      </w:pPr>
      <w:r>
        <w:rPr>
          <w:b/>
          <w:color w:val="0D0D0D"/>
        </w:rPr>
        <w:t>解析:</w:t>
      </w:r>
      <w:r>
        <w:rPr>
          <w:color w:val="0D0D0D"/>
          <w:spacing w:val="-1"/>
        </w:rPr>
        <w:t>筹资费用是指企业在筹措资金过程中为获取资金而支付的费用，如向银行支付的</w:t>
      </w:r>
      <w:r>
        <w:rPr>
          <w:color w:val="0D0D0D"/>
          <w:spacing w:val="-14"/>
        </w:rPr>
        <w:t>手续费，因发行股票和债券而支付的发行费等；而向股东支付的股利、向债权人支付的利息等，这属于企业的用资费用。</w:t>
      </w:r>
    </w:p>
    <w:p>
      <w:pPr>
        <w:pStyle w:val="BodyText"/>
        <w:spacing w:line="394" w:lineRule="exact"/>
        <w:jc w:val="both"/>
      </w:pPr>
      <w:r>
        <w:rPr>
          <w:color w:val="0D0D0D"/>
        </w:rPr>
        <w:t>20、按（ ）计算得出的加权平均资金成本更适用于企业筹措新资金。</w:t>
      </w:r>
    </w:p>
    <w:p>
      <w:pPr>
        <w:pStyle w:val="BodyText"/>
        <w:spacing w:before="12" w:line="244" w:lineRule="auto"/>
        <w:ind w:left="3330" w:right="2697" w:firstLine="3"/>
        <w:jc w:val="both"/>
      </w:pPr>
      <w:r>
        <w:rPr>
          <w:color w:val="0D0D0D"/>
        </w:rPr>
        <w:t>A、账面价值权数    B、市场价值权数     C、目标价值权数     D、平均价格权数</w:t>
      </w:r>
      <w:r>
        <w:rPr>
          <w:b/>
          <w:color w:val="0D0D0D"/>
        </w:rPr>
        <w:t>答案:</w:t>
      </w:r>
      <w:r>
        <w:rPr>
          <w:color w:val="0D0D0D"/>
        </w:rPr>
        <w:t>C</w:t>
      </w:r>
    </w:p>
    <w:p>
      <w:pPr>
        <w:pStyle w:val="BodyText"/>
        <w:spacing w:before="7" w:line="247" w:lineRule="auto"/>
        <w:ind w:right="2643" w:firstLine="629"/>
        <w:jc w:val="both"/>
      </w:pPr>
      <w:r>
        <w:rPr>
          <w:b/>
          <w:color w:val="0D0D0D"/>
        </w:rPr>
        <w:t>解析:</w:t>
      </w:r>
      <w:r>
        <w:rPr>
          <w:color w:val="0D0D0D"/>
          <w:spacing w:val="-1"/>
        </w:rPr>
        <w:t>目标价值权数能体现期望的资金结构，而不是像账面价值和市场价值权数那样只</w:t>
      </w:r>
      <w:r>
        <w:rPr>
          <w:color w:val="0D0D0D"/>
          <w:spacing w:val="-14"/>
        </w:rPr>
        <w:t>反映过去和现在的资金结构，所以按目标价值权数计算得出的加权平均资金成本更适用于企</w:t>
      </w:r>
      <w:r>
        <w:rPr>
          <w:color w:val="0D0D0D"/>
        </w:rPr>
        <w:t>业筹措新资金。</w:t>
      </w:r>
    </w:p>
    <w:p>
      <w:pPr>
        <w:pStyle w:val="Heading2"/>
        <w:spacing w:line="394" w:lineRule="exact"/>
      </w:pPr>
      <w:r>
        <w:rPr>
          <w:color w:val="0D0D0D"/>
        </w:rPr>
        <w:t>二、多项选择题</w:t>
      </w:r>
    </w:p>
    <w:p>
      <w:pPr>
        <w:pStyle w:val="BodyText"/>
        <w:spacing w:before="14"/>
      </w:pPr>
      <w:r>
        <w:rPr>
          <w:color w:val="0D0D0D"/>
        </w:rPr>
        <w:t xml:space="preserve">1、下列关于经营杠杆系数的叙述，不正确的有（ </w:t>
      </w:r>
      <w:r>
        <w:rPr>
          <w:color w:val="0D0D0D"/>
          <w:spacing w:val="-162"/>
        </w:rPr>
        <w:t>）</w:t>
      </w:r>
      <w:r>
        <w:rPr>
          <w:color w:val="0D0D0D"/>
        </w:rPr>
        <w:t>。</w:t>
      </w:r>
    </w:p>
    <w:p>
      <w:pPr>
        <w:pStyle w:val="BodyText"/>
        <w:spacing w:before="9" w:line="249" w:lineRule="auto"/>
        <w:ind w:left="3334" w:right="3914"/>
      </w:pPr>
      <w:r>
        <w:rPr>
          <w:color w:val="0D0D0D"/>
          <w:spacing w:val="-4"/>
        </w:rPr>
        <w:t>A</w:t>
      </w:r>
      <w:r>
        <w:rPr>
          <w:color w:val="0D0D0D"/>
          <w:spacing w:val="-1"/>
        </w:rPr>
        <w:t xml:space="preserve">、经营杠杆系数指的是息税前的利润变动率相当于产销业务量变动率的倍数 </w:t>
      </w:r>
      <w:r>
        <w:rPr>
          <w:color w:val="0D0D0D"/>
          <w:spacing w:val="-4"/>
        </w:rPr>
        <w:t>B</w:t>
      </w:r>
      <w:r>
        <w:rPr>
          <w:color w:val="0D0D0D"/>
        </w:rPr>
        <w:t>、固定成本不变，销售额越大，经营杠杆系数就越大，经营风险就越小</w:t>
      </w:r>
    </w:p>
    <w:p>
      <w:pPr>
        <w:pStyle w:val="BodyText"/>
        <w:spacing w:line="389" w:lineRule="exact"/>
        <w:ind w:left="3334"/>
      </w:pPr>
      <w:r>
        <w:rPr>
          <w:color w:val="0D0D0D"/>
        </w:rPr>
        <w:t>C、经营杠杆系数表明经营杠杆是利润不稳定的根源</w:t>
      </w:r>
    </w:p>
    <w:p>
      <w:pPr>
        <w:pStyle w:val="BodyText"/>
        <w:spacing w:before="13" w:line="244" w:lineRule="auto"/>
        <w:ind w:left="3330" w:right="4232" w:firstLine="3"/>
      </w:pPr>
      <w:r>
        <w:rPr>
          <w:color w:val="0D0D0D"/>
        </w:rPr>
        <w:t>D、降低经营杠杆系数的措施有增加销售额、降低单位变动成本和固定成本</w:t>
      </w:r>
      <w:r>
        <w:rPr>
          <w:b/>
          <w:color w:val="0D0D0D"/>
        </w:rPr>
        <w:t>答案:</w:t>
      </w:r>
      <w:r>
        <w:rPr>
          <w:color w:val="0D0D0D"/>
        </w:rPr>
        <w:t>BC</w:t>
      </w:r>
    </w:p>
    <w:p>
      <w:pPr>
        <w:pStyle w:val="BodyText"/>
        <w:spacing w:before="7" w:line="247" w:lineRule="auto"/>
        <w:ind w:right="2519" w:firstLine="629"/>
      </w:pPr>
      <w:r>
        <w:rPr>
          <w:b/>
          <w:color w:val="0D0D0D"/>
        </w:rPr>
        <w:t>解析:</w:t>
      </w:r>
      <w:r>
        <w:rPr>
          <w:color w:val="0D0D0D"/>
          <w:spacing w:val="-12"/>
        </w:rPr>
        <w:t>在固定成本不变的条件下，当</w:t>
      </w:r>
      <w:r>
        <w:rPr>
          <w:color w:val="0D0D0D"/>
          <w:spacing w:val="-14"/>
        </w:rPr>
        <w:t>（M-a）</w:t>
      </w:r>
      <w:r>
        <w:rPr>
          <w:color w:val="0D0D0D"/>
          <w:spacing w:val="11"/>
        </w:rPr>
        <w:t xml:space="preserve">大于 </w:t>
      </w:r>
      <w:r>
        <w:rPr>
          <w:color w:val="0D0D0D"/>
        </w:rPr>
        <w:t>0</w:t>
      </w:r>
      <w:r>
        <w:rPr>
          <w:color w:val="0D0D0D"/>
          <w:spacing w:val="-12"/>
        </w:rPr>
        <w:t xml:space="preserve"> 时，销售额越大，经营杠杆系数越小， </w:t>
      </w:r>
      <w:r>
        <w:rPr>
          <w:color w:val="0D0D0D"/>
          <w:spacing w:val="-13"/>
        </w:rPr>
        <w:t>经营风险越小。经营杜杆本身并不是利润不稳定的根源，经营杠杆只是扩大了市场和生产等 不确定性因素对利润变动的影响。</w:t>
      </w:r>
    </w:p>
    <w:p>
      <w:pPr>
        <w:pStyle w:val="BodyText"/>
        <w:spacing w:line="394" w:lineRule="exact"/>
      </w:pPr>
      <w:r>
        <w:rPr>
          <w:color w:val="0D0D0D"/>
        </w:rPr>
        <w:t xml:space="preserve">2、下列可以调整资金结构的是（ </w:t>
      </w:r>
      <w:r>
        <w:rPr>
          <w:color w:val="0D0D0D"/>
          <w:spacing w:val="-159"/>
        </w:rPr>
        <w:t>）</w:t>
      </w:r>
      <w:r>
        <w:rPr>
          <w:color w:val="0D0D0D"/>
        </w:rPr>
        <w:t>。</w:t>
      </w:r>
    </w:p>
    <w:p>
      <w:pPr>
        <w:pStyle w:val="BodyText"/>
        <w:tabs>
          <w:tab w:val="left" w:pos="5659"/>
          <w:tab w:val="left" w:pos="9563"/>
          <w:tab w:val="left" w:pos="12835"/>
        </w:tabs>
        <w:spacing w:before="10" w:line="247" w:lineRule="auto"/>
        <w:ind w:left="3330" w:right="2686" w:firstLine="3"/>
      </w:pPr>
      <w:r>
        <w:rPr>
          <w:color w:val="0D0D0D"/>
          <w:spacing w:val="-4"/>
        </w:rPr>
        <w:t>A</w:t>
      </w:r>
      <w:r>
        <w:rPr>
          <w:color w:val="0D0D0D"/>
        </w:rPr>
        <w:t>、股转债</w:t>
        <w:tab/>
        <w:t>B</w:t>
      </w:r>
      <w:r>
        <w:rPr>
          <w:color w:val="0D0D0D"/>
          <w:spacing w:val="-40"/>
        </w:rPr>
        <w:t>、</w:t>
      </w:r>
      <w:r>
        <w:rPr>
          <w:color w:val="0D0D0D"/>
        </w:rPr>
        <w:t>增发新股偿还债务</w:t>
        <w:tab/>
      </w:r>
      <w:r>
        <w:rPr>
          <w:color w:val="0D0D0D"/>
          <w:spacing w:val="-4"/>
        </w:rPr>
        <w:t>C</w:t>
      </w:r>
      <w:r>
        <w:rPr>
          <w:color w:val="0D0D0D"/>
        </w:rPr>
        <w:t>、进行融资租赁</w:t>
        <w:tab/>
        <w:t>D</w:t>
      </w:r>
      <w:r>
        <w:rPr>
          <w:color w:val="0D0D0D"/>
          <w:spacing w:val="-40"/>
        </w:rPr>
        <w:t>、</w:t>
      </w:r>
      <w:r>
        <w:rPr>
          <w:color w:val="0D0D0D"/>
        </w:rPr>
        <w:t>进行企业分</w:t>
      </w:r>
      <w:r>
        <w:rPr>
          <w:color w:val="0D0D0D"/>
          <w:spacing w:val="-18"/>
        </w:rPr>
        <w:t>立</w:t>
      </w:r>
      <w:r>
        <w:rPr>
          <w:b/>
          <w:color w:val="0D0D0D"/>
        </w:rPr>
        <w:t>答案:</w:t>
      </w:r>
      <w:r>
        <w:rPr>
          <w:color w:val="0D0D0D"/>
        </w:rPr>
        <w:t>ABCD</w:t>
      </w:r>
    </w:p>
    <w:p>
      <w:pPr>
        <w:pStyle w:val="BodyText"/>
        <w:spacing w:line="247" w:lineRule="auto"/>
        <w:ind w:right="2509" w:firstLine="629"/>
      </w:pPr>
      <w:r>
        <w:rPr>
          <w:b/>
          <w:color w:val="0D0D0D"/>
          <w:w w:val="101"/>
        </w:rPr>
        <w:t>解析</w:t>
      </w:r>
      <w:r>
        <w:rPr>
          <w:b/>
          <w:color w:val="0D0D0D"/>
          <w:w w:val="101"/>
        </w:rPr>
        <w:t>:</w:t>
      </w:r>
      <w:r>
        <w:rPr>
          <w:color w:val="0D0D0D"/>
          <w:w w:val="102"/>
        </w:rPr>
        <w:t>企业调整资金结构的方法有</w:t>
      </w:r>
      <w:r>
        <w:rPr>
          <w:color w:val="0D0D0D"/>
          <w:spacing w:val="-180"/>
          <w:w w:val="102"/>
        </w:rPr>
        <w:t>：</w:t>
      </w:r>
      <w:r>
        <w:rPr>
          <w:color w:val="0D0D0D"/>
          <w:w w:val="102"/>
        </w:rPr>
        <w:t>（一）</w:t>
      </w:r>
      <w:r>
        <w:rPr>
          <w:color w:val="0D0D0D"/>
          <w:spacing w:val="-1"/>
          <w:w w:val="102"/>
        </w:rPr>
        <w:t>存量调整。其方法主要有“债转股、股转债；</w:t>
      </w:r>
      <w:r>
        <w:rPr>
          <w:color w:val="0D0D0D"/>
        </w:rPr>
        <w:t>增发新股偿还债务；调整现有负债结构；调整权益资金结构</w:t>
      </w:r>
      <w:r>
        <w:rPr>
          <w:color w:val="0D0D0D"/>
          <w:spacing w:val="-190"/>
        </w:rPr>
        <w:t>。</w:t>
      </w:r>
      <w:r>
        <w:rPr>
          <w:color w:val="0D0D0D"/>
        </w:rPr>
        <w:t>（二）增量调整。其主要途径 是从外部取得增量资本，如发行新债、举借新贷款、进行融资租赁、发行新股票等</w:t>
      </w:r>
      <w:r>
        <w:rPr>
          <w:color w:val="0D0D0D"/>
          <w:spacing w:val="-204"/>
        </w:rPr>
        <w:t>。</w:t>
      </w:r>
      <w:r>
        <w:rPr>
          <w:color w:val="0D0D0D"/>
        </w:rPr>
        <w:t xml:space="preserve">（三） </w:t>
      </w:r>
      <w:r>
        <w:rPr>
          <w:color w:val="0D0D0D"/>
          <w:spacing w:val="-14"/>
        </w:rPr>
        <w:t>减量调整。其主要途径有提前归还借款，收回发行在外的可提前的收回债券，股票回购减少 公司股本，进行企业分立等。</w:t>
      </w:r>
    </w:p>
    <w:p>
      <w:pPr>
        <w:pStyle w:val="BodyText"/>
      </w:pPr>
      <w:r>
        <w:rPr>
          <w:color w:val="0D0D0D"/>
        </w:rPr>
        <w:t xml:space="preserve">3、企业在最优资金结构下，正确的是（ </w:t>
      </w:r>
      <w:r>
        <w:rPr>
          <w:color w:val="0D0D0D"/>
          <w:spacing w:val="-163"/>
        </w:rPr>
        <w:t>）</w:t>
      </w:r>
      <w:r>
        <w:rPr>
          <w:color w:val="0D0D0D"/>
        </w:rPr>
        <w:t>。</w:t>
      </w:r>
    </w:p>
    <w:p>
      <w:pPr>
        <w:pStyle w:val="BodyText"/>
        <w:tabs>
          <w:tab w:val="left" w:pos="7122"/>
          <w:tab w:val="left" w:pos="11540"/>
          <w:tab w:val="left" w:pos="14694"/>
        </w:tabs>
        <w:spacing w:before="8" w:line="247" w:lineRule="auto"/>
        <w:ind w:right="2687" w:firstLine="633"/>
      </w:pPr>
      <w:r>
        <w:rPr>
          <w:color w:val="0D0D0D"/>
        </w:rPr>
        <w:t>A、边际资金成本最低</w:t>
        <w:tab/>
      </w:r>
      <w:r>
        <w:rPr>
          <w:color w:val="0D0D0D"/>
          <w:spacing w:val="-4"/>
        </w:rPr>
        <w:t>B</w:t>
      </w:r>
      <w:r>
        <w:rPr>
          <w:color w:val="0D0D0D"/>
        </w:rPr>
        <w:t>、加权平均资金成本最低</w:t>
        <w:tab/>
      </w:r>
      <w:r>
        <w:rPr>
          <w:color w:val="0D0D0D"/>
          <w:spacing w:val="-4"/>
        </w:rPr>
        <w:t>C</w:t>
      </w:r>
      <w:r>
        <w:rPr>
          <w:color w:val="0D0D0D"/>
        </w:rPr>
        <w:t>、企业价值最大</w:t>
        <w:tab/>
        <w:t>D</w:t>
      </w:r>
      <w:r>
        <w:rPr>
          <w:color w:val="0D0D0D"/>
          <w:spacing w:val="-17"/>
        </w:rPr>
        <w:t>、</w:t>
      </w:r>
      <w:r>
        <w:rPr>
          <w:color w:val="0D0D0D"/>
        </w:rPr>
        <w:t>每股收益最大</w:t>
      </w:r>
    </w:p>
    <w:p>
      <w:pPr>
        <w:spacing w:before="0" w:line="396" w:lineRule="exact"/>
        <w:ind w:left="3330" w:right="0" w:firstLine="0"/>
        <w:jc w:val="left"/>
        <w:rPr>
          <w:sz w:val="31"/>
        </w:rPr>
      </w:pPr>
      <w:r>
        <w:rPr>
          <w:b/>
          <w:color w:val="0D0D0D"/>
          <w:sz w:val="31"/>
        </w:rPr>
        <w:t>答案:</w:t>
      </w:r>
      <w:r>
        <w:rPr>
          <w:color w:val="0D0D0D"/>
          <w:sz w:val="31"/>
        </w:rPr>
        <w:t>BC</w:t>
      </w:r>
    </w:p>
    <w:p>
      <w:pPr>
        <w:pStyle w:val="BodyText"/>
        <w:spacing w:before="14" w:line="244" w:lineRule="auto"/>
        <w:ind w:right="2643" w:firstLine="629"/>
      </w:pPr>
      <w:r>
        <w:rPr>
          <w:b/>
          <w:color w:val="0D0D0D"/>
        </w:rPr>
        <w:t>解析:</w:t>
      </w:r>
      <w:r>
        <w:rPr>
          <w:color w:val="0D0D0D"/>
        </w:rPr>
        <w:t>所谓最优资金结构是指在一定条件下使企业加权平均资金成本最低、企业价值最大的资金结构。</w:t>
      </w:r>
    </w:p>
    <w:p>
      <w:pPr>
        <w:pStyle w:val="BodyText"/>
        <w:spacing w:before="7"/>
      </w:pPr>
      <w:r>
        <w:rPr>
          <w:color w:val="0D0D0D"/>
        </w:rPr>
        <w:t xml:space="preserve">4、下列属于影响资金结构的因素的是（ </w:t>
      </w:r>
      <w:r>
        <w:rPr>
          <w:color w:val="0D0D0D"/>
          <w:spacing w:val="-163"/>
        </w:rPr>
        <w:t>）</w:t>
      </w:r>
      <w:r>
        <w:rPr>
          <w:color w:val="0D0D0D"/>
        </w:rPr>
        <w:t>。</w:t>
      </w:r>
    </w:p>
    <w:p>
      <w:pPr>
        <w:pStyle w:val="BodyText"/>
        <w:tabs>
          <w:tab w:val="left" w:pos="6438"/>
          <w:tab w:val="left" w:pos="9542"/>
          <w:tab w:val="left" w:pos="14852"/>
        </w:tabs>
        <w:spacing w:before="9" w:line="247" w:lineRule="auto"/>
        <w:ind w:right="2529" w:firstLine="633"/>
      </w:pPr>
      <w:r>
        <w:rPr>
          <w:color w:val="0D0D0D"/>
          <w:spacing w:val="-4"/>
        </w:rPr>
        <w:t>A</w:t>
      </w:r>
      <w:r>
        <w:rPr>
          <w:color w:val="0D0D0D"/>
          <w:spacing w:val="-47"/>
        </w:rPr>
        <w:t>、</w:t>
      </w:r>
      <w:r>
        <w:rPr>
          <w:color w:val="0D0D0D"/>
        </w:rPr>
        <w:t>企业财务状况</w:t>
        <w:tab/>
        <w:t>B</w:t>
      </w:r>
      <w:r>
        <w:rPr>
          <w:color w:val="0D0D0D"/>
          <w:spacing w:val="-51"/>
        </w:rPr>
        <w:t>、</w:t>
      </w:r>
      <w:r>
        <w:rPr>
          <w:color w:val="0D0D0D"/>
        </w:rPr>
        <w:t>企业销售情况</w:t>
        <w:tab/>
      </w:r>
      <w:r>
        <w:rPr>
          <w:color w:val="0D0D0D"/>
          <w:spacing w:val="-4"/>
        </w:rPr>
        <w:t>C</w:t>
      </w:r>
      <w:r>
        <w:rPr>
          <w:color w:val="0D0D0D"/>
          <w:spacing w:val="-47"/>
        </w:rPr>
        <w:t>、</w:t>
      </w:r>
      <w:r>
        <w:rPr>
          <w:color w:val="0D0D0D"/>
        </w:rPr>
        <w:t>贷款人和信用评级机构的影响</w:t>
        <w:tab/>
        <w:t>D</w:t>
      </w:r>
      <w:r>
        <w:rPr>
          <w:color w:val="0D0D0D"/>
          <w:spacing w:val="-17"/>
        </w:rPr>
        <w:t>、</w:t>
      </w:r>
      <w:r>
        <w:rPr>
          <w:color w:val="0D0D0D"/>
        </w:rPr>
        <w:t>所得税税率的高低</w:t>
      </w:r>
    </w:p>
    <w:p>
      <w:pPr>
        <w:spacing w:before="0" w:line="396" w:lineRule="exact"/>
        <w:ind w:left="3330" w:right="0" w:firstLine="0"/>
        <w:jc w:val="left"/>
        <w:rPr>
          <w:sz w:val="31"/>
        </w:rPr>
      </w:pPr>
      <w:r>
        <w:rPr>
          <w:b/>
          <w:color w:val="0D0D0D"/>
          <w:sz w:val="31"/>
        </w:rPr>
        <w:t>答案:</w:t>
      </w:r>
      <w:r>
        <w:rPr>
          <w:color w:val="0D0D0D"/>
          <w:sz w:val="31"/>
        </w:rPr>
        <w:t>ABCD</w:t>
      </w:r>
    </w:p>
    <w:p>
      <w:pPr>
        <w:pStyle w:val="BodyText"/>
        <w:spacing w:before="13" w:line="247" w:lineRule="auto"/>
        <w:ind w:right="2643" w:firstLine="629"/>
        <w:jc w:val="both"/>
      </w:pPr>
      <w:r>
        <w:rPr>
          <w:b/>
          <w:color w:val="0D0D0D"/>
        </w:rPr>
        <w:t>解析:</w:t>
      </w:r>
      <w:r>
        <w:rPr>
          <w:color w:val="0D0D0D"/>
          <w:spacing w:val="-1"/>
        </w:rPr>
        <w:t>影响资金结构的因素有企业财务状况、企业资产结构、企业产品销售情况、投资</w:t>
      </w:r>
      <w:r>
        <w:rPr>
          <w:color w:val="0D0D0D"/>
          <w:spacing w:val="-8"/>
        </w:rPr>
        <w:t xml:space="preserve">者和管理人员的态度、贷款人和信用评价机构的影响、行业因素、所得税税率的高低、利率 </w:t>
      </w:r>
      <w:r>
        <w:rPr>
          <w:color w:val="0D0D0D"/>
          <w:spacing w:val="-26"/>
        </w:rPr>
        <w:t>水平的变动趋势、。</w:t>
      </w:r>
    </w:p>
    <w:p>
      <w:pPr>
        <w:pStyle w:val="BodyText"/>
        <w:spacing w:line="395" w:lineRule="exact"/>
      </w:pPr>
      <w:r>
        <w:rPr>
          <w:color w:val="0D0D0D"/>
        </w:rPr>
        <w:t xml:space="preserve">5、下列属于资本结构理论的是（ </w:t>
      </w:r>
      <w:r>
        <w:rPr>
          <w:color w:val="0D0D0D"/>
          <w:spacing w:val="-159"/>
        </w:rPr>
        <w:t>）</w:t>
      </w:r>
      <w:r>
        <w:rPr>
          <w:color w:val="0D0D0D"/>
        </w:rPr>
        <w:t>。</w:t>
      </w:r>
    </w:p>
    <w:p>
      <w:pPr>
        <w:pStyle w:val="BodyText"/>
        <w:tabs>
          <w:tab w:val="left" w:pos="6168"/>
          <w:tab w:val="left" w:pos="9318"/>
          <w:tab w:val="left" w:pos="11601"/>
        </w:tabs>
        <w:spacing w:before="10" w:line="247" w:lineRule="auto"/>
        <w:ind w:left="3330" w:right="3880" w:firstLine="3"/>
      </w:pPr>
      <w:r>
        <w:rPr>
          <w:color w:val="0D0D0D"/>
          <w:spacing w:val="-4"/>
        </w:rPr>
        <w:t>A</w:t>
      </w:r>
      <w:r>
        <w:rPr>
          <w:color w:val="0D0D0D"/>
        </w:rPr>
        <w:t>、净收益理论</w:t>
        <w:tab/>
      </w:r>
      <w:r>
        <w:rPr>
          <w:color w:val="0D0D0D"/>
          <w:spacing w:val="-4"/>
        </w:rPr>
        <w:t>B</w:t>
      </w:r>
      <w:r>
        <w:rPr>
          <w:color w:val="0D0D0D"/>
        </w:rPr>
        <w:t>、传统折衷理论</w:t>
        <w:tab/>
        <w:t>C</w:t>
      </w:r>
      <w:r>
        <w:rPr>
          <w:color w:val="0D0D0D"/>
          <w:spacing w:val="-4"/>
        </w:rPr>
        <w:t>、</w:t>
      </w:r>
      <w:r>
        <w:rPr>
          <w:color w:val="0D0D0D"/>
        </w:rPr>
        <w:t>MM</w:t>
      </w:r>
      <w:r>
        <w:rPr>
          <w:color w:val="0D0D0D"/>
          <w:spacing w:val="-72"/>
        </w:rPr>
        <w:t xml:space="preserve"> </w:t>
      </w:r>
      <w:r>
        <w:rPr>
          <w:color w:val="0D0D0D"/>
        </w:rPr>
        <w:t>理论</w:t>
        <w:tab/>
        <w:t>D、等级筹资理</w:t>
      </w:r>
      <w:r>
        <w:rPr>
          <w:color w:val="0D0D0D"/>
          <w:spacing w:val="-18"/>
        </w:rPr>
        <w:t>论</w:t>
      </w:r>
      <w:r>
        <w:rPr>
          <w:b/>
          <w:color w:val="0D0D0D"/>
        </w:rPr>
        <w:t>答案:</w:t>
      </w:r>
      <w:r>
        <w:rPr>
          <w:color w:val="0D0D0D"/>
        </w:rPr>
        <w:t>ABCD</w:t>
      </w:r>
    </w:p>
    <w:p>
      <w:pPr>
        <w:pStyle w:val="BodyText"/>
        <w:spacing w:line="247" w:lineRule="auto"/>
        <w:ind w:right="2669" w:firstLine="629"/>
      </w:pPr>
      <w:r>
        <w:rPr>
          <w:b/>
          <w:color w:val="0D0D0D"/>
        </w:rPr>
        <w:t>解析:</w:t>
      </w:r>
      <w:r>
        <w:rPr>
          <w:color w:val="0D0D0D"/>
        </w:rPr>
        <w:t>资金结构理论包括净收益理论、净营业收益理论、传统折衰理论、MM 理论、平衡理论、代理理论和等级筹资理论等。</w:t>
      </w:r>
    </w:p>
    <w:p>
      <w:pPr>
        <w:pStyle w:val="BodyText"/>
        <w:spacing w:line="396" w:lineRule="exact"/>
      </w:pPr>
      <w:r>
        <w:rPr>
          <w:color w:val="0D0D0D"/>
        </w:rPr>
        <w:t xml:space="preserve">6、企业的资产结构影响资金结构的方式有（ </w:t>
      </w:r>
      <w:r>
        <w:rPr>
          <w:color w:val="0D0D0D"/>
          <w:spacing w:val="-163"/>
        </w:rPr>
        <w:t>）</w:t>
      </w:r>
      <w:r>
        <w:rPr>
          <w:color w:val="0D0D0D"/>
        </w:rPr>
        <w:t>。</w:t>
      </w:r>
    </w:p>
    <w:p>
      <w:pPr>
        <w:pStyle w:val="BodyText"/>
        <w:spacing w:before="12" w:line="244" w:lineRule="auto"/>
        <w:ind w:left="3334" w:right="4864"/>
      </w:pPr>
      <w:r>
        <w:rPr>
          <w:color w:val="0D0D0D"/>
          <w:spacing w:val="-4"/>
        </w:rPr>
        <w:t>A</w:t>
      </w:r>
      <w:r>
        <w:rPr>
          <w:color w:val="0D0D0D"/>
          <w:spacing w:val="-1"/>
        </w:rPr>
        <w:t xml:space="preserve">、拥有大量的固定资产的企业主要通过长期负债和发行股票筹集资金 </w:t>
      </w:r>
      <w:r>
        <w:rPr>
          <w:color w:val="0D0D0D"/>
          <w:spacing w:val="-4"/>
        </w:rPr>
        <w:t>B</w:t>
      </w:r>
      <w:r>
        <w:rPr>
          <w:color w:val="0D0D0D"/>
        </w:rPr>
        <w:t>、拥有较多流动资产的企业，更多依赖流动负债筹集资金</w:t>
      </w:r>
    </w:p>
    <w:p>
      <w:pPr>
        <w:pStyle w:val="BodyText"/>
        <w:spacing w:before="7"/>
        <w:ind w:left="3334"/>
      </w:pPr>
      <w:r>
        <w:rPr>
          <w:color w:val="0D0D0D"/>
        </w:rPr>
        <w:t>C、资产适用于抵押贷款的公司举债额较多</w:t>
      </w:r>
    </w:p>
    <w:p>
      <w:pPr>
        <w:spacing w:after="0"/>
        <w:sectPr>
          <w:headerReference w:type="default" r:id="rId125"/>
          <w:footerReference w:type="default" r:id="rId126"/>
          <w:pgSz w:w="17860" w:h="25260"/>
          <w:pgMar w:top="1720" w:right="0" w:bottom="1940" w:left="0" w:header="1129" w:footer="1752"/>
          <w:pgNumType w:start="7"/>
          <w:cols w:space="708"/>
        </w:sectPr>
      </w:pPr>
    </w:p>
    <w:p>
      <w:pPr>
        <w:pStyle w:val="BodyText"/>
        <w:spacing w:before="3"/>
        <w:ind w:left="0"/>
        <w:rPr>
          <w:sz w:val="8"/>
        </w:rPr>
      </w:pPr>
    </w:p>
    <w:p>
      <w:pPr>
        <w:pStyle w:val="BodyText"/>
        <w:spacing w:before="63" w:line="247" w:lineRule="auto"/>
        <w:ind w:left="3330" w:right="8984" w:firstLine="3"/>
      </w:pPr>
      <w:r>
        <w:rPr>
          <w:color w:val="0D0D0D"/>
        </w:rPr>
        <w:t>D、以技术研究开发为主的公司负债较多</w:t>
      </w:r>
      <w:r>
        <w:rPr>
          <w:b/>
          <w:color w:val="0D0D0D"/>
        </w:rPr>
        <w:t>答案:</w:t>
      </w:r>
      <w:r>
        <w:rPr>
          <w:color w:val="0D0D0D"/>
        </w:rPr>
        <w:t>ABC</w:t>
      </w:r>
    </w:p>
    <w:p>
      <w:pPr>
        <w:pStyle w:val="BodyText"/>
        <w:spacing w:line="247" w:lineRule="auto"/>
        <w:ind w:right="2679" w:firstLine="629"/>
        <w:jc w:val="both"/>
      </w:pPr>
      <w:r>
        <w:rPr>
          <w:b/>
          <w:color w:val="0D0D0D"/>
          <w:w w:val="101"/>
        </w:rPr>
        <w:t>解析</w:t>
      </w:r>
      <w:r>
        <w:rPr>
          <w:b/>
          <w:color w:val="0D0D0D"/>
          <w:spacing w:val="3"/>
          <w:w w:val="101"/>
        </w:rPr>
        <w:t>:</w:t>
      </w:r>
      <w:r>
        <w:rPr>
          <w:color w:val="0D0D0D"/>
          <w:w w:val="102"/>
        </w:rPr>
        <w:t>根据资产结构和资金结构的对称性分析，可以得出的结论是</w:t>
      </w:r>
      <w:r>
        <w:rPr>
          <w:color w:val="0D0D0D"/>
          <w:spacing w:val="-197"/>
          <w:w w:val="102"/>
        </w:rPr>
        <w:t>：</w:t>
      </w:r>
      <w:r>
        <w:rPr>
          <w:color w:val="0D0D0D"/>
          <w:w w:val="102"/>
        </w:rPr>
        <w:t>（</w:t>
      </w:r>
      <w:r>
        <w:rPr>
          <w:color w:val="0D0D0D"/>
          <w:spacing w:val="-1"/>
          <w:w w:val="102"/>
        </w:rPr>
        <w:t>1</w:t>
      </w:r>
      <w:r>
        <w:rPr>
          <w:color w:val="0D0D0D"/>
          <w:w w:val="102"/>
        </w:rPr>
        <w:t>）</w:t>
      </w:r>
      <w:r>
        <w:rPr>
          <w:color w:val="0D0D0D"/>
          <w:spacing w:val="-2"/>
          <w:w w:val="102"/>
        </w:rPr>
        <w:t>拥有大量的固</w:t>
      </w:r>
      <w:r>
        <w:rPr>
          <w:color w:val="0D0D0D"/>
          <w:w w:val="102"/>
        </w:rPr>
        <w:t>定资产的企业主要通过和发行股票筹集资金</w:t>
      </w:r>
      <w:r>
        <w:rPr>
          <w:color w:val="0D0D0D"/>
          <w:spacing w:val="-237"/>
          <w:w w:val="102"/>
        </w:rPr>
        <w:t>；</w:t>
      </w:r>
      <w:r>
        <w:rPr>
          <w:color w:val="0D0D0D"/>
          <w:spacing w:val="-1"/>
          <w:w w:val="102"/>
        </w:rPr>
        <w:t>（</w:t>
      </w:r>
      <w:r>
        <w:rPr>
          <w:color w:val="0D0D0D"/>
          <w:spacing w:val="-4"/>
          <w:w w:val="102"/>
        </w:rPr>
        <w:t>2</w:t>
      </w:r>
      <w:r>
        <w:rPr>
          <w:color w:val="0D0D0D"/>
          <w:spacing w:val="-51"/>
          <w:w w:val="102"/>
        </w:rPr>
        <w:t>）</w:t>
      </w:r>
      <w:r>
        <w:rPr>
          <w:color w:val="0D0D0D"/>
          <w:spacing w:val="-7"/>
          <w:w w:val="102"/>
        </w:rPr>
        <w:t>拥有较多流动资产的企业，更多依赖流动</w:t>
      </w:r>
      <w:r>
        <w:rPr>
          <w:color w:val="0D0D0D"/>
          <w:spacing w:val="-2"/>
          <w:w w:val="102"/>
        </w:rPr>
        <w:t>负债筹集资金;</w:t>
      </w:r>
      <w:r>
        <w:rPr>
          <w:color w:val="0D0D0D"/>
          <w:spacing w:val="-2"/>
        </w:rPr>
        <w:t xml:space="preserve"> </w:t>
      </w:r>
      <w:r>
        <w:rPr>
          <w:color w:val="0D0D0D"/>
          <w:w w:val="102"/>
        </w:rPr>
        <w:t>（</w:t>
      </w:r>
      <w:r>
        <w:rPr>
          <w:color w:val="0D0D0D"/>
          <w:spacing w:val="-4"/>
          <w:w w:val="102"/>
        </w:rPr>
        <w:t>3</w:t>
      </w:r>
      <w:r>
        <w:rPr>
          <w:color w:val="0D0D0D"/>
          <w:w w:val="102"/>
        </w:rPr>
        <w:t>）资产适用于抵押贷款的公司举债额较多</w:t>
      </w:r>
      <w:r>
        <w:rPr>
          <w:color w:val="0D0D0D"/>
          <w:spacing w:val="-180"/>
          <w:w w:val="102"/>
        </w:rPr>
        <w:t>；</w:t>
      </w:r>
      <w:r>
        <w:rPr>
          <w:color w:val="0D0D0D"/>
          <w:spacing w:val="1"/>
          <w:w w:val="102"/>
        </w:rPr>
        <w:t>（</w:t>
      </w:r>
      <w:r>
        <w:rPr>
          <w:color w:val="0D0D0D"/>
          <w:spacing w:val="-4"/>
          <w:w w:val="102"/>
        </w:rPr>
        <w:t>4</w:t>
      </w:r>
      <w:r>
        <w:rPr>
          <w:color w:val="0D0D0D"/>
          <w:w w:val="102"/>
        </w:rPr>
        <w:t>）</w:t>
      </w:r>
      <w:r>
        <w:rPr>
          <w:color w:val="0D0D0D"/>
          <w:spacing w:val="-2"/>
          <w:w w:val="102"/>
        </w:rPr>
        <w:t>以技术研究开发为主的</w:t>
      </w:r>
      <w:r>
        <w:rPr>
          <w:color w:val="0D0D0D"/>
        </w:rPr>
        <w:t>公司则负债较少。</w:t>
      </w:r>
    </w:p>
    <w:p>
      <w:pPr>
        <w:pStyle w:val="BodyText"/>
        <w:spacing w:line="395" w:lineRule="exact"/>
      </w:pPr>
      <w:r>
        <w:rPr>
          <w:color w:val="0D0D0D"/>
        </w:rPr>
        <w:t xml:space="preserve">7、下列项目中，同复合杠杆系数成正比例变动的是（ </w:t>
      </w:r>
      <w:r>
        <w:rPr>
          <w:color w:val="0D0D0D"/>
          <w:spacing w:val="-159"/>
        </w:rPr>
        <w:t>）</w:t>
      </w:r>
      <w:r>
        <w:rPr>
          <w:color w:val="0D0D0D"/>
        </w:rPr>
        <w:t>。</w:t>
      </w:r>
    </w:p>
    <w:p>
      <w:pPr>
        <w:pStyle w:val="BodyText"/>
        <w:tabs>
          <w:tab w:val="left" w:pos="6805"/>
          <w:tab w:val="left" w:pos="9959"/>
          <w:tab w:val="left" w:pos="13116"/>
        </w:tabs>
        <w:spacing w:before="9"/>
        <w:ind w:left="3334"/>
      </w:pPr>
      <w:r>
        <w:rPr>
          <w:color w:val="0D0D0D"/>
        </w:rPr>
        <w:t>A、每股利润变动率</w:t>
        <w:tab/>
        <w:t>B、产销量变动率</w:t>
        <w:tab/>
        <w:t>C、经营杠杆系数</w:t>
        <w:tab/>
      </w:r>
      <w:r>
        <w:rPr>
          <w:color w:val="0D0D0D"/>
          <w:spacing w:val="-3"/>
        </w:rPr>
        <w:t>D</w:t>
      </w:r>
      <w:r>
        <w:rPr>
          <w:color w:val="0D0D0D"/>
        </w:rPr>
        <w:t>、财务杠杆系</w:t>
      </w:r>
    </w:p>
    <w:p>
      <w:pPr>
        <w:pStyle w:val="BodyText"/>
        <w:spacing w:before="13"/>
      </w:pPr>
      <w:r>
        <w:rPr>
          <w:color w:val="0D0D0D"/>
          <w:w w:val="102"/>
        </w:rPr>
        <w:t>数</w:t>
      </w:r>
    </w:p>
    <w:p>
      <w:pPr>
        <w:spacing w:before="10"/>
        <w:ind w:left="3330" w:right="0" w:firstLine="0"/>
        <w:jc w:val="left"/>
        <w:rPr>
          <w:sz w:val="31"/>
        </w:rPr>
      </w:pPr>
      <w:r>
        <w:rPr>
          <w:b/>
          <w:color w:val="0D0D0D"/>
          <w:sz w:val="31"/>
        </w:rPr>
        <w:t>答案:</w:t>
      </w:r>
      <w:r>
        <w:rPr>
          <w:color w:val="0D0D0D"/>
          <w:sz w:val="31"/>
        </w:rPr>
        <w:t>ACD</w:t>
      </w:r>
    </w:p>
    <w:p>
      <w:pPr>
        <w:pStyle w:val="BodyText"/>
        <w:spacing w:before="13"/>
        <w:ind w:left="3330"/>
      </w:pPr>
      <w:r>
        <w:rPr>
          <w:b/>
          <w:color w:val="0D0D0D"/>
        </w:rPr>
        <w:t>解析:</w:t>
      </w:r>
      <w:r>
        <w:rPr>
          <w:color w:val="0D0D0D"/>
        </w:rPr>
        <w:t>由复合杠杆系数的计算公式以及它与经营杠杆系数、财务杠杆系数等可知。</w:t>
      </w:r>
    </w:p>
    <w:p>
      <w:pPr>
        <w:pStyle w:val="BodyText"/>
        <w:spacing w:before="10"/>
      </w:pPr>
      <w:r>
        <w:rPr>
          <w:color w:val="0D0D0D"/>
        </w:rPr>
        <w:t xml:space="preserve">8、下列关于资金成本的说法中，正确的有（ </w:t>
      </w:r>
      <w:r>
        <w:rPr>
          <w:color w:val="0D0D0D"/>
          <w:spacing w:val="-163"/>
        </w:rPr>
        <w:t>）</w:t>
      </w:r>
      <w:r>
        <w:rPr>
          <w:color w:val="0D0D0D"/>
        </w:rPr>
        <w:t>。</w:t>
      </w:r>
    </w:p>
    <w:p>
      <w:pPr>
        <w:pStyle w:val="BodyText"/>
        <w:spacing w:before="13" w:line="244" w:lineRule="auto"/>
        <w:ind w:left="3334" w:right="6448"/>
      </w:pPr>
      <w:r>
        <w:rPr>
          <w:color w:val="0D0D0D"/>
          <w:spacing w:val="-4"/>
        </w:rPr>
        <w:t>A</w:t>
      </w:r>
      <w:r>
        <w:rPr>
          <w:color w:val="0D0D0D"/>
          <w:spacing w:val="-1"/>
        </w:rPr>
        <w:t xml:space="preserve">、资金成本的本质是企业为筹集和使用资金而发生的代价 </w:t>
      </w:r>
      <w:r>
        <w:rPr>
          <w:color w:val="0D0D0D"/>
          <w:spacing w:val="-4"/>
        </w:rPr>
        <w:t>B</w:t>
      </w:r>
      <w:r>
        <w:rPr>
          <w:color w:val="0D0D0D"/>
        </w:rPr>
        <w:t>、资金成本并不是企业筹资决策中要考虑的惟一因素</w:t>
      </w:r>
    </w:p>
    <w:p>
      <w:pPr>
        <w:pStyle w:val="BodyText"/>
        <w:spacing w:before="8" w:line="244" w:lineRule="auto"/>
        <w:ind w:left="3334" w:right="5181"/>
      </w:pPr>
      <w:r>
        <w:rPr>
          <w:color w:val="0D0D0D"/>
          <w:spacing w:val="-4"/>
        </w:rPr>
        <w:t>C</w:t>
      </w:r>
      <w:r>
        <w:rPr>
          <w:color w:val="0D0D0D"/>
          <w:spacing w:val="-1"/>
        </w:rPr>
        <w:t xml:space="preserve">、资金成本必须用相对数表示，即用资费用与实际筹得资金的比例 </w:t>
      </w:r>
      <w:r>
        <w:rPr>
          <w:color w:val="0D0D0D"/>
          <w:spacing w:val="-4"/>
        </w:rPr>
        <w:t>D</w:t>
      </w:r>
      <w:r>
        <w:rPr>
          <w:color w:val="0D0D0D"/>
        </w:rPr>
        <w:t>、资金成本是研究最优资金结构的主要参数</w:t>
      </w:r>
    </w:p>
    <w:p>
      <w:pPr>
        <w:spacing w:before="7"/>
        <w:ind w:left="3330" w:right="0" w:firstLine="0"/>
        <w:jc w:val="left"/>
        <w:rPr>
          <w:sz w:val="31"/>
        </w:rPr>
      </w:pPr>
      <w:r>
        <w:rPr>
          <w:b/>
          <w:color w:val="0D0D0D"/>
          <w:sz w:val="31"/>
        </w:rPr>
        <w:t>答案:</w:t>
      </w:r>
      <w:r>
        <w:rPr>
          <w:color w:val="0D0D0D"/>
          <w:sz w:val="31"/>
        </w:rPr>
        <w:t>ABD</w:t>
      </w:r>
    </w:p>
    <w:p>
      <w:pPr>
        <w:pStyle w:val="BodyText"/>
        <w:spacing w:before="9" w:line="247" w:lineRule="auto"/>
        <w:ind w:right="2643" w:firstLine="629"/>
      </w:pPr>
      <w:r>
        <w:rPr>
          <w:b/>
          <w:color w:val="0D0D0D"/>
        </w:rPr>
        <w:t>解析:</w:t>
      </w:r>
      <w:r>
        <w:rPr>
          <w:color w:val="0D0D0D"/>
        </w:rPr>
        <w:t>资金成本可以用绝对数表示，也可用相对数表示，但在财务管理中，一般用相对数表示，即表示为用资费用与实际筹得资金的比例，所以C 不正确。</w:t>
      </w:r>
    </w:p>
    <w:p>
      <w:pPr>
        <w:pStyle w:val="BodyText"/>
        <w:spacing w:line="396" w:lineRule="exact"/>
      </w:pPr>
      <w:r>
        <w:rPr>
          <w:color w:val="0D0D0D"/>
        </w:rPr>
        <w:t xml:space="preserve">9、下列有关资金结构的表述正确的有（ </w:t>
      </w:r>
      <w:r>
        <w:rPr>
          <w:color w:val="0D0D0D"/>
          <w:spacing w:val="-163"/>
        </w:rPr>
        <w:t>）</w:t>
      </w:r>
      <w:r>
        <w:rPr>
          <w:color w:val="0D0D0D"/>
        </w:rPr>
        <w:t>。</w:t>
      </w:r>
    </w:p>
    <w:p>
      <w:pPr>
        <w:pStyle w:val="BodyText"/>
        <w:spacing w:before="13" w:line="244" w:lineRule="auto"/>
        <w:ind w:left="3334" w:right="2643"/>
      </w:pPr>
      <w:r>
        <w:rPr>
          <w:color w:val="0D0D0D"/>
          <w:spacing w:val="-4"/>
        </w:rPr>
        <w:t>A</w:t>
      </w:r>
      <w:r>
        <w:rPr>
          <w:color w:val="0D0D0D"/>
          <w:spacing w:val="-1"/>
        </w:rPr>
        <w:t xml:space="preserve">、净收益理论认为，负债可以降低企业的资金成本，负债程度越高，企业的价值越大 </w:t>
      </w:r>
      <w:r>
        <w:rPr>
          <w:color w:val="0D0D0D"/>
        </w:rPr>
        <w:t>B</w:t>
      </w:r>
      <w:r>
        <w:rPr>
          <w:color w:val="0D0D0D"/>
          <w:spacing w:val="-1"/>
        </w:rPr>
        <w:t>、传统折衷理论认为，公司存在最佳资金结构，最佳资金结构是指公司加权平均资金</w:t>
      </w:r>
    </w:p>
    <w:p>
      <w:pPr>
        <w:pStyle w:val="BodyText"/>
        <w:spacing w:before="4"/>
      </w:pPr>
      <w:r>
        <w:rPr>
          <w:color w:val="0D0D0D"/>
        </w:rPr>
        <w:t>成本最低，公司总价值最大时的资金结构</w:t>
      </w:r>
    </w:p>
    <w:p>
      <w:pPr>
        <w:pStyle w:val="BodyText"/>
        <w:spacing w:before="13"/>
        <w:ind w:left="3334"/>
      </w:pPr>
      <w:r>
        <w:rPr>
          <w:color w:val="0D0D0D"/>
        </w:rPr>
        <w:t>C、MM 理论认为，资金结构与公司总价值无关</w:t>
      </w:r>
    </w:p>
    <w:p>
      <w:pPr>
        <w:pStyle w:val="BodyText"/>
        <w:spacing w:before="10" w:line="247" w:lineRule="auto"/>
        <w:ind w:left="3330" w:right="2648" w:firstLine="3"/>
      </w:pPr>
      <w:r>
        <w:rPr>
          <w:color w:val="0D0D0D"/>
        </w:rPr>
        <w:t>D、等级融资理论认为，公司融资偏好内部资本，如果需要外部资本，则偏好债券成本</w:t>
      </w:r>
      <w:r>
        <w:rPr>
          <w:b/>
          <w:color w:val="0D0D0D"/>
        </w:rPr>
        <w:t>答案:</w:t>
      </w:r>
      <w:r>
        <w:rPr>
          <w:color w:val="0D0D0D"/>
        </w:rPr>
        <w:t>ABCD</w:t>
      </w:r>
    </w:p>
    <w:p>
      <w:pPr>
        <w:pStyle w:val="BodyText"/>
        <w:spacing w:line="247" w:lineRule="auto"/>
        <w:ind w:right="2522" w:firstLine="629"/>
      </w:pPr>
      <w:r>
        <w:rPr>
          <w:b/>
          <w:color w:val="0D0D0D"/>
          <w:spacing w:val="-4"/>
        </w:rPr>
        <w:t>解析:</w:t>
      </w:r>
      <w:r>
        <w:rPr>
          <w:color w:val="0D0D0D"/>
          <w:spacing w:val="-9"/>
        </w:rPr>
        <w:t>（1）</w:t>
      </w:r>
      <w:r>
        <w:rPr>
          <w:color w:val="0D0D0D"/>
          <w:spacing w:val="-1"/>
        </w:rPr>
        <w:t>净收益理论认为，负债可以降低企业的资金成本，负债程度越高，企业的价</w:t>
      </w:r>
      <w:r>
        <w:rPr>
          <w:color w:val="0D0D0D"/>
        </w:rPr>
        <w:t>值越大（2）净营业收益理论认为，不论公司资金结构如何变化，公司的加权平均资金成本</w:t>
      </w:r>
      <w:r>
        <w:rPr>
          <w:color w:val="0D0D0D"/>
          <w:w w:val="102"/>
        </w:rPr>
        <w:t>都是固定的，公司资金结构与公司总价值无关</w:t>
      </w:r>
      <w:r>
        <w:rPr>
          <w:color w:val="0D0D0D"/>
          <w:spacing w:val="-262"/>
          <w:w w:val="102"/>
        </w:rPr>
        <w:t>；</w:t>
      </w:r>
      <w:r>
        <w:rPr>
          <w:color w:val="0D0D0D"/>
          <w:w w:val="102"/>
        </w:rPr>
        <w:t>（</w:t>
      </w:r>
      <w:r>
        <w:rPr>
          <w:color w:val="0D0D0D"/>
          <w:spacing w:val="-4"/>
          <w:w w:val="102"/>
        </w:rPr>
        <w:t>3</w:t>
      </w:r>
      <w:r>
        <w:rPr>
          <w:color w:val="0D0D0D"/>
          <w:w w:val="102"/>
        </w:rPr>
        <w:t>）传统折衷理论认为，公司存在最佳资金</w:t>
      </w:r>
      <w:r>
        <w:rPr>
          <w:color w:val="0D0D0D"/>
        </w:rPr>
        <w:t>结</w:t>
      </w:r>
      <w:r>
        <w:rPr>
          <w:color w:val="0D0D0D"/>
          <w:spacing w:val="-12"/>
        </w:rPr>
        <w:t xml:space="preserve">构，最佳资金结构是指公司加权平均资金成本最低，公司总价值最大时的资金结构; </w:t>
      </w:r>
      <w:r>
        <w:rPr>
          <w:color w:val="0D0D0D"/>
        </w:rPr>
        <w:t>（4） 早</w:t>
      </w:r>
      <w:r>
        <w:rPr>
          <w:color w:val="0D0D0D"/>
          <w:spacing w:val="-2"/>
        </w:rPr>
        <w:t xml:space="preserve">期的 </w:t>
      </w:r>
      <w:r>
        <w:rPr>
          <w:color w:val="0D0D0D"/>
        </w:rPr>
        <w:t>MM 理论认为，资金结构与公司总价值无关</w:t>
      </w:r>
      <w:r>
        <w:rPr>
          <w:color w:val="0D0D0D"/>
          <w:spacing w:val="-190"/>
        </w:rPr>
        <w:t>。</w:t>
      </w:r>
      <w:r>
        <w:rPr>
          <w:color w:val="0D0D0D"/>
        </w:rPr>
        <w:t>（5）平衡理论认为，公司存在最佳资金结</w:t>
      </w:r>
      <w:r>
        <w:rPr>
          <w:color w:val="0D0D0D"/>
          <w:spacing w:val="-13"/>
        </w:rPr>
        <w:t>构，最佳资金结构是指负债税收庇护利益与破产成本的现值相等时的资金结构，此时，公 司</w:t>
      </w:r>
      <w:r>
        <w:rPr>
          <w:color w:val="0D0D0D"/>
          <w:spacing w:val="11"/>
        </w:rPr>
        <w:t xml:space="preserve">总价值最大; </w:t>
      </w:r>
      <w:r>
        <w:rPr>
          <w:color w:val="0D0D0D"/>
        </w:rPr>
        <w:t>（6）代理理论认为，最佳资金结构是指股权代理成本和债权代理成本相等</w:t>
      </w:r>
      <w:r>
        <w:rPr>
          <w:color w:val="0D0D0D"/>
          <w:w w:val="102"/>
        </w:rPr>
        <w:t>时的资金结构</w:t>
      </w:r>
      <w:r>
        <w:rPr>
          <w:color w:val="0D0D0D"/>
          <w:spacing w:val="-198"/>
          <w:w w:val="102"/>
        </w:rPr>
        <w:t>；</w:t>
      </w:r>
      <w:r>
        <w:rPr>
          <w:color w:val="0D0D0D"/>
          <w:spacing w:val="-1"/>
          <w:w w:val="102"/>
        </w:rPr>
        <w:t>（</w:t>
      </w:r>
      <w:r>
        <w:rPr>
          <w:color w:val="0D0D0D"/>
          <w:w w:val="102"/>
        </w:rPr>
        <w:t>7）</w:t>
      </w:r>
      <w:r>
        <w:rPr>
          <w:color w:val="0D0D0D"/>
          <w:spacing w:val="-1"/>
          <w:w w:val="102"/>
        </w:rPr>
        <w:t>等级融资理论认为，公司融资偏好内部资本，如果需要外部资本，则偏</w:t>
      </w:r>
      <w:r>
        <w:rPr>
          <w:color w:val="0D0D0D"/>
        </w:rPr>
        <w:t>好债券成本。</w:t>
      </w:r>
    </w:p>
    <w:p>
      <w:pPr>
        <w:pStyle w:val="BodyText"/>
        <w:spacing w:line="395" w:lineRule="exact"/>
      </w:pPr>
      <w:r>
        <w:rPr>
          <w:color w:val="0D0D0D"/>
          <w:w w:val="102"/>
        </w:rPr>
        <w:t>1</w:t>
      </w:r>
      <w:r>
        <w:rPr>
          <w:color w:val="0D0D0D"/>
          <w:spacing w:val="-1"/>
          <w:w w:val="102"/>
        </w:rPr>
        <w:t>0</w:t>
      </w:r>
      <w:r>
        <w:rPr>
          <w:color w:val="0D0D0D"/>
          <w:w w:val="102"/>
        </w:rPr>
        <w:t>、复合杠杆具有如下性质（</w:t>
      </w:r>
      <w:r>
        <w:rPr>
          <w:color w:val="0D0D0D"/>
          <w:spacing w:val="-14"/>
        </w:rPr>
        <w:t xml:space="preserve"> </w:t>
      </w:r>
      <w:r>
        <w:rPr>
          <w:color w:val="0D0D0D"/>
          <w:spacing w:val="-162"/>
          <w:w w:val="102"/>
        </w:rPr>
        <w:t>）</w:t>
      </w:r>
      <w:r>
        <w:rPr>
          <w:color w:val="0D0D0D"/>
          <w:w w:val="102"/>
        </w:rPr>
        <w:t>：</w:t>
      </w:r>
    </w:p>
    <w:p>
      <w:pPr>
        <w:pStyle w:val="BodyText"/>
        <w:spacing w:before="8" w:line="247" w:lineRule="auto"/>
        <w:ind w:left="3334" w:right="7082"/>
      </w:pPr>
      <w:r>
        <w:rPr>
          <w:color w:val="0D0D0D"/>
          <w:spacing w:val="-4"/>
        </w:rPr>
        <w:t>A</w:t>
      </w:r>
      <w:r>
        <w:rPr>
          <w:color w:val="0D0D0D"/>
          <w:spacing w:val="-1"/>
        </w:rPr>
        <w:t xml:space="preserve">、复合杠杆能够起到财务杠杆和经营杠杆的综合作用 </w:t>
      </w:r>
      <w:r>
        <w:rPr>
          <w:color w:val="0D0D0D"/>
          <w:spacing w:val="-4"/>
        </w:rPr>
        <w:t>B</w:t>
      </w:r>
      <w:r>
        <w:rPr>
          <w:color w:val="0D0D0D"/>
        </w:rPr>
        <w:t>、复合杠杆能够估计出销售变动对每股利润的影响</w:t>
      </w:r>
    </w:p>
    <w:p>
      <w:pPr>
        <w:pStyle w:val="BodyText"/>
        <w:spacing w:line="396" w:lineRule="exact"/>
        <w:ind w:left="3334"/>
      </w:pPr>
      <w:r>
        <w:rPr>
          <w:color w:val="0D0D0D"/>
        </w:rPr>
        <w:t>C、复合杠杆系数越大，企业经营风险越大</w:t>
      </w:r>
    </w:p>
    <w:p>
      <w:pPr>
        <w:pStyle w:val="BodyText"/>
        <w:spacing w:before="13" w:line="247" w:lineRule="auto"/>
        <w:ind w:left="3330" w:right="2648" w:firstLine="3"/>
      </w:pPr>
      <w:r>
        <w:rPr>
          <w:color w:val="0D0D0D"/>
        </w:rPr>
        <w:t>D、只要企业同时存在固定成本和固定财务费用等财务支出，就会存在复合杠杆的作用</w:t>
      </w:r>
      <w:r>
        <w:rPr>
          <w:b/>
          <w:color w:val="0D0D0D"/>
        </w:rPr>
        <w:t>答案:</w:t>
      </w:r>
      <w:r>
        <w:rPr>
          <w:color w:val="0D0D0D"/>
        </w:rPr>
        <w:t>ABD</w:t>
      </w:r>
    </w:p>
    <w:p>
      <w:pPr>
        <w:pStyle w:val="BodyText"/>
        <w:spacing w:line="244" w:lineRule="auto"/>
        <w:ind w:right="2643" w:firstLine="629"/>
      </w:pPr>
      <w:r>
        <w:rPr>
          <w:b/>
          <w:color w:val="0D0D0D"/>
        </w:rPr>
        <w:t>解析:</w:t>
      </w:r>
      <w:r>
        <w:rPr>
          <w:color w:val="0D0D0D"/>
        </w:rPr>
        <w:t>复合杠杆系数＝经营杠杆系数×财务杠杆系数，所以复合杠杆系数越大，可能是经营风险越大，也可能是财务风险越大，所以C 的说法是不正确的。</w:t>
      </w:r>
    </w:p>
    <w:p>
      <w:pPr>
        <w:pStyle w:val="BodyText"/>
        <w:spacing w:before="4"/>
      </w:pPr>
      <w:r>
        <w:rPr>
          <w:color w:val="0D0D0D"/>
        </w:rPr>
        <w:t>11、财务杠杆发挥作用的前提是（ ）的存在。</w:t>
      </w:r>
    </w:p>
    <w:p>
      <w:pPr>
        <w:pStyle w:val="BodyText"/>
        <w:tabs>
          <w:tab w:val="left" w:pos="6801"/>
          <w:tab w:val="left" w:pos="9321"/>
          <w:tab w:val="left" w:pos="12155"/>
        </w:tabs>
        <w:spacing w:before="13" w:line="244" w:lineRule="auto"/>
        <w:ind w:left="3330" w:right="3327" w:firstLine="3"/>
      </w:pPr>
      <w:r>
        <w:rPr>
          <w:color w:val="0D0D0D"/>
          <w:spacing w:val="-4"/>
        </w:rPr>
        <w:t>A</w:t>
      </w:r>
      <w:r>
        <w:rPr>
          <w:color w:val="0D0D0D"/>
        </w:rPr>
        <w:t>、固定的债务利息</w:t>
        <w:tab/>
      </w:r>
      <w:r>
        <w:rPr>
          <w:color w:val="0D0D0D"/>
          <w:spacing w:val="-4"/>
        </w:rPr>
        <w:t>B</w:t>
      </w:r>
      <w:r>
        <w:rPr>
          <w:color w:val="0D0D0D"/>
        </w:rPr>
        <w:t>、资金成本</w:t>
        <w:tab/>
      </w:r>
      <w:r>
        <w:rPr>
          <w:color w:val="0D0D0D"/>
          <w:spacing w:val="-3"/>
        </w:rPr>
        <w:t>C</w:t>
      </w:r>
      <w:r>
        <w:rPr>
          <w:color w:val="0D0D0D"/>
        </w:rPr>
        <w:t>、优先股股利</w:t>
        <w:tab/>
        <w:t>D、融资租赁租</w:t>
      </w:r>
      <w:r>
        <w:rPr>
          <w:color w:val="0D0D0D"/>
          <w:spacing w:val="-19"/>
        </w:rPr>
        <w:t>金</w:t>
      </w:r>
      <w:r>
        <w:rPr>
          <w:b/>
          <w:color w:val="0D0D0D"/>
        </w:rPr>
        <w:t>答案:</w:t>
      </w:r>
      <w:r>
        <w:rPr>
          <w:color w:val="0D0D0D"/>
        </w:rPr>
        <w:t>ACD</w:t>
      </w:r>
    </w:p>
    <w:p>
      <w:pPr>
        <w:pStyle w:val="BodyText"/>
        <w:spacing w:before="7" w:line="247" w:lineRule="auto"/>
        <w:ind w:right="2643" w:firstLine="629"/>
        <w:jc w:val="both"/>
      </w:pPr>
      <w:r>
        <w:rPr>
          <w:b/>
          <w:color w:val="0D0D0D"/>
        </w:rPr>
        <w:t>解析:</w:t>
      </w:r>
      <w:r>
        <w:rPr>
          <w:color w:val="0D0D0D"/>
          <w:spacing w:val="-1"/>
        </w:rPr>
        <w:t xml:space="preserve">根据杠杆原理，杠杆发挥作用的前提是存在固定不变的费用。就财务杠直而言， </w:t>
      </w:r>
      <w:r>
        <w:rPr>
          <w:color w:val="0D0D0D"/>
        </w:rPr>
        <w:t>其存在的先决条件是存在固定的利息费用或类似于固定利息费用的优先股股利</w:t>
      </w:r>
      <w:r>
        <w:rPr>
          <w:color w:val="0D0D0D"/>
          <w:spacing w:val="-34"/>
        </w:rPr>
        <w:t>、融资租赁租 金。</w:t>
      </w:r>
    </w:p>
    <w:p>
      <w:pPr>
        <w:pStyle w:val="BodyText"/>
        <w:spacing w:line="247" w:lineRule="auto"/>
        <w:ind w:left="3334" w:right="2534" w:hanging="634"/>
        <w:jc w:val="both"/>
      </w:pPr>
      <w:r>
        <w:rPr>
          <w:color w:val="0D0D0D"/>
        </w:rPr>
        <w:t>12</w:t>
      </w:r>
      <w:r>
        <w:rPr>
          <w:color w:val="0D0D0D"/>
          <w:spacing w:val="-14"/>
        </w:rPr>
        <w:t>、尽管资金成本是企业筹资决策需要考虑的首要因素</w:t>
      </w:r>
      <w:r>
        <w:rPr>
          <w:color w:val="0D0D0D"/>
          <w:spacing w:val="-38"/>
        </w:rPr>
        <w:t>，但还必须考虑其他因素，主要有</w:t>
      </w:r>
      <w:r>
        <w:rPr>
          <w:color w:val="0D0D0D"/>
        </w:rPr>
        <w:t>（</w:t>
      </w:r>
      <w:r>
        <w:rPr>
          <w:color w:val="0D0D0D"/>
          <w:spacing w:val="51"/>
        </w:rPr>
        <w:t xml:space="preserve">  </w:t>
      </w:r>
      <w:r>
        <w:rPr>
          <w:color w:val="0D0D0D"/>
          <w:spacing w:val="-159"/>
        </w:rPr>
        <w:t>）</w:t>
      </w:r>
      <w:r>
        <w:rPr>
          <w:color w:val="0D0D0D"/>
          <w:spacing w:val="-16"/>
        </w:rPr>
        <w:t>。</w:t>
      </w:r>
      <w:r>
        <w:rPr>
          <w:color w:val="0D0D0D"/>
          <w:spacing w:val="-4"/>
        </w:rPr>
        <w:t>A</w:t>
      </w:r>
      <w:r>
        <w:rPr>
          <w:color w:val="0D0D0D"/>
          <w:spacing w:val="5"/>
        </w:rPr>
        <w:t xml:space="preserve">、财务风险 </w:t>
      </w:r>
      <w:r>
        <w:rPr>
          <w:color w:val="0D0D0D"/>
          <w:spacing w:val="-4"/>
        </w:rPr>
        <w:t>B</w:t>
      </w:r>
      <w:r>
        <w:rPr>
          <w:color w:val="0D0D0D"/>
          <w:spacing w:val="4"/>
        </w:rPr>
        <w:t xml:space="preserve">、资金期限 </w:t>
      </w:r>
      <w:r>
        <w:rPr>
          <w:color w:val="0D0D0D"/>
          <w:spacing w:val="-4"/>
        </w:rPr>
        <w:t>C</w:t>
      </w:r>
      <w:r>
        <w:rPr>
          <w:color w:val="0D0D0D"/>
          <w:spacing w:val="4"/>
        </w:rPr>
        <w:t xml:space="preserve">、偿还方式 </w:t>
      </w:r>
      <w:r>
        <w:rPr>
          <w:color w:val="0D0D0D"/>
        </w:rPr>
        <w:t>D、限制条件</w:t>
      </w:r>
    </w:p>
    <w:p>
      <w:pPr>
        <w:spacing w:after="0" w:line="247" w:lineRule="auto"/>
        <w:jc w:val="both"/>
        <w:sectPr>
          <w:headerReference w:type="default" r:id="rId127"/>
          <w:footerReference w:type="default" r:id="rId128"/>
          <w:pgSz w:w="17860" w:h="25260"/>
          <w:pgMar w:top="1720" w:right="0" w:bottom="1940" w:left="0" w:header="1129" w:footer="1752"/>
          <w:pgNumType w:start="8"/>
          <w:cols w:space="708"/>
        </w:sectPr>
      </w:pPr>
    </w:p>
    <w:p>
      <w:pPr>
        <w:pStyle w:val="BodyText"/>
        <w:spacing w:before="3"/>
        <w:ind w:left="0"/>
        <w:rPr>
          <w:sz w:val="8"/>
        </w:rPr>
      </w:pPr>
    </w:p>
    <w:p>
      <w:pPr>
        <w:spacing w:before="63"/>
        <w:ind w:left="3330" w:right="0" w:firstLine="0"/>
        <w:jc w:val="left"/>
        <w:rPr>
          <w:sz w:val="31"/>
        </w:rPr>
      </w:pPr>
      <w:r>
        <w:rPr>
          <w:b/>
          <w:color w:val="0D0D0D"/>
          <w:sz w:val="31"/>
        </w:rPr>
        <w:t>答案:</w:t>
      </w:r>
      <w:r>
        <w:rPr>
          <w:color w:val="0D0D0D"/>
          <w:sz w:val="31"/>
        </w:rPr>
        <w:t>ABCD</w:t>
      </w:r>
    </w:p>
    <w:p>
      <w:pPr>
        <w:pStyle w:val="BodyText"/>
        <w:spacing w:before="10"/>
        <w:ind w:left="3330"/>
      </w:pPr>
      <w:r>
        <w:rPr>
          <w:b/>
          <w:color w:val="0D0D0D"/>
        </w:rPr>
        <w:t>解析:</w:t>
      </w:r>
      <w:r>
        <w:rPr>
          <w:color w:val="0D0D0D"/>
        </w:rPr>
        <w:t>资金成本并不是要筹资决策要考虑的唯一因素，还必须考虑其他因素。</w:t>
      </w:r>
    </w:p>
    <w:p>
      <w:pPr>
        <w:pStyle w:val="BodyText"/>
        <w:spacing w:before="13"/>
      </w:pPr>
      <w:r>
        <w:rPr>
          <w:color w:val="0D0D0D"/>
        </w:rPr>
        <w:t xml:space="preserve">13、关于财务杠杆系数的表述，不正确的是（ </w:t>
      </w:r>
      <w:r>
        <w:rPr>
          <w:color w:val="0D0D0D"/>
          <w:spacing w:val="-159"/>
        </w:rPr>
        <w:t>）</w:t>
      </w:r>
      <w:r>
        <w:rPr>
          <w:color w:val="0D0D0D"/>
        </w:rPr>
        <w:t>。</w:t>
      </w:r>
    </w:p>
    <w:p>
      <w:pPr>
        <w:pStyle w:val="BodyText"/>
        <w:spacing w:before="10" w:line="247" w:lineRule="auto"/>
        <w:ind w:right="2523" w:firstLine="633"/>
      </w:pPr>
      <w:r>
        <w:rPr>
          <w:color w:val="0D0D0D"/>
          <w:spacing w:val="-4"/>
        </w:rPr>
        <w:t>A</w:t>
      </w:r>
      <w:r>
        <w:rPr>
          <w:color w:val="0D0D0D"/>
          <w:spacing w:val="-14"/>
        </w:rPr>
        <w:t xml:space="preserve">、财务杠杆系数是由企业资金结构决定的，在其他条件不变的情况下，债务比率越高， </w:t>
      </w:r>
      <w:r>
        <w:rPr>
          <w:color w:val="0D0D0D"/>
        </w:rPr>
        <w:t>财务杠杆系数越大</w:t>
      </w:r>
    </w:p>
    <w:p>
      <w:pPr>
        <w:pStyle w:val="BodyText"/>
        <w:spacing w:line="247" w:lineRule="auto"/>
        <w:ind w:left="3334" w:right="4232"/>
      </w:pPr>
      <w:r>
        <w:rPr>
          <w:color w:val="0D0D0D"/>
          <w:spacing w:val="-4"/>
        </w:rPr>
        <w:t>B</w:t>
      </w:r>
      <w:r>
        <w:rPr>
          <w:color w:val="0D0D0D"/>
          <w:spacing w:val="-1"/>
        </w:rPr>
        <w:t xml:space="preserve">、财务杠杆系数反映财务风险，即财务杠杆系数越大，财务风险也就越大 </w:t>
      </w:r>
      <w:r>
        <w:rPr>
          <w:color w:val="0D0D0D"/>
          <w:spacing w:val="-4"/>
        </w:rPr>
        <w:t>C</w:t>
      </w:r>
      <w:r>
        <w:rPr>
          <w:color w:val="0D0D0D"/>
        </w:rPr>
        <w:t>、财务杠杆系数与资金结构无关</w:t>
      </w:r>
    </w:p>
    <w:p>
      <w:pPr>
        <w:pStyle w:val="BodyText"/>
        <w:spacing w:line="247" w:lineRule="auto"/>
        <w:ind w:left="3330" w:right="4864" w:firstLine="3"/>
      </w:pPr>
      <w:r>
        <w:rPr>
          <w:color w:val="0D0D0D"/>
        </w:rPr>
        <w:t>D、财务杠杆系数可以反映息税前盈余随每股盈余的变动而变动的幅度</w:t>
      </w:r>
      <w:r>
        <w:rPr>
          <w:b/>
          <w:color w:val="0D0D0D"/>
        </w:rPr>
        <w:t>答案:</w:t>
      </w:r>
      <w:r>
        <w:rPr>
          <w:color w:val="0D0D0D"/>
        </w:rPr>
        <w:t>CD</w:t>
      </w:r>
    </w:p>
    <w:p>
      <w:pPr>
        <w:pStyle w:val="BodyText"/>
        <w:spacing w:line="247" w:lineRule="auto"/>
        <w:ind w:right="2484" w:firstLine="629"/>
      </w:pPr>
      <w:r>
        <w:rPr>
          <w:b/>
          <w:color w:val="0D0D0D"/>
        </w:rPr>
        <w:t>解析:</w:t>
      </w:r>
      <w:r>
        <w:rPr>
          <w:color w:val="0D0D0D"/>
        </w:rPr>
        <w:t xml:space="preserve">财务风险是指全部资本中债务资本比率的变化带来的风险。财务杠杆系数受资金 </w:t>
      </w:r>
      <w:r>
        <w:rPr>
          <w:color w:val="0D0D0D"/>
          <w:spacing w:val="-16"/>
        </w:rPr>
        <w:t xml:space="preserve">结构的影响，故 </w:t>
      </w:r>
      <w:r>
        <w:rPr>
          <w:color w:val="0D0D0D"/>
        </w:rPr>
        <w:t>C</w:t>
      </w:r>
      <w:r>
        <w:rPr>
          <w:color w:val="0D0D0D"/>
          <w:spacing w:val="-13"/>
        </w:rPr>
        <w:t xml:space="preserve"> 错误。财务杠杆系数说明的是息税前盈余增长引起的每股盈余的增长幅度。</w:t>
      </w:r>
      <w:r>
        <w:rPr>
          <w:color w:val="0D0D0D"/>
          <w:spacing w:val="-38"/>
        </w:rPr>
        <w:t xml:space="preserve">故 </w:t>
      </w:r>
      <w:r>
        <w:rPr>
          <w:color w:val="0D0D0D"/>
        </w:rPr>
        <w:t>D</w:t>
      </w:r>
      <w:r>
        <w:rPr>
          <w:color w:val="0D0D0D"/>
          <w:spacing w:val="-20"/>
        </w:rPr>
        <w:t xml:space="preserve"> 错误。</w:t>
      </w:r>
    </w:p>
    <w:p>
      <w:pPr>
        <w:pStyle w:val="BodyText"/>
        <w:spacing w:line="244" w:lineRule="auto"/>
        <w:ind w:left="3334" w:right="4441" w:hanging="634"/>
      </w:pPr>
      <w:r>
        <w:rPr>
          <w:color w:val="0D0D0D"/>
          <w:w w:val="102"/>
        </w:rPr>
        <w:t>1</w:t>
      </w:r>
      <w:r>
        <w:rPr>
          <w:color w:val="0D0D0D"/>
          <w:spacing w:val="-1"/>
          <w:w w:val="102"/>
        </w:rPr>
        <w:t>4</w:t>
      </w:r>
      <w:r>
        <w:rPr>
          <w:color w:val="0D0D0D"/>
          <w:w w:val="102"/>
        </w:rPr>
        <w:t>、某企业经营杠杆系数为</w:t>
      </w:r>
      <w:r>
        <w:rPr>
          <w:color w:val="0D0D0D"/>
          <w:spacing w:val="-93"/>
        </w:rPr>
        <w:t xml:space="preserve"> </w:t>
      </w:r>
      <w:r>
        <w:rPr>
          <w:color w:val="0D0D0D"/>
          <w:w w:val="102"/>
        </w:rPr>
        <w:t>2，财务杠杆系数为</w:t>
      </w:r>
      <w:r>
        <w:rPr>
          <w:color w:val="0D0D0D"/>
          <w:spacing w:val="-91"/>
        </w:rPr>
        <w:t xml:space="preserve"> </w:t>
      </w:r>
      <w:r>
        <w:rPr>
          <w:color w:val="0D0D0D"/>
          <w:spacing w:val="-3"/>
          <w:w w:val="102"/>
        </w:rPr>
        <w:t>3</w:t>
      </w:r>
      <w:r>
        <w:rPr>
          <w:color w:val="0D0D0D"/>
          <w:w w:val="102"/>
        </w:rPr>
        <w:t>，则下列说法正确的有（</w:t>
      </w:r>
      <w:r>
        <w:rPr>
          <w:color w:val="0D0D0D"/>
          <w:spacing w:val="-180"/>
          <w:w w:val="102"/>
        </w:rPr>
        <w:t>）</w:t>
      </w:r>
      <w:r>
        <w:rPr>
          <w:color w:val="0D0D0D"/>
          <w:spacing w:val="-15"/>
          <w:w w:val="102"/>
        </w:rPr>
        <w:t>。</w:t>
      </w:r>
      <w:r>
        <w:rPr>
          <w:color w:val="0D0D0D"/>
          <w:w w:val="102"/>
        </w:rPr>
        <w:t xml:space="preserve"> </w:t>
      </w:r>
      <w:r>
        <w:rPr>
          <w:color w:val="0D0D0D"/>
          <w:spacing w:val="-4"/>
        </w:rPr>
        <w:t>A</w:t>
      </w:r>
      <w:r>
        <w:rPr>
          <w:color w:val="0D0D0D"/>
          <w:spacing w:val="-10"/>
        </w:rPr>
        <w:t xml:space="preserve">、如果销售量增加 </w:t>
      </w:r>
      <w:r>
        <w:rPr>
          <w:color w:val="0D0D0D"/>
        </w:rPr>
        <w:t>10</w:t>
      </w:r>
      <w:r>
        <w:rPr>
          <w:color w:val="0D0D0D"/>
          <w:spacing w:val="-9"/>
        </w:rPr>
        <w:t xml:space="preserve">％，息税前利润将增加 </w:t>
      </w:r>
      <w:r>
        <w:rPr>
          <w:color w:val="0D0D0D"/>
        </w:rPr>
        <w:t>20％</w:t>
      </w:r>
    </w:p>
    <w:p>
      <w:pPr>
        <w:pStyle w:val="BodyText"/>
        <w:spacing w:before="5" w:line="244" w:lineRule="auto"/>
        <w:ind w:left="3334" w:right="7176"/>
      </w:pPr>
      <w:r>
        <w:rPr>
          <w:color w:val="0D0D0D"/>
        </w:rPr>
        <w:t>B、如果息税前利润增加 20％，每股利润将增加 60％ C、如果销售量增加 10％，每股利润将增加 60％</w:t>
      </w:r>
    </w:p>
    <w:p>
      <w:pPr>
        <w:pStyle w:val="BodyText"/>
        <w:spacing w:before="7" w:line="244" w:lineRule="auto"/>
        <w:ind w:left="3330" w:right="7688" w:firstLine="3"/>
      </w:pPr>
      <w:r>
        <w:rPr>
          <w:color w:val="0D0D0D"/>
        </w:rPr>
        <w:t xml:space="preserve">D、如果每股利润增加 30％，销售量需要增加 5％ </w:t>
      </w:r>
      <w:r>
        <w:rPr>
          <w:b/>
          <w:color w:val="0D0D0D"/>
        </w:rPr>
        <w:t>答案:</w:t>
      </w:r>
      <w:r>
        <w:rPr>
          <w:color w:val="0D0D0D"/>
        </w:rPr>
        <w:t>ABCD</w:t>
      </w:r>
    </w:p>
    <w:p>
      <w:pPr>
        <w:pStyle w:val="BodyText"/>
        <w:spacing w:before="7"/>
        <w:ind w:left="3330"/>
      </w:pPr>
      <w:r>
        <w:rPr>
          <w:b/>
          <w:color w:val="0D0D0D"/>
        </w:rPr>
        <w:t>解析:</w:t>
      </w:r>
      <w:r>
        <w:rPr>
          <w:color w:val="0D0D0D"/>
        </w:rPr>
        <w:t>只要理解了三大杠杆的真正含义，就可以很顺利地完成该题。</w:t>
      </w:r>
    </w:p>
    <w:p>
      <w:pPr>
        <w:pStyle w:val="BodyText"/>
        <w:spacing w:before="9" w:line="247" w:lineRule="auto"/>
        <w:ind w:left="3334" w:right="8535" w:hanging="634"/>
      </w:pPr>
      <w:r>
        <w:rPr>
          <w:color w:val="0D0D0D"/>
        </w:rPr>
        <w:t>15、下列关于成本习性的表述中正确的有（</w:t>
      </w:r>
      <w:r>
        <w:rPr>
          <w:color w:val="0D0D0D"/>
          <w:spacing w:val="98"/>
        </w:rPr>
        <w:t xml:space="preserve"> </w:t>
      </w:r>
      <w:r>
        <w:rPr>
          <w:color w:val="0D0D0D"/>
          <w:spacing w:val="-162"/>
        </w:rPr>
        <w:t>）</w:t>
      </w:r>
      <w:r>
        <w:rPr>
          <w:color w:val="0D0D0D"/>
          <w:spacing w:val="-16"/>
        </w:rPr>
        <w:t>。</w:t>
      </w:r>
      <w:r>
        <w:rPr>
          <w:color w:val="0D0D0D"/>
          <w:spacing w:val="-4"/>
        </w:rPr>
        <w:t>A</w:t>
      </w:r>
      <w:r>
        <w:rPr>
          <w:color w:val="0D0D0D"/>
        </w:rPr>
        <w:t xml:space="preserve">、在相关范围内，固定成本总额保持不变 </w:t>
      </w:r>
      <w:r>
        <w:rPr>
          <w:color w:val="0D0D0D"/>
          <w:spacing w:val="-4"/>
        </w:rPr>
        <w:t>B</w:t>
      </w:r>
      <w:r>
        <w:rPr>
          <w:color w:val="0D0D0D"/>
        </w:rPr>
        <w:t>、在相关范围内，单位变动成本保持不变</w:t>
      </w:r>
    </w:p>
    <w:p>
      <w:pPr>
        <w:pStyle w:val="BodyText"/>
        <w:spacing w:line="247" w:lineRule="auto"/>
        <w:ind w:left="3330" w:right="6765" w:firstLine="3"/>
      </w:pPr>
      <w:r>
        <w:rPr>
          <w:color w:val="0D0D0D"/>
          <w:spacing w:val="-4"/>
        </w:rPr>
        <w:t>C</w:t>
      </w:r>
      <w:r>
        <w:rPr>
          <w:color w:val="0D0D0D"/>
          <w:spacing w:val="-1"/>
        </w:rPr>
        <w:t xml:space="preserve">、在相关范围内，单位固定成本随业务量成反方向变动 </w:t>
      </w:r>
      <w:r>
        <w:rPr>
          <w:color w:val="0D0D0D"/>
          <w:spacing w:val="-4"/>
        </w:rPr>
        <w:t>D</w:t>
      </w:r>
      <w:r>
        <w:rPr>
          <w:color w:val="0D0D0D"/>
        </w:rPr>
        <w:t xml:space="preserve">、无论企业产销量如何变动，单位变动成本保持不变  </w:t>
      </w:r>
      <w:r>
        <w:rPr>
          <w:b/>
          <w:color w:val="0D0D0D"/>
        </w:rPr>
        <w:t>答案:</w:t>
      </w:r>
      <w:r>
        <w:rPr>
          <w:color w:val="0D0D0D"/>
        </w:rPr>
        <w:t>ABC</w:t>
      </w:r>
    </w:p>
    <w:p>
      <w:pPr>
        <w:pStyle w:val="BodyText"/>
        <w:spacing w:line="247" w:lineRule="auto"/>
        <w:ind w:right="2643" w:firstLine="629"/>
        <w:jc w:val="both"/>
      </w:pPr>
      <w:r>
        <w:rPr>
          <w:b/>
          <w:color w:val="0D0D0D"/>
        </w:rPr>
        <w:t>解析:</w:t>
      </w:r>
      <w:r>
        <w:rPr>
          <w:color w:val="0D0D0D"/>
          <w:spacing w:val="-1"/>
        </w:rPr>
        <w:t>根据成本习性分析理论，固定成本和变动成本都存在相关范围的问题，只有在相</w:t>
      </w:r>
      <w:r>
        <w:rPr>
          <w:color w:val="0D0D0D"/>
          <w:spacing w:val="-13"/>
        </w:rPr>
        <w:t>关范围内，固定成本总额和单位变动成本才能保持不变。若超出相关范围，这两类成本都会 发生变化。</w:t>
      </w:r>
    </w:p>
    <w:p>
      <w:pPr>
        <w:pStyle w:val="Heading2"/>
        <w:spacing w:line="394" w:lineRule="exact"/>
      </w:pPr>
      <w:r>
        <w:rPr>
          <w:color w:val="0D0D0D"/>
        </w:rPr>
        <w:t>三、判断题</w:t>
      </w:r>
    </w:p>
    <w:p>
      <w:pPr>
        <w:pStyle w:val="BodyText"/>
        <w:spacing w:before="11" w:line="244" w:lineRule="auto"/>
        <w:ind w:left="3330" w:right="2519" w:hanging="630"/>
      </w:pPr>
      <w:r>
        <w:rPr>
          <w:color w:val="0D0D0D"/>
        </w:rPr>
        <w:t>1</w:t>
      </w:r>
      <w:r>
        <w:rPr>
          <w:color w:val="0D0D0D"/>
          <w:spacing w:val="-10"/>
        </w:rPr>
        <w:t>、在其他因素不变的情况下，固定成本越小，经营杠杆系数也就越小，而经营风险则越小。</w:t>
      </w:r>
      <w:r>
        <w:rPr>
          <w:b/>
          <w:color w:val="0D0D0D"/>
        </w:rPr>
        <w:t>答案:</w:t>
      </w:r>
      <w:r>
        <w:rPr>
          <w:color w:val="0D0D0D"/>
        </w:rPr>
        <w:t>√</w:t>
      </w:r>
    </w:p>
    <w:p>
      <w:pPr>
        <w:pStyle w:val="BodyText"/>
        <w:spacing w:before="7" w:line="244" w:lineRule="auto"/>
        <w:ind w:right="2643" w:firstLine="629"/>
      </w:pPr>
      <w:r>
        <w:rPr>
          <w:b/>
          <w:color w:val="0D0D0D"/>
        </w:rPr>
        <w:t>解析:</w:t>
      </w:r>
      <w:r>
        <w:rPr>
          <w:color w:val="0D0D0D"/>
        </w:rPr>
        <w:t>在其他因素不变情况下，固定成本越小，经营杠杆系数也会越小，由于经营杠杆系数越小表明利润变动越不激烈，因此，企业的经营风险也越小。</w:t>
      </w:r>
    </w:p>
    <w:p>
      <w:pPr>
        <w:pStyle w:val="BodyText"/>
        <w:spacing w:before="6" w:line="244" w:lineRule="auto"/>
        <w:ind w:left="3330" w:right="4596" w:hanging="630"/>
      </w:pPr>
      <w:r>
        <w:rPr>
          <w:color w:val="0D0D0D"/>
        </w:rPr>
        <w:t>2、一般来说，管理当局的决策行动能轻易改变约束性固定成本的数额</w:t>
      </w:r>
      <w:r>
        <w:rPr>
          <w:color w:val="0D0D0D"/>
          <w:spacing w:val="-211"/>
        </w:rPr>
        <w:t>。</w:t>
      </w:r>
      <w:r>
        <w:rPr>
          <w:color w:val="0D0D0D"/>
        </w:rPr>
        <w:t xml:space="preserve">（ </w:t>
      </w:r>
      <w:r>
        <w:rPr>
          <w:color w:val="0D0D0D"/>
          <w:spacing w:val="-17"/>
        </w:rPr>
        <w:t xml:space="preserve">） </w:t>
      </w:r>
      <w:r>
        <w:rPr>
          <w:b/>
          <w:color w:val="0D0D0D"/>
        </w:rPr>
        <w:t>答案:</w:t>
      </w:r>
      <w:r>
        <w:rPr>
          <w:color w:val="0D0D0D"/>
        </w:rPr>
        <w:t>×</w:t>
      </w:r>
    </w:p>
    <w:p>
      <w:pPr>
        <w:pStyle w:val="BodyText"/>
        <w:spacing w:before="7" w:line="247" w:lineRule="auto"/>
        <w:ind w:right="2643" w:firstLine="629"/>
        <w:jc w:val="both"/>
      </w:pPr>
      <w:r>
        <w:rPr>
          <w:b/>
          <w:color w:val="0D0D0D"/>
        </w:rPr>
        <w:t>解析:</w:t>
      </w:r>
      <w:r>
        <w:rPr>
          <w:color w:val="0D0D0D"/>
          <w:spacing w:val="-1"/>
        </w:rPr>
        <w:t>约束性固定成本属于企业“经营能力”成本，而企业的经营能力一经形成，在短</w:t>
      </w:r>
      <w:r>
        <w:rPr>
          <w:color w:val="0D0D0D"/>
          <w:spacing w:val="-13"/>
        </w:rPr>
        <w:t>期内很难有重大改变，因而这部分成本具有很大的约束性，管理当局的决策行动不能轻易改变其数额，管理娄局的决策行动只能改变酌量性固定成本的数额。</w:t>
      </w:r>
    </w:p>
    <w:p>
      <w:pPr>
        <w:pStyle w:val="BodyText"/>
        <w:spacing w:line="247" w:lineRule="auto"/>
        <w:ind w:left="3330" w:right="6486" w:hanging="630"/>
        <w:jc w:val="both"/>
      </w:pPr>
      <w:r>
        <w:rPr>
          <w:color w:val="0D0D0D"/>
        </w:rPr>
        <w:t>3、经营杠杆不是经营风险的来源，只是放大了经营风险</w:t>
      </w:r>
      <w:r>
        <w:rPr>
          <w:color w:val="0D0D0D"/>
          <w:spacing w:val="-201"/>
        </w:rPr>
        <w:t>。</w:t>
      </w:r>
      <w:r>
        <w:rPr>
          <w:color w:val="0D0D0D"/>
        </w:rPr>
        <w:t xml:space="preserve">（ </w:t>
      </w:r>
      <w:r>
        <w:rPr>
          <w:color w:val="0D0D0D"/>
          <w:spacing w:val="-16"/>
        </w:rPr>
        <w:t xml:space="preserve">） </w:t>
      </w:r>
      <w:r>
        <w:rPr>
          <w:b/>
          <w:color w:val="0D0D0D"/>
        </w:rPr>
        <w:t>答案:</w:t>
      </w:r>
      <w:r>
        <w:rPr>
          <w:color w:val="0D0D0D"/>
        </w:rPr>
        <w:t>√</w:t>
      </w:r>
    </w:p>
    <w:p>
      <w:pPr>
        <w:pStyle w:val="BodyText"/>
        <w:spacing w:line="247" w:lineRule="auto"/>
        <w:ind w:right="2643" w:firstLine="629"/>
        <w:jc w:val="both"/>
      </w:pPr>
      <w:r>
        <w:rPr>
          <w:b/>
          <w:color w:val="0D0D0D"/>
        </w:rPr>
        <w:t>解析:</w:t>
      </w:r>
      <w:r>
        <w:rPr>
          <w:color w:val="0D0D0D"/>
          <w:spacing w:val="-1"/>
        </w:rPr>
        <w:t>经营风险指的是因生产经营方面的原因给企业盈利带来的不确定性，经营杠杆本</w:t>
      </w:r>
      <w:r>
        <w:rPr>
          <w:color w:val="0D0D0D"/>
          <w:spacing w:val="-11"/>
        </w:rPr>
        <w:t>身并不是利润不稳定的根源，而是经营风险的一种描述。只是通过销售的波动，在存在固定 成本的前提下，将息税前利润的波动程度放大了，即放大了经营风险。</w:t>
      </w:r>
    </w:p>
    <w:p>
      <w:pPr>
        <w:pStyle w:val="BodyText"/>
        <w:spacing w:line="247" w:lineRule="auto"/>
        <w:ind w:right="2643"/>
        <w:jc w:val="both"/>
      </w:pPr>
      <w:r>
        <w:rPr>
          <w:color w:val="0D0D0D"/>
        </w:rPr>
        <w:t>4</w:t>
      </w:r>
      <w:r>
        <w:rPr>
          <w:color w:val="0D0D0D"/>
          <w:spacing w:val="-1"/>
        </w:rPr>
        <w:t>、每股利润无差别点法既考虑了资金结构对每股利润的影响，也考虑资金结构对风险的影</w:t>
      </w:r>
      <w:r>
        <w:rPr>
          <w:color w:val="0D0D0D"/>
          <w:spacing w:val="-80"/>
        </w:rPr>
        <w:t>响。</w:t>
      </w:r>
      <w:r>
        <w:rPr>
          <w:color w:val="0D0D0D"/>
        </w:rPr>
        <w:t>（ ）</w:t>
      </w:r>
    </w:p>
    <w:p>
      <w:pPr>
        <w:spacing w:before="0" w:line="396" w:lineRule="exact"/>
        <w:ind w:left="3330" w:right="0" w:firstLine="0"/>
        <w:jc w:val="left"/>
        <w:rPr>
          <w:sz w:val="31"/>
        </w:rPr>
      </w:pPr>
      <w:r>
        <w:rPr>
          <w:b/>
          <w:color w:val="0D0D0D"/>
          <w:sz w:val="31"/>
        </w:rPr>
        <w:t>答案:</w:t>
      </w:r>
      <w:r>
        <w:rPr>
          <w:color w:val="0D0D0D"/>
          <w:sz w:val="31"/>
        </w:rPr>
        <w:t>×</w:t>
      </w:r>
    </w:p>
    <w:p>
      <w:pPr>
        <w:pStyle w:val="BodyText"/>
        <w:spacing w:before="7" w:line="244" w:lineRule="auto"/>
        <w:ind w:right="2643" w:firstLine="629"/>
      </w:pPr>
      <w:r>
        <w:rPr>
          <w:b/>
          <w:color w:val="0D0D0D"/>
        </w:rPr>
        <w:t>解析:</w:t>
      </w:r>
      <w:r>
        <w:rPr>
          <w:color w:val="0D0D0D"/>
        </w:rPr>
        <w:t>每股利润无差别点法只考虑了资金结构对每股利润的影响，但没有考虑资金结构对风险的影响。</w:t>
      </w:r>
    </w:p>
    <w:p>
      <w:pPr>
        <w:pStyle w:val="BodyText"/>
        <w:spacing w:before="7" w:line="244" w:lineRule="auto"/>
        <w:ind w:right="2529"/>
      </w:pPr>
      <w:r>
        <w:rPr>
          <w:color w:val="0D0D0D"/>
        </w:rPr>
        <w:t xml:space="preserve">5、企业的资金结构应同资产结构协调一致，比如固定资产比重大的企业应该通过长期负债 </w:t>
      </w:r>
      <w:r>
        <w:rPr>
          <w:color w:val="0D0D0D"/>
          <w:spacing w:val="-9"/>
        </w:rPr>
        <w:t>和发行股票来筹集资金，而拥有较多流动资产的企业，更多地通过流动负债来筹集资金</w:t>
      </w:r>
      <w:r>
        <w:rPr>
          <w:color w:val="0D0D0D"/>
          <w:spacing w:val="-230"/>
        </w:rPr>
        <w:t>。</w:t>
      </w:r>
      <w:r>
        <w:rPr>
          <w:color w:val="0D0D0D"/>
          <w:spacing w:val="-8"/>
        </w:rPr>
        <w:t>（）</w:t>
      </w:r>
    </w:p>
    <w:p>
      <w:pPr>
        <w:spacing w:before="7"/>
        <w:ind w:left="3330" w:right="0" w:firstLine="0"/>
        <w:jc w:val="left"/>
        <w:rPr>
          <w:sz w:val="31"/>
        </w:rPr>
      </w:pPr>
      <w:r>
        <w:rPr>
          <w:b/>
          <w:color w:val="0D0D0D"/>
          <w:sz w:val="31"/>
        </w:rPr>
        <w:t>答案:</w:t>
      </w:r>
      <w:r>
        <w:rPr>
          <w:color w:val="0D0D0D"/>
          <w:sz w:val="31"/>
        </w:rPr>
        <w:t>√</w:t>
      </w:r>
    </w:p>
    <w:p>
      <w:pPr>
        <w:spacing w:after="0"/>
        <w:jc w:val="left"/>
        <w:rPr>
          <w:sz w:val="31"/>
        </w:rPr>
        <w:sectPr>
          <w:headerReference w:type="default" r:id="rId129"/>
          <w:footerReference w:type="default" r:id="rId130"/>
          <w:pgSz w:w="17860" w:h="25260"/>
          <w:pgMar w:top="1720" w:right="0" w:bottom="1940" w:left="0" w:header="1129" w:footer="1752"/>
          <w:pgNumType w:start="9"/>
          <w:cols w:space="708"/>
        </w:sectPr>
      </w:pPr>
    </w:p>
    <w:p>
      <w:pPr>
        <w:pStyle w:val="BodyText"/>
        <w:spacing w:before="3"/>
        <w:ind w:left="0"/>
        <w:rPr>
          <w:sz w:val="8"/>
        </w:rPr>
      </w:pPr>
    </w:p>
    <w:p>
      <w:pPr>
        <w:pStyle w:val="BodyText"/>
        <w:spacing w:before="63"/>
        <w:ind w:left="3330"/>
      </w:pPr>
      <w:r>
        <w:rPr>
          <w:b/>
          <w:color w:val="0D0D0D"/>
        </w:rPr>
        <w:t>解析:</w:t>
      </w:r>
      <w:r>
        <w:rPr>
          <w:color w:val="0D0D0D"/>
        </w:rPr>
        <w:t>资产结构影响资金结构，见教材157 页。</w:t>
      </w:r>
    </w:p>
    <w:p>
      <w:pPr>
        <w:pStyle w:val="BodyText"/>
        <w:spacing w:before="10" w:line="247" w:lineRule="auto"/>
        <w:ind w:left="3330" w:right="2534" w:hanging="630"/>
      </w:pPr>
      <w:r>
        <w:rPr>
          <w:color w:val="0D0D0D"/>
        </w:rPr>
        <w:t>6</w:t>
      </w:r>
      <w:r>
        <w:rPr>
          <w:color w:val="0D0D0D"/>
          <w:spacing w:val="1"/>
        </w:rPr>
        <w:t>、当企业的经营杠杆系数等于</w:t>
      </w:r>
      <w:r>
        <w:rPr>
          <w:color w:val="0D0D0D"/>
        </w:rPr>
        <w:t>1</w:t>
      </w:r>
      <w:r>
        <w:rPr>
          <w:color w:val="0D0D0D"/>
          <w:spacing w:val="-11"/>
        </w:rPr>
        <w:t xml:space="preserve"> 时，则企业的固定成本为零，此时企业没有经营风险</w:t>
      </w:r>
      <w:r>
        <w:rPr>
          <w:color w:val="0D0D0D"/>
          <w:spacing w:val="-212"/>
        </w:rPr>
        <w:t>。</w:t>
      </w:r>
      <w:r>
        <w:rPr>
          <w:color w:val="0D0D0D"/>
        </w:rPr>
        <w:t>（</w:t>
      </w:r>
      <w:r>
        <w:rPr>
          <w:color w:val="0D0D0D"/>
          <w:spacing w:val="14"/>
        </w:rPr>
        <w:t xml:space="preserve"> </w:t>
      </w:r>
      <w:r>
        <w:rPr>
          <w:color w:val="0D0D0D"/>
          <w:spacing w:val="-16"/>
        </w:rPr>
        <w:t xml:space="preserve">） </w:t>
      </w:r>
      <w:r>
        <w:rPr>
          <w:b/>
          <w:color w:val="0D0D0D"/>
        </w:rPr>
        <w:t>答案:</w:t>
      </w:r>
      <w:r>
        <w:rPr>
          <w:color w:val="0D0D0D"/>
        </w:rPr>
        <w:t>×</w:t>
      </w:r>
    </w:p>
    <w:p>
      <w:pPr>
        <w:pStyle w:val="BodyText"/>
        <w:spacing w:line="247" w:lineRule="auto"/>
        <w:ind w:right="2658" w:firstLine="629"/>
        <w:jc w:val="both"/>
      </w:pPr>
      <w:r>
        <w:rPr>
          <w:b/>
          <w:color w:val="0D0D0D"/>
        </w:rPr>
        <w:t>解析:</w:t>
      </w:r>
      <w:r>
        <w:rPr>
          <w:color w:val="0D0D0D"/>
        </w:rPr>
        <w:t>当企业的经营杠杆系数等于 1</w:t>
      </w:r>
      <w:r>
        <w:rPr>
          <w:color w:val="0D0D0D"/>
          <w:spacing w:val="-1"/>
        </w:rPr>
        <w:t xml:space="preserve"> 时，则企业的固定成本为零，此时企业没有经营杠</w:t>
      </w:r>
      <w:r>
        <w:rPr>
          <w:color w:val="0D0D0D"/>
          <w:spacing w:val="-14"/>
        </w:rPr>
        <w:t>杆效应，但并不意味着企业没有经营风险。因为经营风险反映息税前利润的变动程度，即使没有固定成本，息税前利润受市场因素的影响，它的变动也是客观存在的。</w:t>
      </w:r>
    </w:p>
    <w:p>
      <w:pPr>
        <w:pStyle w:val="BodyText"/>
        <w:spacing w:line="244" w:lineRule="auto"/>
        <w:ind w:left="3330" w:right="5226" w:hanging="630"/>
        <w:jc w:val="both"/>
      </w:pPr>
      <w:r>
        <w:rPr>
          <w:color w:val="0D0D0D"/>
        </w:rPr>
        <w:t>7、留存收益是企业利润所形成的，所以，留存收益没有资金成本</w:t>
      </w:r>
      <w:r>
        <w:rPr>
          <w:color w:val="0D0D0D"/>
          <w:spacing w:val="-208"/>
        </w:rPr>
        <w:t>。</w:t>
      </w:r>
      <w:r>
        <w:rPr>
          <w:color w:val="0D0D0D"/>
        </w:rPr>
        <w:t xml:space="preserve">（ </w:t>
      </w:r>
      <w:r>
        <w:rPr>
          <w:color w:val="0D0D0D"/>
          <w:spacing w:val="-16"/>
        </w:rPr>
        <w:t xml:space="preserve">） </w:t>
      </w:r>
      <w:r>
        <w:rPr>
          <w:b/>
          <w:color w:val="0D0D0D"/>
        </w:rPr>
        <w:t>答案:</w:t>
      </w:r>
      <w:r>
        <w:rPr>
          <w:color w:val="0D0D0D"/>
        </w:rPr>
        <w:t>×</w:t>
      </w:r>
    </w:p>
    <w:p>
      <w:pPr>
        <w:pStyle w:val="BodyText"/>
        <w:spacing w:before="6" w:line="247" w:lineRule="auto"/>
        <w:ind w:right="2581" w:firstLine="629"/>
        <w:jc w:val="both"/>
      </w:pPr>
      <w:r>
        <w:rPr>
          <w:b/>
          <w:color w:val="0D0D0D"/>
        </w:rPr>
        <w:t>解析:</w:t>
      </w:r>
      <w:r>
        <w:rPr>
          <w:color w:val="0D0D0D"/>
        </w:rPr>
        <w:t xml:space="preserve">在市场经济条件下，不存在不花费任何代价使用的资金。因此，留存收益即便没 </w:t>
      </w:r>
      <w:r>
        <w:rPr>
          <w:color w:val="0D0D0D"/>
          <w:spacing w:val="-8"/>
        </w:rPr>
        <w:t>有筹资费用，它也存在着机会成本。企业留存收益，等于股东对企业进行追加投资，股东对</w:t>
      </w:r>
      <w:r>
        <w:rPr>
          <w:color w:val="0D0D0D"/>
          <w:spacing w:val="-10"/>
        </w:rPr>
        <w:t>这部分投资与以前缴给企业的股本一样，也要求有一定的报酬，所以，留存收益也要计算成 本。</w:t>
      </w:r>
    </w:p>
    <w:p>
      <w:pPr>
        <w:pStyle w:val="BodyText"/>
        <w:spacing w:line="395" w:lineRule="exact"/>
      </w:pPr>
      <w:r>
        <w:rPr>
          <w:color w:val="0D0D0D"/>
        </w:rPr>
        <w:t>8、资金结构问题总的来说是负债资金的比例问题，即负债在企业全部资金中所占的比重。</w:t>
      </w:r>
    </w:p>
    <w:p>
      <w:pPr>
        <w:pStyle w:val="BodyText"/>
        <w:spacing w:before="10"/>
      </w:pPr>
      <w:r>
        <w:rPr>
          <w:color w:val="0D0D0D"/>
        </w:rPr>
        <w:t>（ ）</w:t>
      </w:r>
    </w:p>
    <w:p>
      <w:pPr>
        <w:spacing w:before="14"/>
        <w:ind w:left="3330" w:right="0" w:firstLine="0"/>
        <w:jc w:val="left"/>
        <w:rPr>
          <w:sz w:val="31"/>
        </w:rPr>
      </w:pPr>
      <w:r>
        <w:rPr>
          <w:b/>
          <w:color w:val="0D0D0D"/>
          <w:sz w:val="31"/>
        </w:rPr>
        <w:t>答案:</w:t>
      </w:r>
      <w:r>
        <w:rPr>
          <w:color w:val="0D0D0D"/>
          <w:sz w:val="31"/>
        </w:rPr>
        <w:t>√</w:t>
      </w:r>
    </w:p>
    <w:p>
      <w:pPr>
        <w:spacing w:before="10"/>
        <w:ind w:left="3330" w:right="0" w:firstLine="0"/>
        <w:jc w:val="left"/>
        <w:rPr>
          <w:sz w:val="31"/>
        </w:rPr>
      </w:pPr>
      <w:r>
        <w:rPr>
          <w:b/>
          <w:color w:val="0D0D0D"/>
          <w:sz w:val="31"/>
        </w:rPr>
        <w:t>解析:</w:t>
      </w:r>
      <w:r>
        <w:rPr>
          <w:color w:val="0D0D0D"/>
          <w:sz w:val="31"/>
        </w:rPr>
        <w:t>见教材 156 页。</w:t>
      </w:r>
    </w:p>
    <w:p>
      <w:pPr>
        <w:pStyle w:val="BodyText"/>
        <w:spacing w:before="13" w:line="244" w:lineRule="auto"/>
        <w:ind w:left="3330" w:right="5073" w:hanging="630"/>
      </w:pPr>
      <w:r>
        <w:rPr>
          <w:color w:val="0D0D0D"/>
        </w:rPr>
        <w:t>9、在公司价值分析法中，公司价值＝</w:t>
      </w:r>
      <w:r>
        <w:rPr>
          <w:color w:val="0D0D0D"/>
          <w:spacing w:val="-18"/>
        </w:rPr>
        <w:t>股权的账面价值+债券的面值。</w:t>
      </w:r>
      <w:r>
        <w:rPr>
          <w:color w:val="0D0D0D"/>
        </w:rPr>
        <w:t xml:space="preserve">（ </w:t>
      </w:r>
      <w:r>
        <w:rPr>
          <w:color w:val="0D0D0D"/>
          <w:spacing w:val="-18"/>
        </w:rPr>
        <w:t xml:space="preserve">） </w:t>
      </w:r>
      <w:r>
        <w:rPr>
          <w:b/>
          <w:color w:val="0D0D0D"/>
        </w:rPr>
        <w:t>答案:</w:t>
      </w:r>
      <w:r>
        <w:rPr>
          <w:color w:val="0D0D0D"/>
        </w:rPr>
        <w:t>×</w:t>
      </w:r>
    </w:p>
    <w:p>
      <w:pPr>
        <w:pStyle w:val="BodyText"/>
        <w:spacing w:before="7" w:line="244" w:lineRule="auto"/>
        <w:ind w:right="2684" w:firstLine="629"/>
      </w:pPr>
      <w:r>
        <w:rPr>
          <w:b/>
          <w:color w:val="0D0D0D"/>
        </w:rPr>
        <w:t>解析:</w:t>
      </w:r>
      <w:r>
        <w:rPr>
          <w:color w:val="0D0D0D"/>
        </w:rPr>
        <w:t>公司价值＝</w:t>
      </w:r>
      <w:r>
        <w:rPr>
          <w:color w:val="0D0D0D"/>
          <w:spacing w:val="-14"/>
        </w:rPr>
        <w:t>股票的市场价值+债券的市场价值，只是为了简化起见，一般假设债券</w:t>
      </w:r>
      <w:r>
        <w:rPr>
          <w:color w:val="0D0D0D"/>
        </w:rPr>
        <w:t>的市场价值等于其面值。</w:t>
      </w:r>
    </w:p>
    <w:p>
      <w:pPr>
        <w:pStyle w:val="BodyText"/>
        <w:spacing w:before="7" w:line="244" w:lineRule="auto"/>
        <w:ind w:left="3330" w:right="4751" w:hanging="630"/>
      </w:pPr>
      <w:r>
        <w:rPr>
          <w:color w:val="0D0D0D"/>
        </w:rPr>
        <w:t>10、从较长的时间来看，所有的成本都在变化，没有绝对不变的成本</w:t>
      </w:r>
      <w:r>
        <w:rPr>
          <w:color w:val="0D0D0D"/>
          <w:spacing w:val="-208"/>
        </w:rPr>
        <w:t>。</w:t>
      </w:r>
      <w:r>
        <w:rPr>
          <w:color w:val="0D0D0D"/>
        </w:rPr>
        <w:t xml:space="preserve">（ </w:t>
      </w:r>
      <w:r>
        <w:rPr>
          <w:color w:val="0D0D0D"/>
          <w:spacing w:val="-15"/>
        </w:rPr>
        <w:t xml:space="preserve">） </w:t>
      </w:r>
      <w:r>
        <w:rPr>
          <w:b/>
          <w:color w:val="0D0D0D"/>
        </w:rPr>
        <w:t>答案:</w:t>
      </w:r>
      <w:r>
        <w:rPr>
          <w:color w:val="0D0D0D"/>
        </w:rPr>
        <w:t>√</w:t>
      </w:r>
    </w:p>
    <w:p>
      <w:pPr>
        <w:pStyle w:val="BodyText"/>
        <w:spacing w:before="3" w:line="247" w:lineRule="auto"/>
        <w:ind w:right="2643" w:firstLine="629"/>
      </w:pPr>
      <w:r>
        <w:rPr>
          <w:b/>
          <w:color w:val="0D0D0D"/>
        </w:rPr>
        <w:t>解析:</w:t>
      </w:r>
      <w:r>
        <w:rPr>
          <w:color w:val="0D0D0D"/>
        </w:rPr>
        <w:t>固定成本和变动成本都是相对而言的，必须与一定时间和一定业务量联系起来。因此，固定是相对的，变动是绝对的。</w:t>
      </w:r>
    </w:p>
    <w:p>
      <w:pPr>
        <w:pStyle w:val="BodyText"/>
        <w:spacing w:line="247" w:lineRule="auto"/>
        <w:ind w:left="3330" w:right="5302" w:hanging="630"/>
      </w:pPr>
      <w:r>
        <w:rPr>
          <w:color w:val="0D0D0D"/>
        </w:rPr>
        <w:t>11</w:t>
      </w:r>
      <w:r>
        <w:rPr>
          <w:color w:val="0D0D0D"/>
          <w:spacing w:val="3"/>
        </w:rPr>
        <w:t>、当经营杠杆系数和财务杠杆系数都为</w:t>
      </w:r>
      <w:r>
        <w:rPr>
          <w:color w:val="0D0D0D"/>
        </w:rPr>
        <w:t xml:space="preserve">2.5 时，总杠杆系数为 </w:t>
      </w:r>
      <w:r>
        <w:rPr>
          <w:color w:val="0D0D0D"/>
          <w:spacing w:val="-4"/>
        </w:rPr>
        <w:t>5</w:t>
      </w:r>
      <w:r>
        <w:rPr>
          <w:color w:val="0D0D0D"/>
          <w:spacing w:val="-159"/>
        </w:rPr>
        <w:t>。</w:t>
      </w:r>
      <w:r>
        <w:rPr>
          <w:color w:val="0D0D0D"/>
          <w:spacing w:val="-7"/>
        </w:rPr>
        <w:t xml:space="preserve">（） </w:t>
      </w:r>
      <w:r>
        <w:rPr>
          <w:b/>
          <w:color w:val="0D0D0D"/>
        </w:rPr>
        <w:t>答案:</w:t>
      </w:r>
      <w:r>
        <w:rPr>
          <w:color w:val="0D0D0D"/>
        </w:rPr>
        <w:t>×</w:t>
      </w:r>
    </w:p>
    <w:p>
      <w:pPr>
        <w:pStyle w:val="BodyText"/>
        <w:spacing w:line="396" w:lineRule="exact"/>
        <w:ind w:left="3330"/>
      </w:pPr>
      <w:r>
        <w:rPr>
          <w:b/>
          <w:color w:val="0D0D0D"/>
        </w:rPr>
        <w:t>解析:</w:t>
      </w:r>
      <w:r>
        <w:rPr>
          <w:color w:val="0D0D0D"/>
        </w:rPr>
        <w:t>若经营杠杆系数和财务杠杆系数都为2.5，则总杠杆系数＝2.5×2.5＝6.25。</w:t>
      </w:r>
    </w:p>
    <w:p>
      <w:pPr>
        <w:pStyle w:val="BodyText"/>
        <w:spacing w:before="13" w:line="244" w:lineRule="auto"/>
        <w:ind w:left="3330" w:right="3490" w:hanging="630"/>
      </w:pPr>
      <w:r>
        <w:rPr>
          <w:color w:val="0D0D0D"/>
        </w:rPr>
        <w:t>12、企业最优资金结构是指在一定条件下使企业自有资金成本最低的资金结构</w:t>
      </w:r>
      <w:r>
        <w:rPr>
          <w:color w:val="0D0D0D"/>
          <w:spacing w:val="-211"/>
        </w:rPr>
        <w:t>。</w:t>
      </w:r>
      <w:r>
        <w:rPr>
          <w:color w:val="0D0D0D"/>
        </w:rPr>
        <w:t>（</w:t>
      </w:r>
      <w:r>
        <w:rPr>
          <w:color w:val="0D0D0D"/>
          <w:spacing w:val="67"/>
        </w:rPr>
        <w:t xml:space="preserve"> </w:t>
      </w:r>
      <w:r>
        <w:rPr>
          <w:color w:val="0D0D0D"/>
          <w:spacing w:val="-16"/>
        </w:rPr>
        <w:t xml:space="preserve">） </w:t>
      </w:r>
      <w:r>
        <w:rPr>
          <w:b/>
          <w:color w:val="0D0D0D"/>
        </w:rPr>
        <w:t>答案:</w:t>
      </w:r>
      <w:r>
        <w:rPr>
          <w:color w:val="0D0D0D"/>
        </w:rPr>
        <w:t>×</w:t>
      </w:r>
    </w:p>
    <w:p>
      <w:pPr>
        <w:pStyle w:val="BodyText"/>
        <w:spacing w:before="7" w:line="244" w:lineRule="auto"/>
        <w:ind w:right="2643" w:firstLine="629"/>
      </w:pPr>
      <w:r>
        <w:rPr>
          <w:b/>
          <w:color w:val="0D0D0D"/>
        </w:rPr>
        <w:t>解析:</w:t>
      </w:r>
      <w:r>
        <w:rPr>
          <w:color w:val="0D0D0D"/>
        </w:rPr>
        <w:t>最优资金结构是指在一定条件下使企业加权平均资金成本最低、企业价值最大的资金结构。</w:t>
      </w:r>
    </w:p>
    <w:p>
      <w:pPr>
        <w:pStyle w:val="BodyText"/>
        <w:spacing w:before="7" w:line="244" w:lineRule="auto"/>
        <w:ind w:right="2686"/>
      </w:pPr>
      <w:r>
        <w:rPr>
          <w:color w:val="0D0D0D"/>
        </w:rPr>
        <w:t>13</w:t>
      </w:r>
      <w:r>
        <w:rPr>
          <w:color w:val="0D0D0D"/>
          <w:spacing w:val="-15"/>
        </w:rPr>
        <w:t>、当销售额大于每股利润无差异点时，企业通过负债筹资比权益资本筹资更为有利，因为</w:t>
      </w:r>
      <w:r>
        <w:rPr>
          <w:color w:val="0D0D0D"/>
        </w:rPr>
        <w:t>将使企业资金成本降低</w:t>
      </w:r>
      <w:r>
        <w:rPr>
          <w:color w:val="0D0D0D"/>
          <w:spacing w:val="-176"/>
        </w:rPr>
        <w:t>。</w:t>
      </w:r>
      <w:r>
        <w:rPr>
          <w:color w:val="0D0D0D"/>
        </w:rPr>
        <w:t>（ ）</w:t>
      </w:r>
    </w:p>
    <w:p>
      <w:pPr>
        <w:spacing w:before="7"/>
        <w:ind w:left="3330" w:right="0" w:firstLine="0"/>
        <w:jc w:val="left"/>
        <w:rPr>
          <w:sz w:val="31"/>
        </w:rPr>
      </w:pPr>
      <w:r>
        <w:rPr>
          <w:b/>
          <w:color w:val="0D0D0D"/>
          <w:sz w:val="31"/>
        </w:rPr>
        <w:t>答案:</w:t>
      </w:r>
      <w:r>
        <w:rPr>
          <w:color w:val="0D0D0D"/>
          <w:sz w:val="31"/>
        </w:rPr>
        <w:t>×</w:t>
      </w:r>
    </w:p>
    <w:p>
      <w:pPr>
        <w:pStyle w:val="BodyText"/>
        <w:spacing w:before="9" w:line="247" w:lineRule="auto"/>
        <w:ind w:right="2643" w:firstLine="629"/>
      </w:pPr>
      <w:r>
        <w:rPr>
          <w:b/>
          <w:color w:val="0D0D0D"/>
        </w:rPr>
        <w:t>解析:</w:t>
      </w:r>
      <w:r>
        <w:rPr>
          <w:color w:val="0D0D0D"/>
        </w:rPr>
        <w:t>当销售额大于每股利润无差异点时，利用负债筹资会提高每股利润，但随着每股利润的提高，企业风险也相应增加，资金成本反而会加大。</w:t>
      </w:r>
    </w:p>
    <w:p>
      <w:pPr>
        <w:pStyle w:val="BodyText"/>
        <w:spacing w:line="247" w:lineRule="auto"/>
        <w:ind w:left="3330" w:right="4124" w:hanging="630"/>
      </w:pPr>
      <w:r>
        <w:rPr>
          <w:color w:val="0D0D0D"/>
        </w:rPr>
        <w:t>14、资金的边际成本需要采用加权平均法计算，其权数应为账面价值权数</w:t>
      </w:r>
      <w:r>
        <w:rPr>
          <w:color w:val="0D0D0D"/>
          <w:spacing w:val="-211"/>
        </w:rPr>
        <w:t>。</w:t>
      </w:r>
      <w:r>
        <w:rPr>
          <w:color w:val="0D0D0D"/>
        </w:rPr>
        <w:t>（</w:t>
      </w:r>
      <w:r>
        <w:rPr>
          <w:color w:val="0D0D0D"/>
          <w:spacing w:val="54"/>
        </w:rPr>
        <w:t xml:space="preserve"> </w:t>
      </w:r>
      <w:r>
        <w:rPr>
          <w:color w:val="0D0D0D"/>
          <w:spacing w:val="-16"/>
        </w:rPr>
        <w:t xml:space="preserve">） </w:t>
      </w:r>
      <w:r>
        <w:rPr>
          <w:b/>
          <w:color w:val="0D0D0D"/>
        </w:rPr>
        <w:t>答案:</w:t>
      </w:r>
      <w:r>
        <w:rPr>
          <w:color w:val="0D0D0D"/>
        </w:rPr>
        <w:t>×</w:t>
      </w:r>
    </w:p>
    <w:p>
      <w:pPr>
        <w:pStyle w:val="BodyText"/>
        <w:spacing w:line="247" w:lineRule="auto"/>
        <w:ind w:right="2643" w:firstLine="629"/>
      </w:pPr>
      <w:r>
        <w:rPr>
          <w:b/>
          <w:color w:val="0D0D0D"/>
        </w:rPr>
        <w:t>解析:</w:t>
      </w:r>
      <w:r>
        <w:rPr>
          <w:color w:val="0D0D0D"/>
        </w:rPr>
        <w:t>资金的边际成本需要采用加权平均法计算，其权数应为市场价值权数，不应使用账面价值权数。</w:t>
      </w:r>
    </w:p>
    <w:p>
      <w:pPr>
        <w:pStyle w:val="BodyText"/>
        <w:spacing w:line="247" w:lineRule="auto"/>
        <w:ind w:right="2677"/>
      </w:pPr>
      <w:r>
        <w:rPr>
          <w:color w:val="0D0D0D"/>
        </w:rPr>
        <w:t>15</w:t>
      </w:r>
      <w:r>
        <w:rPr>
          <w:color w:val="0D0D0D"/>
          <w:spacing w:val="-9"/>
        </w:rPr>
        <w:t xml:space="preserve">、当息税前利润增大时，每 </w:t>
      </w:r>
      <w:r>
        <w:rPr>
          <w:color w:val="0D0D0D"/>
        </w:rPr>
        <w:t>1</w:t>
      </w:r>
      <w:r>
        <w:rPr>
          <w:color w:val="0D0D0D"/>
          <w:spacing w:val="-5"/>
        </w:rPr>
        <w:t xml:space="preserve"> 元盈余所负担的固定财务费用就会相对减少，这能给普通股</w:t>
      </w:r>
      <w:r>
        <w:rPr>
          <w:color w:val="0D0D0D"/>
        </w:rPr>
        <w:t>带来更多的盈余，所以，企业利用财务杠杆，一定会产生好的效果</w:t>
      </w:r>
      <w:r>
        <w:rPr>
          <w:color w:val="0D0D0D"/>
          <w:spacing w:val="-204"/>
        </w:rPr>
        <w:t>。</w:t>
      </w:r>
      <w:r>
        <w:rPr>
          <w:color w:val="0D0D0D"/>
        </w:rPr>
        <w:t>（）</w:t>
      </w:r>
    </w:p>
    <w:p>
      <w:pPr>
        <w:spacing w:before="0" w:line="396" w:lineRule="exact"/>
        <w:ind w:left="3330" w:right="0" w:firstLine="0"/>
        <w:jc w:val="left"/>
        <w:rPr>
          <w:sz w:val="31"/>
        </w:rPr>
      </w:pPr>
      <w:r>
        <w:rPr>
          <w:b/>
          <w:color w:val="0D0D0D"/>
          <w:sz w:val="31"/>
        </w:rPr>
        <w:t>答案:</w:t>
      </w:r>
      <w:r>
        <w:rPr>
          <w:color w:val="0D0D0D"/>
          <w:sz w:val="31"/>
        </w:rPr>
        <w:t>×</w:t>
      </w:r>
    </w:p>
    <w:p>
      <w:pPr>
        <w:pStyle w:val="BodyText"/>
        <w:spacing w:before="8" w:line="247" w:lineRule="auto"/>
        <w:ind w:right="2646" w:firstLine="629"/>
      </w:pPr>
      <w:r>
        <w:rPr>
          <w:b/>
          <w:color w:val="0D0D0D"/>
        </w:rPr>
        <w:t>解析:</w:t>
      </w:r>
      <w:r>
        <w:rPr>
          <w:color w:val="0D0D0D"/>
        </w:rPr>
        <w:t>参见教材 150-151 页的例题分析，企业利用财务杠杆，可能会产生好的效果，也可能会产生坏的效果。</w:t>
      </w:r>
    </w:p>
    <w:p>
      <w:pPr>
        <w:pStyle w:val="Heading2"/>
        <w:spacing w:line="396" w:lineRule="exact"/>
      </w:pPr>
      <w:r>
        <w:rPr>
          <w:color w:val="0D0D0D"/>
        </w:rPr>
        <w:t>四、计算题</w:t>
      </w:r>
    </w:p>
    <w:p>
      <w:pPr>
        <w:pStyle w:val="BodyText"/>
        <w:spacing w:before="13" w:line="247" w:lineRule="auto"/>
        <w:ind w:right="2681"/>
        <w:jc w:val="both"/>
      </w:pPr>
      <w:r>
        <w:rPr>
          <w:color w:val="0D0D0D"/>
        </w:rPr>
        <w:t>1</w:t>
      </w:r>
      <w:r>
        <w:rPr>
          <w:color w:val="0D0D0D"/>
          <w:spacing w:val="-10"/>
        </w:rPr>
        <w:t xml:space="preserve">、某公司 </w:t>
      </w:r>
      <w:r>
        <w:rPr>
          <w:color w:val="0D0D0D"/>
        </w:rPr>
        <w:t>2003</w:t>
      </w:r>
      <w:r>
        <w:rPr>
          <w:color w:val="0D0D0D"/>
          <w:spacing w:val="-14"/>
        </w:rPr>
        <w:t xml:space="preserve"> 年销售产品 </w:t>
      </w:r>
      <w:r>
        <w:rPr>
          <w:color w:val="0D0D0D"/>
        </w:rPr>
        <w:t>10</w:t>
      </w:r>
      <w:r>
        <w:rPr>
          <w:color w:val="0D0D0D"/>
          <w:spacing w:val="-14"/>
        </w:rPr>
        <w:t xml:space="preserve"> 万件。单价 </w:t>
      </w:r>
      <w:r>
        <w:rPr>
          <w:color w:val="0D0D0D"/>
        </w:rPr>
        <w:t>50</w:t>
      </w:r>
      <w:r>
        <w:rPr>
          <w:color w:val="0D0D0D"/>
          <w:spacing w:val="-12"/>
        </w:rPr>
        <w:t xml:space="preserve"> 元，单位变动成本 </w:t>
      </w:r>
      <w:r>
        <w:rPr>
          <w:color w:val="0D0D0D"/>
        </w:rPr>
        <w:t>30</w:t>
      </w:r>
      <w:r>
        <w:rPr>
          <w:color w:val="0D0D0D"/>
          <w:spacing w:val="-12"/>
        </w:rPr>
        <w:t xml:space="preserve"> 元，固定成本总额 </w:t>
      </w:r>
      <w:r>
        <w:rPr>
          <w:color w:val="0D0D0D"/>
        </w:rPr>
        <w:t xml:space="preserve">100 </w:t>
      </w:r>
      <w:r>
        <w:rPr>
          <w:color w:val="0D0D0D"/>
          <w:spacing w:val="-3"/>
        </w:rPr>
        <w:t xml:space="preserve">万元。公司负债 </w:t>
      </w:r>
      <w:r>
        <w:rPr>
          <w:color w:val="0D0D0D"/>
        </w:rPr>
        <w:t>60</w:t>
      </w:r>
      <w:r>
        <w:rPr>
          <w:color w:val="0D0D0D"/>
          <w:spacing w:val="-5"/>
        </w:rPr>
        <w:t xml:space="preserve"> 万元，年利息率为 </w:t>
      </w:r>
      <w:r>
        <w:rPr>
          <w:color w:val="0D0D0D"/>
        </w:rPr>
        <w:t>12％，</w:t>
      </w:r>
      <w:r>
        <w:rPr>
          <w:color w:val="0D0D0D"/>
          <w:spacing w:val="-3"/>
        </w:rPr>
        <w:t xml:space="preserve">并须每年支付优先股股利 </w:t>
      </w:r>
      <w:r>
        <w:rPr>
          <w:color w:val="0D0D0D"/>
        </w:rPr>
        <w:t>10</w:t>
      </w:r>
      <w:r>
        <w:rPr>
          <w:color w:val="0D0D0D"/>
          <w:spacing w:val="-5"/>
        </w:rPr>
        <w:t xml:space="preserve"> 万元，所得税税</w:t>
      </w:r>
      <w:r>
        <w:rPr>
          <w:color w:val="0D0D0D"/>
          <w:spacing w:val="-38"/>
        </w:rPr>
        <w:t xml:space="preserve">率 </w:t>
      </w:r>
      <w:r>
        <w:rPr>
          <w:color w:val="0D0D0D"/>
        </w:rPr>
        <w:t>33％。</w:t>
      </w:r>
    </w:p>
    <w:p>
      <w:pPr>
        <w:pStyle w:val="BodyText"/>
        <w:spacing w:line="394" w:lineRule="exact"/>
      </w:pPr>
      <w:r>
        <w:rPr>
          <w:color w:val="0D0D0D"/>
          <w:spacing w:val="-54"/>
          <w:w w:val="102"/>
        </w:rPr>
        <w:t>要求：</w:t>
      </w:r>
      <w:r>
        <w:rPr>
          <w:color w:val="0D0D0D"/>
          <w:spacing w:val="-1"/>
          <w:w w:val="102"/>
        </w:rPr>
        <w:t>（</w:t>
      </w:r>
      <w:r>
        <w:rPr>
          <w:color w:val="0D0D0D"/>
          <w:w w:val="102"/>
        </w:rPr>
        <w:t>1）计算</w:t>
      </w:r>
      <w:r>
        <w:rPr>
          <w:color w:val="0D0D0D"/>
          <w:spacing w:val="-83"/>
        </w:rPr>
        <w:t xml:space="preserve"> </w:t>
      </w:r>
      <w:r>
        <w:rPr>
          <w:color w:val="0D0D0D"/>
          <w:w w:val="102"/>
        </w:rPr>
        <w:t>2003</w:t>
      </w:r>
      <w:r>
        <w:rPr>
          <w:color w:val="0D0D0D"/>
          <w:spacing w:val="-79"/>
        </w:rPr>
        <w:t xml:space="preserve"> </w:t>
      </w:r>
      <w:r>
        <w:rPr>
          <w:color w:val="0D0D0D"/>
          <w:w w:val="102"/>
        </w:rPr>
        <w:t>年边际贡献。</w:t>
      </w:r>
    </w:p>
    <w:p>
      <w:pPr>
        <w:pStyle w:val="ListParagraph"/>
        <w:numPr>
          <w:ilvl w:val="1"/>
          <w:numId w:val="41"/>
        </w:numPr>
        <w:tabs>
          <w:tab w:val="left" w:pos="4124"/>
        </w:tabs>
        <w:spacing w:before="13" w:after="0" w:line="240" w:lineRule="auto"/>
        <w:ind w:left="4123" w:right="0" w:hanging="794"/>
        <w:jc w:val="left"/>
        <w:rPr>
          <w:sz w:val="31"/>
        </w:rPr>
      </w:pPr>
      <w:r>
        <w:rPr>
          <w:color w:val="0D0D0D"/>
          <w:spacing w:val="-28"/>
          <w:sz w:val="31"/>
        </w:rPr>
        <w:t xml:space="preserve">计算 </w:t>
      </w:r>
      <w:r>
        <w:rPr>
          <w:color w:val="0D0D0D"/>
          <w:sz w:val="31"/>
        </w:rPr>
        <w:t>2003</w:t>
      </w:r>
      <w:r>
        <w:rPr>
          <w:color w:val="0D0D0D"/>
          <w:spacing w:val="-10"/>
          <w:sz w:val="31"/>
        </w:rPr>
        <w:t xml:space="preserve"> 年息税前利润总额。</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1" w:history="1">
        <w:r>
          <w:rPr>
            <w:rFonts w:ascii="SimSun" w:eastAsia="SimSun" w:hAnsi="SimSun" w:cs="SimSun"/>
            <w:b/>
            <w:bCs/>
            <w:color w:val="0000EE"/>
            <w:sz w:val="30"/>
            <w:szCs w:val="30"/>
            <w:u w:val="single" w:color="0000EE"/>
          </w:rPr>
          <w:t>https://d.book118.com/266135042012010031</w:t>
        </w:r>
      </w:hyperlink>
    </w:p>
    <w:p>
      <w:pPr>
        <w:spacing w:after="0" w:line="240" w:lineRule="auto"/>
        <w:jc w:val="left"/>
        <w:rPr>
          <w:sz w:val="31"/>
        </w:rPr>
      </w:pPr>
    </w:p>
    <w:sectPr>
      <w:headerReference w:type="default" r:id="rId132"/>
      <w:footerReference w:type="default" r:id="rId133"/>
      <w:pgSz w:w="17860" w:h="25260"/>
      <w:pgMar w:top="1720" w:right="0" w:bottom="1940" w:left="0" w:header="1129" w:footer="1752"/>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3.25pt;height:17.1pt;margin-top:1163.93pt;margin-left:440.23pt;mso-position-horizontal-relative:page;mso-position-vertical-relative:page;position:absolute;z-index:-251658240" filled="f" stroked="f">
          <v:textbox inset="0,0,0,0">
            <w:txbxContent>
              <w:p>
                <w:pPr>
                  <w:spacing w:before="38" w:line="304" w:lineRule="exact"/>
                  <w:ind w:left="49" w:right="0" w:firstLine="0"/>
                  <w:jc w:val="left"/>
                  <w:rPr>
                    <w:rFonts w:ascii="Arial" w:eastAsia="Arial"/>
                    <w:sz w:val="29"/>
                  </w:rPr>
                </w:pPr>
                <w:r>
                  <w:rPr>
                    <w:rFonts w:ascii="宋体" w:eastAsia="宋体" w:hint="eastAsia"/>
                    <w:spacing w:val="-141"/>
                    <w:position w:val="1"/>
                    <w:sz w:val="15"/>
                  </w:rPr>
                  <w:t>。</w:t>
                </w:r>
                <w:r>
                  <w:fldChar w:fldCharType="begin"/>
                </w:r>
                <w:r>
                  <w:rPr>
                    <w:rFonts w:ascii="Arial" w:eastAsia="Arial"/>
                    <w:sz w:val="29"/>
                  </w:rPr>
                  <w:instrText xml:space="preserve"> PAGE </w:instrText>
                </w:r>
                <w:r>
                  <w:fldChar w:fldCharType="separate"/>
                </w:r>
                <w:r>
                  <w:rPr>
                    <w:rFonts w:ascii="Arial" w:eastAsia="Arial"/>
                    <w:sz w:val="29"/>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3.25pt;height:17.1pt;margin-top:1163.93pt;margin-left:440.23pt;mso-position-horizontal-relative:page;mso-position-vertical-relative:page;position:absolute;z-index:-251657216" filled="f" stroked="f">
          <v:textbox inset="0,0,0,0">
            <w:txbxContent>
              <w:p>
                <w:pPr>
                  <w:spacing w:before="38" w:line="304" w:lineRule="exact"/>
                  <w:ind w:left="49" w:right="0" w:firstLine="0"/>
                  <w:jc w:val="left"/>
                  <w:rPr>
                    <w:rFonts w:ascii="Arial" w:eastAsia="Arial"/>
                    <w:sz w:val="29"/>
                  </w:rPr>
                </w:pPr>
                <w:r>
                  <w:rPr>
                    <w:rFonts w:ascii="宋体" w:eastAsia="宋体" w:hint="eastAsia"/>
                    <w:spacing w:val="-141"/>
                    <w:position w:val="1"/>
                    <w:sz w:val="15"/>
                  </w:rPr>
                  <w:t>。</w:t>
                </w:r>
                <w:r>
                  <w:fldChar w:fldCharType="begin"/>
                </w:r>
                <w:r>
                  <w:rPr>
                    <w:rFonts w:ascii="Arial" w:eastAsia="Arial"/>
                    <w:sz w:val="29"/>
                  </w:rPr>
                  <w:instrText xml:space="preserve"> PAGE </w:instrText>
                </w:r>
                <w:r>
                  <w:fldChar w:fldCharType="separate"/>
                </w:r>
                <w:r>
                  <w:rPr>
                    <w:rFonts w:ascii="Arial" w:eastAsia="Arial"/>
                    <w:sz w:val="29"/>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3.25pt;height:17.1pt;margin-top:1163.93pt;margin-left:440.23pt;mso-position-horizontal-relative:page;mso-position-vertical-relative:page;position:absolute;z-index:-251656192" filled="f" stroked="f">
          <v:textbox inset="0,0,0,0">
            <w:txbxContent>
              <w:p>
                <w:pPr>
                  <w:spacing w:before="38" w:line="304" w:lineRule="exact"/>
                  <w:ind w:left="49" w:right="0" w:firstLine="0"/>
                  <w:jc w:val="left"/>
                  <w:rPr>
                    <w:rFonts w:ascii="Arial" w:eastAsia="Arial"/>
                    <w:sz w:val="29"/>
                  </w:rPr>
                </w:pPr>
                <w:r>
                  <w:rPr>
                    <w:rFonts w:ascii="宋体" w:eastAsia="宋体" w:hint="eastAsia"/>
                    <w:spacing w:val="-141"/>
                    <w:position w:val="1"/>
                    <w:sz w:val="15"/>
                  </w:rPr>
                  <w:t>。</w:t>
                </w:r>
                <w:r>
                  <w:fldChar w:fldCharType="begin"/>
                </w:r>
                <w:r>
                  <w:rPr>
                    <w:rFonts w:ascii="Arial" w:eastAsia="Arial"/>
                    <w:sz w:val="29"/>
                  </w:rPr>
                  <w:instrText xml:space="preserve"> PAGE </w:instrText>
                </w:r>
                <w:r>
                  <w:fldChar w:fldCharType="separate"/>
                </w:r>
                <w:r>
                  <w:rPr>
                    <w:rFonts w:ascii="Arial" w:eastAsia="Arial"/>
                    <w:sz w:val="29"/>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13.25pt;height:17.1pt;margin-top:1163.93pt;margin-left:440.23pt;mso-position-horizontal-relative:page;mso-position-vertical-relative:page;position:absolute;z-index:-251655168" filled="f" stroked="f">
          <v:textbox inset="0,0,0,0">
            <w:txbxContent>
              <w:p>
                <w:pPr>
                  <w:spacing w:before="38" w:line="304" w:lineRule="exact"/>
                  <w:ind w:left="49" w:right="0" w:firstLine="0"/>
                  <w:jc w:val="left"/>
                  <w:rPr>
                    <w:rFonts w:ascii="Arial" w:eastAsia="Arial"/>
                    <w:sz w:val="29"/>
                  </w:rPr>
                </w:pPr>
                <w:r>
                  <w:rPr>
                    <w:rFonts w:ascii="宋体" w:eastAsia="宋体" w:hint="eastAsia"/>
                    <w:spacing w:val="-141"/>
                    <w:position w:val="1"/>
                    <w:sz w:val="15"/>
                  </w:rPr>
                  <w:t>。</w:t>
                </w:r>
                <w:r>
                  <w:fldChar w:fldCharType="begin"/>
                </w:r>
                <w:r>
                  <w:rPr>
                    <w:rFonts w:ascii="Arial" w:eastAsia="Arial"/>
                    <w:sz w:val="29"/>
                  </w:rPr>
                  <w:instrText xml:space="preserve"> PAGE </w:instrText>
                </w:r>
                <w:r>
                  <w:fldChar w:fldCharType="separate"/>
                </w:r>
                <w:r>
                  <w:rPr>
                    <w:rFonts w:ascii="Arial" w:eastAsia="Arial"/>
                    <w:sz w:val="29"/>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13.25pt;height:17.1pt;margin-top:1163.93pt;margin-left:440.23pt;mso-position-horizontal-relative:page;mso-position-vertical-relative:page;position:absolute;z-index:-251654144" filled="f" stroked="f">
          <v:textbox inset="0,0,0,0">
            <w:txbxContent>
              <w:p>
                <w:pPr>
                  <w:spacing w:before="38" w:line="304" w:lineRule="exact"/>
                  <w:ind w:left="49" w:right="0" w:firstLine="0"/>
                  <w:jc w:val="left"/>
                  <w:rPr>
                    <w:rFonts w:ascii="Arial" w:eastAsia="Arial"/>
                    <w:sz w:val="29"/>
                  </w:rPr>
                </w:pPr>
                <w:r>
                  <w:rPr>
                    <w:rFonts w:ascii="宋体" w:eastAsia="宋体" w:hint="eastAsia"/>
                    <w:spacing w:val="-141"/>
                    <w:position w:val="1"/>
                    <w:sz w:val="15"/>
                  </w:rPr>
                  <w:t>。</w:t>
                </w:r>
                <w:r>
                  <w:fldChar w:fldCharType="begin"/>
                </w:r>
                <w:r>
                  <w:rPr>
                    <w:rFonts w:ascii="Arial" w:eastAsia="Arial"/>
                    <w:sz w:val="29"/>
                  </w:rPr>
                  <w:instrText xml:space="preserve"> PAGE </w:instrText>
                </w:r>
                <w:r>
                  <w:fldChar w:fldCharType="separate"/>
                </w:r>
                <w:r>
                  <w:rPr>
                    <w:rFonts w:ascii="Arial" w:eastAsia="Arial"/>
                    <w:sz w:val="29"/>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13.25pt;height:17.1pt;margin-top:1163.93pt;margin-left:440.23pt;mso-position-horizontal-relative:page;mso-position-vertical-relative:page;position:absolute;z-index:-251653120" filled="f" stroked="f">
          <v:textbox inset="0,0,0,0">
            <w:txbxContent>
              <w:p>
                <w:pPr>
                  <w:spacing w:before="38" w:line="304" w:lineRule="exact"/>
                  <w:ind w:left="49" w:right="0" w:firstLine="0"/>
                  <w:jc w:val="left"/>
                  <w:rPr>
                    <w:rFonts w:ascii="Arial" w:eastAsia="Arial"/>
                    <w:sz w:val="29"/>
                  </w:rPr>
                </w:pPr>
                <w:r>
                  <w:rPr>
                    <w:rFonts w:ascii="宋体" w:eastAsia="宋体" w:hint="eastAsia"/>
                    <w:spacing w:val="-141"/>
                    <w:position w:val="1"/>
                    <w:sz w:val="15"/>
                  </w:rPr>
                  <w:t>。</w:t>
                </w:r>
                <w:r>
                  <w:fldChar w:fldCharType="begin"/>
                </w:r>
                <w:r>
                  <w:rPr>
                    <w:rFonts w:ascii="Arial" w:eastAsia="Arial"/>
                    <w:sz w:val="29"/>
                  </w:rPr>
                  <w:instrText xml:space="preserve"> PAGE </w:instrText>
                </w:r>
                <w:r>
                  <w:fldChar w:fldCharType="separate"/>
                </w:r>
                <w:r>
                  <w:rPr>
                    <w:rFonts w:ascii="Arial" w:eastAsia="Arial"/>
                    <w:sz w:val="29"/>
                  </w:rPr>
                  <w:t>9</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13.25pt;height:17.1pt;margin-top:1163.93pt;margin-left:440.23pt;mso-position-horizontal-relative:page;mso-position-vertical-relative:page;position:absolute;z-index:-251652096" filled="f" stroked="f">
          <v:textbox inset="0,0,0,0">
            <w:txbxContent>
              <w:p>
                <w:pPr>
                  <w:spacing w:before="38" w:line="304" w:lineRule="exact"/>
                  <w:ind w:left="49" w:right="0" w:firstLine="0"/>
                  <w:jc w:val="left"/>
                  <w:rPr>
                    <w:rFonts w:ascii="Arial" w:eastAsia="Arial"/>
                    <w:sz w:val="29"/>
                  </w:rPr>
                </w:pPr>
                <w:r>
                  <w:rPr>
                    <w:rFonts w:ascii="宋体" w:eastAsia="宋体" w:hint="eastAsia"/>
                    <w:spacing w:val="-141"/>
                    <w:position w:val="1"/>
                    <w:sz w:val="15"/>
                  </w:rPr>
                  <w:t>。</w:t>
                </w:r>
                <w:r>
                  <w:fldChar w:fldCharType="begin"/>
                </w:r>
                <w:r>
                  <w:rPr>
                    <w:rFonts w:ascii="Arial" w:eastAsia="Arial"/>
                    <w:sz w:val="29"/>
                  </w:rPr>
                  <w:instrText xml:space="preserve"> PAGE </w:instrText>
                </w:r>
                <w:r>
                  <w:fldChar w:fldCharType="separate"/>
                </w:r>
                <w:r>
                  <w:rPr>
                    <w:rFonts w:ascii="Arial" w:eastAsia="Arial"/>
                    <w:sz w:val="29"/>
                  </w:rPr>
                  <w:t>9</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13.25pt;height:17.1pt;margin-top:1163.93pt;margin-left:440.23pt;mso-position-horizontal-relative:page;mso-position-vertical-relative:page;position:absolute;z-index:-251651072" filled="f" stroked="f">
          <v:textbox inset="0,0,0,0">
            <w:txbxContent>
              <w:p>
                <w:pPr>
                  <w:spacing w:before="38" w:line="304" w:lineRule="exact"/>
                  <w:ind w:left="49" w:right="0" w:firstLine="0"/>
                  <w:jc w:val="left"/>
                  <w:rPr>
                    <w:rFonts w:ascii="Arial" w:eastAsia="Arial"/>
                    <w:sz w:val="29"/>
                  </w:rPr>
                </w:pPr>
                <w:r>
                  <w:rPr>
                    <w:rFonts w:ascii="宋体" w:eastAsia="宋体" w:hint="eastAsia"/>
                    <w:spacing w:val="-141"/>
                    <w:position w:val="1"/>
                    <w:sz w:val="15"/>
                  </w:rPr>
                  <w:t>。</w:t>
                </w:r>
                <w:r>
                  <w:fldChar w:fldCharType="begin"/>
                </w:r>
                <w:r>
                  <w:rPr>
                    <w:rFonts w:ascii="Arial" w:eastAsia="Arial"/>
                    <w:sz w:val="29"/>
                  </w:rPr>
                  <w:instrText xml:space="preserve"> PAGE </w:instrText>
                </w:r>
                <w:r>
                  <w:fldChar w:fldCharType="separate"/>
                </w:r>
                <w:r>
                  <w:rPr>
                    <w:rFonts w:ascii="Arial" w:eastAsia="Arial"/>
                    <w:sz w:val="29"/>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13.25pt;height:17.1pt;margin-top:1163.93pt;margin-left:440.23pt;mso-position-horizontal-relative:page;mso-position-vertical-relative:page;position:absolute;z-index:-251650048" filled="f" stroked="f">
          <v:textbox inset="0,0,0,0">
            <w:txbxContent>
              <w:p>
                <w:pPr>
                  <w:spacing w:before="38" w:line="304" w:lineRule="exact"/>
                  <w:ind w:left="49" w:right="0" w:firstLine="0"/>
                  <w:jc w:val="left"/>
                  <w:rPr>
                    <w:rFonts w:ascii="Arial" w:eastAsia="Arial"/>
                    <w:sz w:val="29"/>
                  </w:rPr>
                </w:pPr>
                <w:r>
                  <w:rPr>
                    <w:rFonts w:ascii="宋体" w:eastAsia="宋体" w:hint="eastAsia"/>
                    <w:spacing w:val="-141"/>
                    <w:position w:val="1"/>
                    <w:sz w:val="15"/>
                  </w:rPr>
                  <w:t>。</w:t>
                </w:r>
                <w:r>
                  <w:fldChar w:fldCharType="begin"/>
                </w:r>
                <w:r>
                  <w:rPr>
                    <w:rFonts w:ascii="Arial" w:eastAsia="Arial"/>
                    <w:sz w:val="29"/>
                  </w:rPr>
                  <w:instrText xml:space="preserve"> PAGE </w:instrText>
                </w:r>
                <w:r>
                  <w:fldChar w:fldCharType="separate"/>
                </w:r>
                <w:r>
                  <w:rPr>
                    <w:rFonts w:ascii="Arial" w:eastAsia="Arial"/>
                    <w:sz w:val="29"/>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13.25pt;height:17.1pt;margin-top:1163.93pt;margin-left:440.23pt;mso-position-horizontal-relative:page;mso-position-vertical-relative:page;position:absolute;z-index:-251649024" filled="f" stroked="f">
          <v:textbox inset="0,0,0,0">
            <w:txbxContent>
              <w:p>
                <w:pPr>
                  <w:spacing w:before="38" w:line="304" w:lineRule="exact"/>
                  <w:ind w:left="49" w:right="0" w:firstLine="0"/>
                  <w:jc w:val="left"/>
                  <w:rPr>
                    <w:rFonts w:ascii="Arial" w:eastAsia="Arial"/>
                    <w:sz w:val="29"/>
                  </w:rPr>
                </w:pPr>
                <w:r>
                  <w:rPr>
                    <w:rFonts w:ascii="宋体" w:eastAsia="宋体" w:hint="eastAsia"/>
                    <w:spacing w:val="-141"/>
                    <w:position w:val="1"/>
                    <w:sz w:val="15"/>
                  </w:rPr>
                  <w:t>。</w:t>
                </w:r>
                <w:r>
                  <w:fldChar w:fldCharType="begin"/>
                </w:r>
                <w:r>
                  <w:rPr>
                    <w:rFonts w:ascii="Arial" w:eastAsia="Arial"/>
                    <w:sz w:val="29"/>
                  </w:rPr>
                  <w:instrText xml:space="preserve"> PAGE </w:instrText>
                </w:r>
                <w:r>
                  <w:fldChar w:fldCharType="separate"/>
                </w:r>
                <w:r>
                  <w:rPr>
                    <w:rFonts w:ascii="Arial" w:eastAsia="Arial"/>
                    <w:sz w:val="29"/>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13.25pt;height:17.1pt;margin-top:1163.93pt;margin-left:440.23pt;mso-position-horizontal-relative:page;mso-position-vertical-relative:page;position:absolute;z-index:-251648000" filled="f" stroked="f">
          <v:textbox inset="0,0,0,0">
            <w:txbxContent>
              <w:p>
                <w:pPr>
                  <w:spacing w:before="38" w:line="304" w:lineRule="exact"/>
                  <w:ind w:left="49" w:right="0" w:firstLine="0"/>
                  <w:jc w:val="left"/>
                  <w:rPr>
                    <w:rFonts w:ascii="Arial" w:eastAsia="Arial"/>
                    <w:sz w:val="29"/>
                  </w:rPr>
                </w:pPr>
                <w:r>
                  <w:rPr>
                    <w:rFonts w:ascii="宋体" w:eastAsia="宋体" w:hint="eastAsia"/>
                    <w:spacing w:val="-141"/>
                    <w:position w:val="1"/>
                    <w:sz w:val="15"/>
                  </w:rPr>
                  <w:t>。</w:t>
                </w:r>
                <w:r>
                  <w:fldChar w:fldCharType="begin"/>
                </w:r>
                <w:r>
                  <w:rPr>
                    <w:rFonts w:ascii="Arial" w:eastAsia="Arial"/>
                    <w:sz w:val="29"/>
                  </w:rPr>
                  <w:instrText xml:space="preserve"> PAGE </w:instrText>
                </w:r>
                <w:r>
                  <w:fldChar w:fldCharType="separate"/>
                </w:r>
                <w:r>
                  <w:rPr>
                    <w:rFonts w:ascii="Arial" w:eastAsia="Arial"/>
                    <w:sz w:val="29"/>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16.5pt;height:16.9pt;margin-top:1164.16pt;margin-left:438.81pt;mso-position-horizontal-relative:page;mso-position-vertical-relative:page;position:absolute;z-index:-251646976" filled="f" stroked="f">
          <v:textbox inset="0,0,0,0">
            <w:txbxContent>
              <w:p>
                <w:pPr>
                  <w:spacing w:before="33" w:line="304" w:lineRule="exact"/>
                  <w:ind w:left="20" w:right="0" w:firstLine="0"/>
                  <w:jc w:val="left"/>
                  <w:rPr>
                    <w:rFonts w:ascii="Arial" w:eastAsia="Arial"/>
                    <w:sz w:val="29"/>
                  </w:rPr>
                </w:pPr>
                <w:r>
                  <w:rPr>
                    <w:rFonts w:ascii="Arial" w:eastAsia="Arial"/>
                    <w:spacing w:val="-88"/>
                    <w:w w:val="95"/>
                    <w:sz w:val="29"/>
                  </w:rPr>
                  <w:t>1</w:t>
                </w:r>
                <w:r>
                  <w:rPr>
                    <w:rFonts w:ascii="宋体" w:eastAsia="宋体" w:hint="eastAsia"/>
                    <w:spacing w:val="-64"/>
                    <w:w w:val="95"/>
                    <w:position w:val="1"/>
                    <w:sz w:val="15"/>
                  </w:rPr>
                  <w:t>。</w:t>
                </w:r>
                <w:r>
                  <w:rPr>
                    <w:rFonts w:ascii="Arial" w:eastAsia="Arial"/>
                    <w:w w:val="95"/>
                    <w:sz w:val="29"/>
                  </w:rPr>
                  <w:t>0</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18.7pt;height:17.1pt;margin-top:1163.93pt;margin-left:438.81pt;mso-position-horizontal-relative:page;mso-position-vertical-relative:page;position:absolute;z-index:-251645952"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1</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18.7pt;height:17.1pt;margin-top:1163.93pt;margin-left:438.81pt;mso-position-horizontal-relative:page;mso-position-vertical-relative:page;position:absolute;z-index:-251644928"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2</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18.7pt;height:17.1pt;margin-top:1163.93pt;margin-left:438.81pt;mso-position-horizontal-relative:page;mso-position-vertical-relative:page;position:absolute;z-index:-251643904"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3</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0" type="#_x0000_t202" style="width:18.7pt;height:17.1pt;margin-top:1163.93pt;margin-left:438.81pt;mso-position-horizontal-relative:page;mso-position-vertical-relative:page;position:absolute;z-index:-251642880"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9</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2" type="#_x0000_t202" style="width:18.7pt;height:17.1pt;margin-top:1163.93pt;margin-left:438.81pt;mso-position-horizontal-relative:page;mso-position-vertical-relative:page;position:absolute;z-index:-251641856"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9</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18.7pt;height:17.1pt;margin-top:1163.93pt;margin-left:438.81pt;mso-position-horizontal-relative:page;mso-position-vertical-relative:page;position:absolute;z-index:-251640832"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6</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6" type="#_x0000_t202" style="width:18.7pt;height:17.1pt;margin-top:1163.93pt;margin-left:438.81pt;mso-position-horizontal-relative:page;mso-position-vertical-relative:page;position:absolute;z-index:-251639808"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7</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8" type="#_x0000_t202" style="width:18.7pt;height:17.1pt;margin-top:1163.93pt;margin-left:438.81pt;mso-position-horizontal-relative:page;mso-position-vertical-relative:page;position:absolute;z-index:-251638784"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8</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0" type="#_x0000_t202" style="width:18.7pt;height:17.1pt;margin-top:1163.93pt;margin-left:438.81pt;mso-position-horizontal-relative:page;mso-position-vertical-relative:page;position:absolute;z-index:-251637760"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9</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2" type="#_x0000_t202" style="width:18.7pt;height:17.1pt;margin-top:1163.93pt;margin-left:438.81pt;mso-position-horizontal-relative:page;mso-position-vertical-relative:page;position:absolute;z-index:-251636736"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10</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4" type="#_x0000_t202" style="width:18.7pt;height:17.1pt;margin-top:1163.93pt;margin-left:438.81pt;mso-position-horizontal-relative:page;mso-position-vertical-relative:page;position:absolute;z-index:-251635712"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9</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6" type="#_x0000_t202" style="width:18.7pt;height:17.1pt;margin-top:1163.93pt;margin-left:438.81pt;mso-position-horizontal-relative:page;mso-position-vertical-relative:page;position:absolute;z-index:-251634688"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9</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8" type="#_x0000_t202" style="width:18.7pt;height:17.1pt;margin-top:1163.93pt;margin-left:438.81pt;mso-position-horizontal-relative:page;mso-position-vertical-relative:page;position:absolute;z-index:-251633664" filled="f" stroked="f">
          <v:textbox inset="0,0,0,0">
            <w:txbxContent>
              <w:p>
                <w:pPr>
                  <w:spacing w:before="56" w:line="285" w:lineRule="exact"/>
                  <w:ind w:left="20" w:right="0" w:firstLine="0"/>
                  <w:jc w:val="left"/>
                  <w:rPr>
                    <w:rFonts w:ascii="Arial" w:eastAsia="Arial"/>
                    <w:sz w:val="27"/>
                  </w:rPr>
                </w:pPr>
                <w:r>
                  <w:rPr>
                    <w:rFonts w:ascii="Arial" w:eastAsia="Arial"/>
                    <w:spacing w:val="-78"/>
                    <w:sz w:val="27"/>
                  </w:rPr>
                  <w:t>1</w:t>
                </w:r>
                <w:r>
                  <w:rPr>
                    <w:rFonts w:ascii="宋体" w:eastAsia="宋体" w:hint="eastAsia"/>
                    <w:spacing w:val="-74"/>
                    <w:position w:val="1"/>
                    <w:sz w:val="15"/>
                  </w:rPr>
                  <w:t>。</w:t>
                </w:r>
                <w:r>
                  <w:fldChar w:fldCharType="begin"/>
                </w:r>
                <w:r>
                  <w:rPr>
                    <w:rFonts w:ascii="Arial" w:eastAsia="Arial"/>
                    <w:sz w:val="27"/>
                  </w:rPr>
                  <w:instrText xml:space="preserve"> PAGE </w:instrText>
                </w:r>
                <w:r>
                  <w:fldChar w:fldCharType="separate"/>
                </w:r>
                <w:r>
                  <w:rPr>
                    <w:rFonts w:ascii="Arial" w:eastAsia="Arial"/>
                    <w:sz w:val="27"/>
                  </w:rPr>
                  <w:t>13</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0" type="#_x0000_t202" style="width:15.5pt;height:15.9pt;margin-top:1165.14pt;margin-left:438.81pt;mso-position-horizontal-relative:page;mso-position-vertical-relative:page;position:absolute;z-index:-251632640" filled="f" stroked="f">
          <v:textbox inset="0,0,0,0">
            <w:txbxContent>
              <w:p>
                <w:pPr>
                  <w:spacing w:before="32" w:line="285" w:lineRule="exact"/>
                  <w:ind w:left="20" w:right="0" w:firstLine="0"/>
                  <w:jc w:val="left"/>
                  <w:rPr>
                    <w:rFonts w:ascii="Arial" w:eastAsia="Arial"/>
                    <w:sz w:val="27"/>
                  </w:rPr>
                </w:pPr>
                <w:r>
                  <w:rPr>
                    <w:rFonts w:ascii="Arial" w:eastAsia="Arial"/>
                    <w:spacing w:val="-78"/>
                    <w:w w:val="95"/>
                    <w:sz w:val="27"/>
                  </w:rPr>
                  <w:t>2</w:t>
                </w:r>
                <w:r>
                  <w:rPr>
                    <w:rFonts w:ascii="宋体" w:eastAsia="宋体" w:hint="eastAsia"/>
                    <w:spacing w:val="-74"/>
                    <w:w w:val="95"/>
                    <w:position w:val="1"/>
                    <w:sz w:val="15"/>
                  </w:rPr>
                  <w:t>。</w:t>
                </w:r>
                <w:r>
                  <w:rPr>
                    <w:rFonts w:ascii="Arial" w:eastAsia="Arial"/>
                    <w:w w:val="95"/>
                    <w:sz w:val="27"/>
                  </w:rPr>
                  <w:t>0</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2" type="#_x0000_t202" style="width:15.5pt;height:15.9pt;margin-top:1165.14pt;margin-left:438.81pt;mso-position-horizontal-relative:page;mso-position-vertical-relative:page;position:absolute;z-index:-251631616" filled="f" stroked="f">
          <v:textbox inset="0,0,0,0">
            <w:txbxContent>
              <w:p>
                <w:pPr>
                  <w:spacing w:before="32" w:line="285" w:lineRule="exact"/>
                  <w:ind w:left="20" w:right="0" w:firstLine="0"/>
                  <w:jc w:val="left"/>
                  <w:rPr>
                    <w:rFonts w:ascii="Arial" w:eastAsia="Arial"/>
                    <w:sz w:val="27"/>
                  </w:rPr>
                </w:pPr>
                <w:r>
                  <w:rPr>
                    <w:rFonts w:ascii="Arial" w:eastAsia="Arial"/>
                    <w:spacing w:val="-78"/>
                    <w:w w:val="95"/>
                    <w:sz w:val="27"/>
                  </w:rPr>
                  <w:t>2</w:t>
                </w:r>
                <w:r>
                  <w:rPr>
                    <w:rFonts w:ascii="宋体" w:eastAsia="宋体" w:hint="eastAsia"/>
                    <w:spacing w:val="-74"/>
                    <w:w w:val="95"/>
                    <w:position w:val="1"/>
                    <w:sz w:val="15"/>
                  </w:rPr>
                  <w:t>。</w:t>
                </w:r>
                <w:r>
                  <w:rPr>
                    <w:rFonts w:ascii="Arial" w:eastAsia="Arial"/>
                    <w:w w:val="95"/>
                    <w:sz w:val="27"/>
                  </w:rPr>
                  <w:t>0</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4" type="#_x0000_t202" style="width:15.5pt;height:15.9pt;margin-top:1165.14pt;margin-left:438.81pt;mso-position-horizontal-relative:page;mso-position-vertical-relative:page;position:absolute;z-index:-251630592" filled="f" stroked="f">
          <v:textbox inset="0,0,0,0">
            <w:txbxContent>
              <w:p>
                <w:pPr>
                  <w:spacing w:before="32" w:line="285" w:lineRule="exact"/>
                  <w:ind w:left="20" w:right="0" w:firstLine="0"/>
                  <w:jc w:val="left"/>
                  <w:rPr>
                    <w:rFonts w:ascii="Arial" w:eastAsia="Arial"/>
                    <w:sz w:val="27"/>
                  </w:rPr>
                </w:pPr>
                <w:r>
                  <w:rPr>
                    <w:rFonts w:ascii="Arial" w:eastAsia="Arial"/>
                    <w:spacing w:val="-78"/>
                    <w:w w:val="95"/>
                    <w:sz w:val="27"/>
                  </w:rPr>
                  <w:t>2</w:t>
                </w:r>
                <w:r>
                  <w:rPr>
                    <w:rFonts w:ascii="宋体" w:eastAsia="宋体" w:hint="eastAsia"/>
                    <w:spacing w:val="-74"/>
                    <w:w w:val="95"/>
                    <w:position w:val="1"/>
                    <w:sz w:val="15"/>
                  </w:rPr>
                  <w:t>。</w:t>
                </w:r>
                <w:r>
                  <w:rPr>
                    <w:rFonts w:ascii="Arial" w:eastAsia="Arial"/>
                    <w:w w:val="95"/>
                    <w:sz w:val="27"/>
                  </w:rPr>
                  <w:t>0</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6" type="#_x0000_t202" style="width:18.5pt;height:17.1pt;margin-top:1163.93pt;margin-left:438.81pt;mso-position-horizontal-relative:page;mso-position-vertical-relative:page;position:absolute;z-index:-251629568" filled="f" stroked="f">
          <v:textbox inset="0,0,0,0">
            <w:txbxContent>
              <w:p>
                <w:pPr>
                  <w:spacing w:before="38" w:line="304" w:lineRule="exact"/>
                  <w:ind w:left="20" w:right="0" w:firstLine="0"/>
                  <w:jc w:val="left"/>
                  <w:rPr>
                    <w:rFonts w:ascii="Arial" w:eastAsia="Arial"/>
                    <w:sz w:val="29"/>
                  </w:rPr>
                </w:pPr>
                <w:r>
                  <w:rPr>
                    <w:rFonts w:ascii="Arial" w:eastAsia="Arial"/>
                    <w:spacing w:val="-88"/>
                    <w:sz w:val="29"/>
                  </w:rPr>
                  <w:t>2</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1</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8" type="#_x0000_t202" style="width:18.5pt;height:17.1pt;margin-top:1163.93pt;margin-left:438.81pt;mso-position-horizontal-relative:page;mso-position-vertical-relative:page;position:absolute;z-index:-251628544" filled="f" stroked="f">
          <v:textbox inset="0,0,0,0">
            <w:txbxContent>
              <w:p>
                <w:pPr>
                  <w:spacing w:before="38" w:line="304" w:lineRule="exact"/>
                  <w:ind w:left="20" w:right="0" w:firstLine="0"/>
                  <w:jc w:val="left"/>
                  <w:rPr>
                    <w:rFonts w:ascii="Arial" w:eastAsia="Arial"/>
                    <w:sz w:val="29"/>
                  </w:rPr>
                </w:pPr>
                <w:r>
                  <w:rPr>
                    <w:rFonts w:ascii="Arial" w:eastAsia="Arial"/>
                    <w:spacing w:val="-88"/>
                    <w:sz w:val="29"/>
                  </w:rPr>
                  <w:t>2</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9</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0" type="#_x0000_t202" style="width:18.5pt;height:17.1pt;margin-top:1163.93pt;margin-left:438.81pt;mso-position-horizontal-relative:page;mso-position-vertical-relative:page;position:absolute;z-index:-251627520" filled="f" stroked="f">
          <v:textbox inset="0,0,0,0">
            <w:txbxContent>
              <w:p>
                <w:pPr>
                  <w:spacing w:before="38" w:line="304" w:lineRule="exact"/>
                  <w:ind w:left="20" w:right="0" w:firstLine="0"/>
                  <w:jc w:val="left"/>
                  <w:rPr>
                    <w:rFonts w:ascii="Arial" w:eastAsia="Arial"/>
                    <w:sz w:val="29"/>
                  </w:rPr>
                </w:pPr>
                <w:r>
                  <w:rPr>
                    <w:rFonts w:ascii="Arial" w:eastAsia="Arial"/>
                    <w:spacing w:val="-88"/>
                    <w:sz w:val="29"/>
                  </w:rPr>
                  <w:t>2</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9</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2" type="#_x0000_t202" style="width:18.5pt;height:17.1pt;margin-top:1163.93pt;margin-left:438.81pt;mso-position-horizontal-relative:page;mso-position-vertical-relative:page;position:absolute;z-index:-251626496" filled="f" stroked="f">
          <v:textbox inset="0,0,0,0">
            <w:txbxContent>
              <w:p>
                <w:pPr>
                  <w:spacing w:before="38" w:line="304" w:lineRule="exact"/>
                  <w:ind w:left="20" w:right="0" w:firstLine="0"/>
                  <w:jc w:val="left"/>
                  <w:rPr>
                    <w:rFonts w:ascii="Arial" w:eastAsia="Arial"/>
                    <w:sz w:val="29"/>
                  </w:rPr>
                </w:pPr>
                <w:r>
                  <w:rPr>
                    <w:rFonts w:ascii="Arial" w:eastAsia="Arial"/>
                    <w:spacing w:val="-88"/>
                    <w:sz w:val="29"/>
                  </w:rPr>
                  <w:t>2</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4</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4" type="#_x0000_t202" style="width:18.5pt;height:17.1pt;margin-top:1163.93pt;margin-left:438.81pt;mso-position-horizontal-relative:page;mso-position-vertical-relative:page;position:absolute;z-index:-251625472" filled="f" stroked="f">
          <v:textbox inset="0,0,0,0">
            <w:txbxContent>
              <w:p>
                <w:pPr>
                  <w:spacing w:before="38" w:line="304" w:lineRule="exact"/>
                  <w:ind w:left="20" w:right="0" w:firstLine="0"/>
                  <w:jc w:val="left"/>
                  <w:rPr>
                    <w:rFonts w:ascii="Arial" w:eastAsia="Arial"/>
                    <w:sz w:val="29"/>
                  </w:rPr>
                </w:pPr>
                <w:r>
                  <w:rPr>
                    <w:rFonts w:ascii="Arial" w:eastAsia="Arial"/>
                    <w:spacing w:val="-88"/>
                    <w:sz w:val="29"/>
                  </w:rPr>
                  <w:t>2</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5</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6" type="#_x0000_t202" style="width:18.5pt;height:17.1pt;margin-top:1163.93pt;margin-left:438.81pt;mso-position-horizontal-relative:page;mso-position-vertical-relative:page;position:absolute;z-index:-251624448" filled="f" stroked="f">
          <v:textbox inset="0,0,0,0">
            <w:txbxContent>
              <w:p>
                <w:pPr>
                  <w:spacing w:before="38" w:line="304" w:lineRule="exact"/>
                  <w:ind w:left="20" w:right="0" w:firstLine="0"/>
                  <w:jc w:val="left"/>
                  <w:rPr>
                    <w:rFonts w:ascii="Arial" w:eastAsia="Arial"/>
                    <w:sz w:val="29"/>
                  </w:rPr>
                </w:pPr>
                <w:r>
                  <w:rPr>
                    <w:rFonts w:ascii="Arial" w:eastAsia="Arial"/>
                    <w:spacing w:val="-88"/>
                    <w:sz w:val="29"/>
                  </w:rPr>
                  <w:t>2</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6</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8" type="#_x0000_t202" style="width:18.5pt;height:17.1pt;margin-top:1163.93pt;margin-left:438.81pt;mso-position-horizontal-relative:page;mso-position-vertical-relative:page;position:absolute;z-index:-251623424" filled="f" stroked="f">
          <v:textbox inset="0,0,0,0">
            <w:txbxContent>
              <w:p>
                <w:pPr>
                  <w:spacing w:before="38" w:line="304" w:lineRule="exact"/>
                  <w:ind w:left="20" w:right="0" w:firstLine="0"/>
                  <w:jc w:val="left"/>
                  <w:rPr>
                    <w:rFonts w:ascii="Arial" w:eastAsia="Arial"/>
                    <w:sz w:val="29"/>
                  </w:rPr>
                </w:pPr>
                <w:r>
                  <w:rPr>
                    <w:rFonts w:ascii="Arial" w:eastAsia="Arial"/>
                    <w:spacing w:val="-88"/>
                    <w:sz w:val="29"/>
                  </w:rPr>
                  <w:t>2</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7</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0" type="#_x0000_t202" style="width:18.5pt;height:17.1pt;margin-top:1163.93pt;margin-left:438.81pt;mso-position-horizontal-relative:page;mso-position-vertical-relative:page;position:absolute;z-index:-251622400" filled="f" stroked="f">
          <v:textbox inset="0,0,0,0">
            <w:txbxContent>
              <w:p>
                <w:pPr>
                  <w:spacing w:before="38" w:line="304" w:lineRule="exact"/>
                  <w:ind w:left="20" w:right="0" w:firstLine="0"/>
                  <w:jc w:val="left"/>
                  <w:rPr>
                    <w:rFonts w:ascii="Arial" w:eastAsia="Arial"/>
                    <w:sz w:val="29"/>
                  </w:rPr>
                </w:pPr>
                <w:r>
                  <w:rPr>
                    <w:rFonts w:ascii="Arial" w:eastAsia="Arial"/>
                    <w:spacing w:val="-88"/>
                    <w:sz w:val="29"/>
                  </w:rPr>
                  <w:t>2</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8</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2" type="#_x0000_t202" style="width:18.5pt;height:17.1pt;margin-top:1163.93pt;margin-left:438.81pt;mso-position-horizontal-relative:page;mso-position-vertical-relative:page;position:absolute;z-index:-251621376" filled="f" stroked="f">
          <v:textbox inset="0,0,0,0">
            <w:txbxContent>
              <w:p>
                <w:pPr>
                  <w:spacing w:before="38" w:line="304" w:lineRule="exact"/>
                  <w:ind w:left="20" w:right="0" w:firstLine="0"/>
                  <w:jc w:val="left"/>
                  <w:rPr>
                    <w:rFonts w:ascii="Arial" w:eastAsia="Arial"/>
                    <w:sz w:val="29"/>
                  </w:rPr>
                </w:pPr>
                <w:r>
                  <w:rPr>
                    <w:rFonts w:ascii="Arial" w:eastAsia="Arial"/>
                    <w:spacing w:val="-88"/>
                    <w:sz w:val="29"/>
                  </w:rPr>
                  <w:t>2</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9</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4" type="#_x0000_t202" style="width:18.5pt;height:17.1pt;margin-top:1163.93pt;margin-left:438.81pt;mso-position-horizontal-relative:page;mso-position-vertical-relative:page;position:absolute;z-index:-251620352" filled="f" stroked="f">
          <v:textbox inset="0,0,0,0">
            <w:txbxContent>
              <w:p>
                <w:pPr>
                  <w:spacing w:before="38" w:line="304" w:lineRule="exact"/>
                  <w:ind w:left="20" w:right="0" w:firstLine="0"/>
                  <w:jc w:val="left"/>
                  <w:rPr>
                    <w:rFonts w:ascii="Arial" w:eastAsia="Arial"/>
                    <w:sz w:val="29"/>
                  </w:rPr>
                </w:pPr>
                <w:r>
                  <w:rPr>
                    <w:rFonts w:ascii="Arial" w:eastAsia="Arial"/>
                    <w:spacing w:val="-88"/>
                    <w:sz w:val="29"/>
                  </w:rPr>
                  <w:t>2</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10</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6" type="#_x0000_t202" style="width:18.5pt;height:17.1pt;margin-top:1163.93pt;margin-left:438.81pt;mso-position-horizontal-relative:page;mso-position-vertical-relative:page;position:absolute;z-index:-251619328" filled="f" stroked="f">
          <v:textbox inset="0,0,0,0">
            <w:txbxContent>
              <w:p>
                <w:pPr>
                  <w:spacing w:before="38" w:line="304" w:lineRule="exact"/>
                  <w:ind w:left="20" w:right="0" w:firstLine="0"/>
                  <w:jc w:val="left"/>
                  <w:rPr>
                    <w:rFonts w:ascii="Arial" w:eastAsia="Arial"/>
                    <w:sz w:val="29"/>
                  </w:rPr>
                </w:pPr>
                <w:r>
                  <w:rPr>
                    <w:rFonts w:ascii="Arial" w:eastAsia="Arial"/>
                    <w:spacing w:val="-88"/>
                    <w:sz w:val="29"/>
                  </w:rPr>
                  <w:t>2</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11</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8" type="#_x0000_t202" style="width:16.5pt;height:16.9pt;margin-top:1164.16pt;margin-left:438.81pt;mso-position-horizontal-relative:page;mso-position-vertical-relative:page;position:absolute;z-index:-251618304" filled="f" stroked="f">
          <v:textbox inset="0,0,0,0">
            <w:txbxContent>
              <w:p>
                <w:pPr>
                  <w:spacing w:before="33" w:line="304" w:lineRule="exact"/>
                  <w:ind w:left="20" w:right="0" w:firstLine="0"/>
                  <w:jc w:val="left"/>
                  <w:rPr>
                    <w:rFonts w:ascii="Arial" w:eastAsia="Arial"/>
                    <w:sz w:val="29"/>
                  </w:rPr>
                </w:pPr>
                <w:r>
                  <w:rPr>
                    <w:rFonts w:ascii="Arial" w:eastAsia="Arial"/>
                    <w:spacing w:val="-88"/>
                    <w:w w:val="95"/>
                    <w:sz w:val="29"/>
                  </w:rPr>
                  <w:t>3</w:t>
                </w:r>
                <w:r>
                  <w:rPr>
                    <w:rFonts w:ascii="宋体" w:eastAsia="宋体" w:hint="eastAsia"/>
                    <w:spacing w:val="-64"/>
                    <w:w w:val="95"/>
                    <w:position w:val="1"/>
                    <w:sz w:val="15"/>
                  </w:rPr>
                  <w:t>。</w:t>
                </w:r>
                <w:r>
                  <w:rPr>
                    <w:rFonts w:ascii="Arial" w:eastAsia="Arial"/>
                    <w:w w:val="95"/>
                    <w:sz w:val="29"/>
                  </w:rPr>
                  <w:t>0</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0" type="#_x0000_t202" style="width:18.5pt;height:16.9pt;margin-top:1164.16pt;margin-left:438.81pt;mso-position-horizontal-relative:page;mso-position-vertical-relative:page;position:absolute;z-index:-251617280" filled="f" stroked="f">
          <v:textbox inset="0,0,0,0">
            <w:txbxContent>
              <w:p>
                <w:pPr>
                  <w:spacing w:before="33" w:line="304" w:lineRule="exact"/>
                  <w:ind w:left="20" w:right="0" w:firstLine="0"/>
                  <w:jc w:val="left"/>
                  <w:rPr>
                    <w:rFonts w:ascii="Arial" w:eastAsia="Arial"/>
                    <w:sz w:val="29"/>
                  </w:rPr>
                </w:pPr>
                <w:r>
                  <w:rPr>
                    <w:rFonts w:ascii="Arial" w:eastAsia="Arial"/>
                    <w:spacing w:val="-88"/>
                    <w:sz w:val="29"/>
                  </w:rPr>
                  <w:t>3</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1</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2" type="#_x0000_t202" style="width:18.5pt;height:16.9pt;margin-top:1164.16pt;margin-left:438.81pt;mso-position-horizontal-relative:page;mso-position-vertical-relative:page;position:absolute;z-index:-251616256" filled="f" stroked="f">
          <v:textbox inset="0,0,0,0">
            <w:txbxContent>
              <w:p>
                <w:pPr>
                  <w:spacing w:before="33" w:line="304" w:lineRule="exact"/>
                  <w:ind w:left="20" w:right="0" w:firstLine="0"/>
                  <w:jc w:val="left"/>
                  <w:rPr>
                    <w:rFonts w:ascii="Arial" w:eastAsia="Arial"/>
                    <w:sz w:val="29"/>
                  </w:rPr>
                </w:pPr>
                <w:r>
                  <w:rPr>
                    <w:rFonts w:ascii="Arial" w:eastAsia="Arial"/>
                    <w:spacing w:val="-88"/>
                    <w:sz w:val="29"/>
                  </w:rPr>
                  <w:t>3</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2</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4" type="#_x0000_t202" style="width:18.5pt;height:16.9pt;margin-top:1164.16pt;margin-left:438.81pt;mso-position-horizontal-relative:page;mso-position-vertical-relative:page;position:absolute;z-index:-251615232" filled="f" stroked="f">
          <v:textbox inset="0,0,0,0">
            <w:txbxContent>
              <w:p>
                <w:pPr>
                  <w:spacing w:before="33" w:line="304" w:lineRule="exact"/>
                  <w:ind w:left="20" w:right="0" w:firstLine="0"/>
                  <w:jc w:val="left"/>
                  <w:rPr>
                    <w:rFonts w:ascii="Arial" w:eastAsia="Arial"/>
                    <w:sz w:val="29"/>
                  </w:rPr>
                </w:pPr>
                <w:r>
                  <w:rPr>
                    <w:rFonts w:ascii="Arial" w:eastAsia="Arial"/>
                    <w:spacing w:val="-88"/>
                    <w:sz w:val="29"/>
                  </w:rPr>
                  <w:t>3</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9</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6" type="#_x0000_t202" style="width:18.5pt;height:16.9pt;margin-top:1164.16pt;margin-left:438.81pt;mso-position-horizontal-relative:page;mso-position-vertical-relative:page;position:absolute;z-index:-251614208" filled="f" stroked="f">
          <v:textbox inset="0,0,0,0">
            <w:txbxContent>
              <w:p>
                <w:pPr>
                  <w:spacing w:before="33" w:line="304" w:lineRule="exact"/>
                  <w:ind w:left="20" w:right="0" w:firstLine="0"/>
                  <w:jc w:val="left"/>
                  <w:rPr>
                    <w:rFonts w:ascii="Arial" w:eastAsia="Arial"/>
                    <w:sz w:val="29"/>
                  </w:rPr>
                </w:pPr>
                <w:r>
                  <w:rPr>
                    <w:rFonts w:ascii="Arial" w:eastAsia="Arial"/>
                    <w:spacing w:val="-88"/>
                    <w:sz w:val="29"/>
                  </w:rPr>
                  <w:t>3</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9</w:t>
                </w:r>
                <w:r>
                  <w:fldChar w:fldCharType="end"/>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8" type="#_x0000_t202" style="width:18.5pt;height:16.9pt;margin-top:1164.16pt;margin-left:438.81pt;mso-position-horizontal-relative:page;mso-position-vertical-relative:page;position:absolute;z-index:-251613184" filled="f" stroked="f">
          <v:textbox inset="0,0,0,0">
            <w:txbxContent>
              <w:p>
                <w:pPr>
                  <w:spacing w:before="33" w:line="304" w:lineRule="exact"/>
                  <w:ind w:left="20" w:right="0" w:firstLine="0"/>
                  <w:jc w:val="left"/>
                  <w:rPr>
                    <w:rFonts w:ascii="Arial" w:eastAsia="Arial"/>
                    <w:sz w:val="29"/>
                  </w:rPr>
                </w:pPr>
                <w:r>
                  <w:rPr>
                    <w:rFonts w:ascii="Arial" w:eastAsia="Arial"/>
                    <w:spacing w:val="-88"/>
                    <w:sz w:val="29"/>
                  </w:rPr>
                  <w:t>3</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5</w:t>
                </w:r>
                <w:r>
                  <w:fldChar w:fldCharType="end"/>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0" type="#_x0000_t202" style="width:18.5pt;height:16.9pt;margin-top:1164.16pt;margin-left:438.81pt;mso-position-horizontal-relative:page;mso-position-vertical-relative:page;position:absolute;z-index:-251612160" filled="f" stroked="f">
          <v:textbox inset="0,0,0,0">
            <w:txbxContent>
              <w:p>
                <w:pPr>
                  <w:spacing w:before="33" w:line="304" w:lineRule="exact"/>
                  <w:ind w:left="20" w:right="0" w:firstLine="0"/>
                  <w:jc w:val="left"/>
                  <w:rPr>
                    <w:rFonts w:ascii="Arial" w:eastAsia="Arial"/>
                    <w:sz w:val="29"/>
                  </w:rPr>
                </w:pPr>
                <w:r>
                  <w:rPr>
                    <w:rFonts w:ascii="Arial" w:eastAsia="Arial"/>
                    <w:spacing w:val="-88"/>
                    <w:sz w:val="29"/>
                  </w:rPr>
                  <w:t>3</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6</w:t>
                </w:r>
                <w:r>
                  <w:fldChar w:fldCharType="end"/>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2" type="#_x0000_t202" style="width:18.5pt;height:16.9pt;margin-top:1164.16pt;margin-left:438.81pt;mso-position-horizontal-relative:page;mso-position-vertical-relative:page;position:absolute;z-index:-251611136" filled="f" stroked="f">
          <v:textbox inset="0,0,0,0">
            <w:txbxContent>
              <w:p>
                <w:pPr>
                  <w:spacing w:before="33" w:line="304" w:lineRule="exact"/>
                  <w:ind w:left="20" w:right="0" w:firstLine="0"/>
                  <w:jc w:val="left"/>
                  <w:rPr>
                    <w:rFonts w:ascii="Arial" w:eastAsia="Arial"/>
                    <w:sz w:val="29"/>
                  </w:rPr>
                </w:pPr>
                <w:r>
                  <w:rPr>
                    <w:rFonts w:ascii="Arial" w:eastAsia="Arial"/>
                    <w:spacing w:val="-88"/>
                    <w:sz w:val="29"/>
                  </w:rPr>
                  <w:t>3</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7</w:t>
                </w:r>
                <w:r>
                  <w:fldChar w:fldCharType="end"/>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4" type="#_x0000_t202" style="width:18.5pt;height:16.9pt;margin-top:1164.16pt;margin-left:438.81pt;mso-position-horizontal-relative:page;mso-position-vertical-relative:page;position:absolute;z-index:-251610112" filled="f" stroked="f">
          <v:textbox inset="0,0,0,0">
            <w:txbxContent>
              <w:p>
                <w:pPr>
                  <w:spacing w:before="33" w:line="304" w:lineRule="exact"/>
                  <w:ind w:left="20" w:right="0" w:firstLine="0"/>
                  <w:jc w:val="left"/>
                  <w:rPr>
                    <w:rFonts w:ascii="Arial" w:eastAsia="Arial"/>
                    <w:sz w:val="29"/>
                  </w:rPr>
                </w:pPr>
                <w:r>
                  <w:rPr>
                    <w:rFonts w:ascii="Arial" w:eastAsia="Arial"/>
                    <w:spacing w:val="-88"/>
                    <w:sz w:val="29"/>
                  </w:rPr>
                  <w:t>3</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8</w:t>
                </w:r>
                <w:r>
                  <w:fldChar w:fldCharType="end"/>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6" type="#_x0000_t202" style="width:18.5pt;height:16.9pt;margin-top:1164.16pt;margin-left:438.81pt;mso-position-horizontal-relative:page;mso-position-vertical-relative:page;position:absolute;z-index:-251609088" filled="f" stroked="f">
          <v:textbox inset="0,0,0,0">
            <w:txbxContent>
              <w:p>
                <w:pPr>
                  <w:spacing w:before="33" w:line="304" w:lineRule="exact"/>
                  <w:ind w:left="20" w:right="0" w:firstLine="0"/>
                  <w:jc w:val="left"/>
                  <w:rPr>
                    <w:rFonts w:ascii="Arial" w:eastAsia="Arial"/>
                    <w:sz w:val="29"/>
                  </w:rPr>
                </w:pPr>
                <w:r>
                  <w:rPr>
                    <w:rFonts w:ascii="Arial" w:eastAsia="Arial"/>
                    <w:spacing w:val="-88"/>
                    <w:sz w:val="29"/>
                  </w:rPr>
                  <w:t>3</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9</w:t>
                </w:r>
                <w:r>
                  <w:fldChar w:fldCharType="end"/>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8" type="#_x0000_t202" style="width:18.5pt;height:16.9pt;margin-top:1164.16pt;margin-left:438.81pt;mso-position-horizontal-relative:page;mso-position-vertical-relative:page;position:absolute;z-index:-251608064" filled="f" stroked="f">
          <v:textbox inset="0,0,0,0">
            <w:txbxContent>
              <w:p>
                <w:pPr>
                  <w:spacing w:before="33" w:line="304" w:lineRule="exact"/>
                  <w:ind w:left="20" w:right="0" w:firstLine="0"/>
                  <w:jc w:val="left"/>
                  <w:rPr>
                    <w:rFonts w:ascii="Arial" w:eastAsia="Arial"/>
                    <w:sz w:val="29"/>
                  </w:rPr>
                </w:pPr>
                <w:r>
                  <w:rPr>
                    <w:rFonts w:ascii="Arial" w:eastAsia="Arial"/>
                    <w:spacing w:val="-88"/>
                    <w:sz w:val="29"/>
                  </w:rPr>
                  <w:t>3</w:t>
                </w:r>
                <w:r>
                  <w:rPr>
                    <w:rFonts w:ascii="宋体" w:eastAsia="宋体" w:hint="eastAsia"/>
                    <w:spacing w:val="-64"/>
                    <w:position w:val="1"/>
                    <w:sz w:val="15"/>
                  </w:rPr>
                  <w:t>。</w:t>
                </w:r>
                <w:r>
                  <w:fldChar w:fldCharType="begin"/>
                </w:r>
                <w:r>
                  <w:rPr>
                    <w:rFonts w:ascii="Arial" w:eastAsia="Arial"/>
                    <w:sz w:val="29"/>
                  </w:rPr>
                  <w:instrText xml:space="preserve"> PAGE </w:instrText>
                </w:r>
                <w:r>
                  <w:fldChar w:fldCharType="separate"/>
                </w:r>
                <w:r>
                  <w:rPr>
                    <w:rFonts w:ascii="Arial" w:eastAsia="Arial"/>
                    <w:sz w:val="29"/>
                  </w:rPr>
                  <w:t>10</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1.75pt;height:11.75pt;margin-top:55.74pt;margin-left:440.61pt;mso-position-horizontal-relative:page;mso-position-vertical-relative:page;position:absolute;z-index:-25165824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11.75pt;height:11.75pt;margin-top:55.74pt;margin-left:440.61pt;mso-position-horizontal-relative:page;mso-position-vertical-relative:page;position:absolute;z-index:-25165721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11.75pt;height:11.75pt;margin-top:55.74pt;margin-left:440.61pt;mso-position-horizontal-relative:page;mso-position-vertical-relative:page;position:absolute;z-index:-25165619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11.75pt;height:11.75pt;margin-top:55.74pt;margin-left:440.61pt;mso-position-horizontal-relative:page;mso-position-vertical-relative:page;position:absolute;z-index:-25165516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11.75pt;height:11.75pt;margin-top:55.74pt;margin-left:440.61pt;mso-position-horizontal-relative:page;mso-position-vertical-relative:page;position:absolute;z-index:-25165414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11.75pt;height:11.75pt;margin-top:55.74pt;margin-left:440.61pt;mso-position-horizontal-relative:page;mso-position-vertical-relative:page;position:absolute;z-index:-25165312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11.75pt;height:11.75pt;margin-top:55.74pt;margin-left:440.61pt;mso-position-horizontal-relative:page;mso-position-vertical-relative:page;position:absolute;z-index:-25165209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11.75pt;height:11.75pt;margin-top:55.74pt;margin-left:440.61pt;mso-position-horizontal-relative:page;mso-position-vertical-relative:page;position:absolute;z-index:-25165107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11.75pt;height:11.75pt;margin-top:55.74pt;margin-left:440.61pt;mso-position-horizontal-relative:page;mso-position-vertical-relative:page;position:absolute;z-index:-25165004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11.75pt;height:11.75pt;margin-top:55.74pt;margin-left:440.61pt;mso-position-horizontal-relative:page;mso-position-vertical-relative:page;position:absolute;z-index:-25164902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11.75pt;height:11.75pt;margin-top:55.74pt;margin-left:440.61pt;mso-position-horizontal-relative:page;mso-position-vertical-relative:page;position:absolute;z-index:-25164800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1" type="#_x0000_t202" style="width:11.75pt;height:11.75pt;margin-top:55.74pt;margin-left:440.61pt;mso-position-horizontal-relative:page;mso-position-vertical-relative:page;position:absolute;z-index:-25164697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3" type="#_x0000_t202" style="width:11.75pt;height:11.75pt;margin-top:55.74pt;margin-left:440.61pt;mso-position-horizontal-relative:page;mso-position-vertical-relative:page;position:absolute;z-index:-25164595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5" type="#_x0000_t202" style="width:11.75pt;height:11.75pt;margin-top:55.74pt;margin-left:440.61pt;mso-position-horizontal-relative:page;mso-position-vertical-relative:page;position:absolute;z-index:-25164492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7" type="#_x0000_t202" style="width:11.75pt;height:11.75pt;margin-top:55.74pt;margin-left:440.61pt;mso-position-horizontal-relative:page;mso-position-vertical-relative:page;position:absolute;z-index:-25164390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9" type="#_x0000_t202" style="width:11.75pt;height:11.75pt;margin-top:55.74pt;margin-left:440.61pt;mso-position-horizontal-relative:page;mso-position-vertical-relative:page;position:absolute;z-index:-25164288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1" type="#_x0000_t202" style="width:11.75pt;height:11.75pt;margin-top:55.74pt;margin-left:440.61pt;mso-position-horizontal-relative:page;mso-position-vertical-relative:page;position:absolute;z-index:-25164185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3" type="#_x0000_t202" style="width:11.75pt;height:11.75pt;margin-top:55.74pt;margin-left:440.61pt;mso-position-horizontal-relative:page;mso-position-vertical-relative:page;position:absolute;z-index:-25164083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5" type="#_x0000_t202" style="width:11.75pt;height:11.75pt;margin-top:55.74pt;margin-left:440.61pt;mso-position-horizontal-relative:page;mso-position-vertical-relative:page;position:absolute;z-index:-25163980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7" type="#_x0000_t202" style="width:11.75pt;height:11.75pt;margin-top:55.74pt;margin-left:440.61pt;mso-position-horizontal-relative:page;mso-position-vertical-relative:page;position:absolute;z-index:-25163878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9" type="#_x0000_t202" style="width:11.75pt;height:11.75pt;margin-top:55.74pt;margin-left:440.61pt;mso-position-horizontal-relative:page;mso-position-vertical-relative:page;position:absolute;z-index:-25163776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1" type="#_x0000_t202" style="width:11.75pt;height:11.75pt;margin-top:55.74pt;margin-left:440.61pt;mso-position-horizontal-relative:page;mso-position-vertical-relative:page;position:absolute;z-index:-25163673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3" type="#_x0000_t202" style="width:11.75pt;height:11.75pt;margin-top:55.74pt;margin-left:440.61pt;mso-position-horizontal-relative:page;mso-position-vertical-relative:page;position:absolute;z-index:-25163571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5" type="#_x0000_t202" style="width:11.75pt;height:11.75pt;margin-top:55.74pt;margin-left:440.61pt;mso-position-horizontal-relative:page;mso-position-vertical-relative:page;position:absolute;z-index:-25163468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7" type="#_x0000_t202" style="width:11.75pt;height:11.75pt;margin-top:55.74pt;margin-left:440.61pt;mso-position-horizontal-relative:page;mso-position-vertical-relative:page;position:absolute;z-index:-25163366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9" type="#_x0000_t202" style="width:11.75pt;height:11.75pt;margin-top:55.74pt;margin-left:440.61pt;mso-position-horizontal-relative:page;mso-position-vertical-relative:page;position:absolute;z-index:-25163264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1" type="#_x0000_t202" style="width:11.75pt;height:11.75pt;margin-top:55.74pt;margin-left:440.61pt;mso-position-horizontal-relative:page;mso-position-vertical-relative:page;position:absolute;z-index:-25163161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3" type="#_x0000_t202" style="width:11.75pt;height:11.75pt;margin-top:55.74pt;margin-left:440.61pt;mso-position-horizontal-relative:page;mso-position-vertical-relative:page;position:absolute;z-index:-25163059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5" type="#_x0000_t202" style="width:11.75pt;height:11.75pt;margin-top:55.74pt;margin-left:440.61pt;mso-position-horizontal-relative:page;mso-position-vertical-relative:page;position:absolute;z-index:-25162956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7" type="#_x0000_t202" style="width:11.75pt;height:11.75pt;margin-top:55.74pt;margin-left:440.61pt;mso-position-horizontal-relative:page;mso-position-vertical-relative:page;position:absolute;z-index:-25162854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9" type="#_x0000_t202" style="width:11.75pt;height:11.75pt;margin-top:55.74pt;margin-left:440.61pt;mso-position-horizontal-relative:page;mso-position-vertical-relative:page;position:absolute;z-index:-25162752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1" type="#_x0000_t202" style="width:11.75pt;height:11.75pt;margin-top:55.74pt;margin-left:440.61pt;mso-position-horizontal-relative:page;mso-position-vertical-relative:page;position:absolute;z-index:-25162649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3" type="#_x0000_t202" style="width:11.75pt;height:11.75pt;margin-top:55.74pt;margin-left:440.61pt;mso-position-horizontal-relative:page;mso-position-vertical-relative:page;position:absolute;z-index:-25162547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5" type="#_x0000_t202" style="width:11.75pt;height:11.75pt;margin-top:55.74pt;margin-left:440.61pt;mso-position-horizontal-relative:page;mso-position-vertical-relative:page;position:absolute;z-index:-25162444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7" type="#_x0000_t202" style="width:11.75pt;height:11.75pt;margin-top:55.74pt;margin-left:440.61pt;mso-position-horizontal-relative:page;mso-position-vertical-relative:page;position:absolute;z-index:-25162342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9" type="#_x0000_t202" style="width:11.75pt;height:11.75pt;margin-top:55.74pt;margin-left:440.61pt;mso-position-horizontal-relative:page;mso-position-vertical-relative:page;position:absolute;z-index:-25162240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1" type="#_x0000_t202" style="width:11.75pt;height:11.75pt;margin-top:55.74pt;margin-left:440.61pt;mso-position-horizontal-relative:page;mso-position-vertical-relative:page;position:absolute;z-index:-25162137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3" type="#_x0000_t202" style="width:11.75pt;height:11.75pt;margin-top:55.74pt;margin-left:440.61pt;mso-position-horizontal-relative:page;mso-position-vertical-relative:page;position:absolute;z-index:-25162035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5" type="#_x0000_t202" style="width:11.75pt;height:11.75pt;margin-top:55.74pt;margin-left:440.61pt;mso-position-horizontal-relative:page;mso-position-vertical-relative:page;position:absolute;z-index:-25161932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7" type="#_x0000_t202" style="width:11.75pt;height:11.75pt;margin-top:55.74pt;margin-left:440.61pt;mso-position-horizontal-relative:page;mso-position-vertical-relative:page;position:absolute;z-index:-25161830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9" type="#_x0000_t202" style="width:11.75pt;height:11.75pt;margin-top:55.74pt;margin-left:440.61pt;mso-position-horizontal-relative:page;mso-position-vertical-relative:page;position:absolute;z-index:-25161728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1" type="#_x0000_t202" style="width:11.75pt;height:11.75pt;margin-top:55.74pt;margin-left:440.61pt;mso-position-horizontal-relative:page;mso-position-vertical-relative:page;position:absolute;z-index:-25161625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3" type="#_x0000_t202" style="width:11.75pt;height:11.75pt;margin-top:55.74pt;margin-left:440.61pt;mso-position-horizontal-relative:page;mso-position-vertical-relative:page;position:absolute;z-index:-25161523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5" type="#_x0000_t202" style="width:11.75pt;height:11.75pt;margin-top:55.74pt;margin-left:440.61pt;mso-position-horizontal-relative:page;mso-position-vertical-relative:page;position:absolute;z-index:-25161420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7" type="#_x0000_t202" style="width:11.75pt;height:11.75pt;margin-top:55.74pt;margin-left:440.61pt;mso-position-horizontal-relative:page;mso-position-vertical-relative:page;position:absolute;z-index:-25161318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9" type="#_x0000_t202" style="width:11.75pt;height:11.75pt;margin-top:55.74pt;margin-left:440.61pt;mso-position-horizontal-relative:page;mso-position-vertical-relative:page;position:absolute;z-index:-25161216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1" type="#_x0000_t202" style="width:11.75pt;height:11.75pt;margin-top:55.74pt;margin-left:440.61pt;mso-position-horizontal-relative:page;mso-position-vertical-relative:page;position:absolute;z-index:-25161113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3" type="#_x0000_t202" style="width:11.75pt;height:11.75pt;margin-top:55.74pt;margin-left:440.61pt;mso-position-horizontal-relative:page;mso-position-vertical-relative:page;position:absolute;z-index:-25161011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5" type="#_x0000_t202" style="width:11.75pt;height:11.75pt;margin-top:55.74pt;margin-left:440.61pt;mso-position-horizontal-relative:page;mso-position-vertical-relative:page;position:absolute;z-index:-25160908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7" type="#_x0000_t202" style="width:11.75pt;height:11.75pt;margin-top:55.74pt;margin-left:440.61pt;mso-position-horizontal-relative:page;mso-position-vertical-relative:page;position:absolute;z-index:-25160806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7D7D7"/>
                    <w:w w:val="102"/>
                    <w:sz w:val="19"/>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C02E"/>
    <w:multiLevelType w:val="hybridMultilevel"/>
    <w:tmpl w:val="00000000"/>
    <w:lvl w:ilvl="0">
      <w:start w:val="1"/>
      <w:numFmt w:val="decimal"/>
      <w:lvlText w:val="（%1）"/>
      <w:lvlJc w:val="left"/>
      <w:pPr>
        <w:ind w:left="3493" w:hanging="793"/>
        <w:jc w:val="left"/>
      </w:pPr>
      <w:rPr>
        <w:rFonts w:ascii="新宋体" w:eastAsia="新宋体" w:hAnsi="新宋体" w:cs="新宋体" w:hint="default"/>
        <w:color w:val="0D0D0D"/>
        <w:spacing w:val="-1"/>
        <w:w w:val="102"/>
        <w:sz w:val="29"/>
        <w:szCs w:val="29"/>
      </w:rPr>
    </w:lvl>
    <w:lvl w:ilvl="1">
      <w:start w:val="2"/>
      <w:numFmt w:val="decimal"/>
      <w:lvlText w:val="（%2）"/>
      <w:lvlJc w:val="left"/>
      <w:pPr>
        <w:ind w:left="4123" w:hanging="793"/>
        <w:jc w:val="left"/>
      </w:pPr>
      <w:rPr>
        <w:rFonts w:ascii="新宋体" w:eastAsia="新宋体" w:hAnsi="新宋体" w:cs="新宋体" w:hint="default"/>
        <w:color w:val="0D0D0D"/>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1">
    <w:nsid w:val="0367ECCF"/>
    <w:multiLevelType w:val="hybridMultilevel"/>
    <w:tmpl w:val="00000000"/>
    <w:lvl w:ilvl="0">
      <w:start w:val="2"/>
      <w:numFmt w:val="decimal"/>
      <w:lvlText w:val="（%1）"/>
      <w:lvlJc w:val="left"/>
      <w:pPr>
        <w:ind w:left="3493" w:hanging="793"/>
        <w:jc w:val="left"/>
      </w:pPr>
      <w:rPr>
        <w:rFonts w:ascii="新宋体" w:eastAsia="新宋体" w:hAnsi="新宋体" w:cs="新宋体" w:hint="default"/>
        <w:color w:val="0D0D0D"/>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2">
    <w:nsid w:val="05D7408E"/>
    <w:multiLevelType w:val="hybridMultilevel"/>
    <w:tmpl w:val="00000000"/>
    <w:lvl w:ilvl="0">
      <w:start w:val="2"/>
      <w:numFmt w:val="decimal"/>
      <w:lvlText w:val="（%1）"/>
      <w:lvlJc w:val="left"/>
      <w:pPr>
        <w:ind w:left="4440" w:hanging="793"/>
        <w:jc w:val="left"/>
      </w:pPr>
      <w:rPr>
        <w:rFonts w:ascii="新宋体" w:eastAsia="新宋体" w:hAnsi="新宋体" w:cs="新宋体" w:hint="default"/>
        <w:color w:val="0D0D0D"/>
        <w:w w:val="102"/>
        <w:sz w:val="29"/>
        <w:szCs w:val="29"/>
      </w:rPr>
    </w:lvl>
    <w:lvl w:ilvl="1">
      <w:start w:val="0"/>
      <w:numFmt w:val="bullet"/>
      <w:lvlText w:val="•"/>
      <w:lvlJc w:val="left"/>
      <w:pPr>
        <w:ind w:left="5781" w:hanging="793"/>
      </w:pPr>
      <w:rPr>
        <w:rFonts w:hint="default"/>
      </w:rPr>
    </w:lvl>
    <w:lvl w:ilvl="2">
      <w:start w:val="0"/>
      <w:numFmt w:val="bullet"/>
      <w:lvlText w:val="•"/>
      <w:lvlJc w:val="left"/>
      <w:pPr>
        <w:ind w:left="7123" w:hanging="793"/>
      </w:pPr>
      <w:rPr>
        <w:rFonts w:hint="default"/>
      </w:rPr>
    </w:lvl>
    <w:lvl w:ilvl="3">
      <w:start w:val="0"/>
      <w:numFmt w:val="bullet"/>
      <w:lvlText w:val="•"/>
      <w:lvlJc w:val="left"/>
      <w:pPr>
        <w:ind w:left="8465" w:hanging="793"/>
      </w:pPr>
      <w:rPr>
        <w:rFonts w:hint="default"/>
      </w:rPr>
    </w:lvl>
    <w:lvl w:ilvl="4">
      <w:start w:val="0"/>
      <w:numFmt w:val="bullet"/>
      <w:lvlText w:val="•"/>
      <w:lvlJc w:val="left"/>
      <w:pPr>
        <w:ind w:left="9807" w:hanging="793"/>
      </w:pPr>
      <w:rPr>
        <w:rFonts w:hint="default"/>
      </w:rPr>
    </w:lvl>
    <w:lvl w:ilvl="5">
      <w:start w:val="0"/>
      <w:numFmt w:val="bullet"/>
      <w:lvlText w:val="•"/>
      <w:lvlJc w:val="left"/>
      <w:pPr>
        <w:ind w:left="11149" w:hanging="793"/>
      </w:pPr>
      <w:rPr>
        <w:rFonts w:hint="default"/>
      </w:rPr>
    </w:lvl>
    <w:lvl w:ilvl="6">
      <w:start w:val="0"/>
      <w:numFmt w:val="bullet"/>
      <w:lvlText w:val="•"/>
      <w:lvlJc w:val="left"/>
      <w:pPr>
        <w:ind w:left="12491" w:hanging="793"/>
      </w:pPr>
      <w:rPr>
        <w:rFonts w:hint="default"/>
      </w:rPr>
    </w:lvl>
    <w:lvl w:ilvl="7">
      <w:start w:val="0"/>
      <w:numFmt w:val="bullet"/>
      <w:lvlText w:val="•"/>
      <w:lvlJc w:val="left"/>
      <w:pPr>
        <w:ind w:left="13833" w:hanging="793"/>
      </w:pPr>
      <w:rPr>
        <w:rFonts w:hint="default"/>
      </w:rPr>
    </w:lvl>
    <w:lvl w:ilvl="8">
      <w:start w:val="0"/>
      <w:numFmt w:val="bullet"/>
      <w:lvlText w:val="•"/>
      <w:lvlJc w:val="left"/>
      <w:pPr>
        <w:ind w:left="15175" w:hanging="793"/>
      </w:pPr>
      <w:rPr>
        <w:rFonts w:hint="default"/>
      </w:rPr>
    </w:lvl>
  </w:abstractNum>
  <w:abstractNum w:abstractNumId="3">
    <w:nsid w:val="0EE8F1AA"/>
    <w:multiLevelType w:val="hybridMultilevel"/>
    <w:tmpl w:val="00000000"/>
    <w:lvl w:ilvl="0">
      <w:start w:val="1"/>
      <w:numFmt w:val="decimal"/>
      <w:lvlText w:val="（%1）"/>
      <w:lvlJc w:val="left"/>
      <w:pPr>
        <w:ind w:left="11680" w:hanging="8980"/>
        <w:jc w:val="left"/>
      </w:pPr>
      <w:rPr>
        <w:rFonts w:ascii="新宋体" w:eastAsia="新宋体" w:hAnsi="新宋体" w:cs="新宋体" w:hint="default"/>
        <w:color w:val="0D0D0D"/>
        <w:spacing w:val="-1"/>
        <w:w w:val="102"/>
        <w:sz w:val="31"/>
        <w:szCs w:val="31"/>
      </w:rPr>
    </w:lvl>
    <w:lvl w:ilvl="1">
      <w:start w:val="1"/>
      <w:numFmt w:val="decimal"/>
      <w:lvlText w:val="（%2）"/>
      <w:lvlJc w:val="left"/>
      <w:pPr>
        <w:ind w:left="2700" w:hanging="793"/>
        <w:jc w:val="left"/>
      </w:pPr>
      <w:rPr>
        <w:rFonts w:ascii="新宋体" w:eastAsia="新宋体" w:hAnsi="新宋体" w:cs="新宋体" w:hint="default"/>
        <w:color w:val="0D0D0D"/>
        <w:spacing w:val="-1"/>
        <w:w w:val="102"/>
        <w:sz w:val="29"/>
        <w:szCs w:val="29"/>
      </w:rPr>
    </w:lvl>
    <w:lvl w:ilvl="2">
      <w:start w:val="0"/>
      <w:numFmt w:val="bullet"/>
      <w:lvlText w:val="•"/>
      <w:lvlJc w:val="left"/>
      <w:pPr>
        <w:ind w:left="11680" w:hanging="793"/>
      </w:pPr>
      <w:rPr>
        <w:rFonts w:hint="default"/>
      </w:rPr>
    </w:lvl>
    <w:lvl w:ilvl="3">
      <w:start w:val="0"/>
      <w:numFmt w:val="bullet"/>
      <w:lvlText w:val="•"/>
      <w:lvlJc w:val="left"/>
      <w:pPr>
        <w:ind w:left="12452" w:hanging="793"/>
      </w:pPr>
      <w:rPr>
        <w:rFonts w:hint="default"/>
      </w:rPr>
    </w:lvl>
    <w:lvl w:ilvl="4">
      <w:start w:val="0"/>
      <w:numFmt w:val="bullet"/>
      <w:lvlText w:val="•"/>
      <w:lvlJc w:val="left"/>
      <w:pPr>
        <w:ind w:left="13224" w:hanging="793"/>
      </w:pPr>
      <w:rPr>
        <w:rFonts w:hint="default"/>
      </w:rPr>
    </w:lvl>
    <w:lvl w:ilvl="5">
      <w:start w:val="0"/>
      <w:numFmt w:val="bullet"/>
      <w:lvlText w:val="•"/>
      <w:lvlJc w:val="left"/>
      <w:pPr>
        <w:ind w:left="13997" w:hanging="793"/>
      </w:pPr>
      <w:rPr>
        <w:rFonts w:hint="default"/>
      </w:rPr>
    </w:lvl>
    <w:lvl w:ilvl="6">
      <w:start w:val="0"/>
      <w:numFmt w:val="bullet"/>
      <w:lvlText w:val="•"/>
      <w:lvlJc w:val="left"/>
      <w:pPr>
        <w:ind w:left="14769" w:hanging="793"/>
      </w:pPr>
      <w:rPr>
        <w:rFonts w:hint="default"/>
      </w:rPr>
    </w:lvl>
    <w:lvl w:ilvl="7">
      <w:start w:val="0"/>
      <w:numFmt w:val="bullet"/>
      <w:lvlText w:val="•"/>
      <w:lvlJc w:val="left"/>
      <w:pPr>
        <w:ind w:left="15542" w:hanging="793"/>
      </w:pPr>
      <w:rPr>
        <w:rFonts w:hint="default"/>
      </w:rPr>
    </w:lvl>
    <w:lvl w:ilvl="8">
      <w:start w:val="0"/>
      <w:numFmt w:val="bullet"/>
      <w:lvlText w:val="•"/>
      <w:lvlJc w:val="left"/>
      <w:pPr>
        <w:ind w:left="16314" w:hanging="793"/>
      </w:pPr>
      <w:rPr>
        <w:rFonts w:hint="default"/>
      </w:rPr>
    </w:lvl>
  </w:abstractNum>
  <w:abstractNum w:abstractNumId="4">
    <w:nsid w:val="1691706B"/>
    <w:multiLevelType w:val="hybridMultilevel"/>
    <w:tmpl w:val="00000000"/>
    <w:lvl w:ilvl="0">
      <w:start w:val="1"/>
      <w:numFmt w:val="decimal"/>
      <w:lvlText w:val="（%1）"/>
      <w:lvlJc w:val="left"/>
      <w:pPr>
        <w:ind w:left="3492" w:hanging="793"/>
        <w:jc w:val="right"/>
      </w:pPr>
      <w:rPr>
        <w:rFonts w:ascii="新宋体" w:eastAsia="新宋体" w:hAnsi="新宋体" w:cs="新宋体" w:hint="default"/>
        <w:color w:val="0D0D0D"/>
        <w:spacing w:val="-1"/>
        <w:w w:val="102"/>
        <w:sz w:val="29"/>
        <w:szCs w:val="29"/>
      </w:rPr>
    </w:lvl>
    <w:lvl w:ilvl="1">
      <w:start w:val="2"/>
      <w:numFmt w:val="decimal"/>
      <w:lvlText w:val="（%2）"/>
      <w:lvlJc w:val="left"/>
      <w:pPr>
        <w:ind w:left="4123" w:hanging="793"/>
        <w:jc w:val="left"/>
      </w:pPr>
      <w:rPr>
        <w:rFonts w:ascii="新宋体" w:eastAsia="新宋体" w:hAnsi="新宋体" w:cs="新宋体" w:hint="default"/>
        <w:color w:val="0D0D0D"/>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5">
    <w:nsid w:val="1832E0C0"/>
    <w:multiLevelType w:val="hybridMultilevel"/>
    <w:tmpl w:val="00000000"/>
    <w:lvl w:ilvl="0">
      <w:start w:val="2"/>
      <w:numFmt w:val="decimal"/>
      <w:lvlText w:val="（%1）"/>
      <w:lvlJc w:val="left"/>
      <w:pPr>
        <w:ind w:left="3493" w:hanging="793"/>
        <w:jc w:val="left"/>
      </w:pPr>
      <w:rPr>
        <w:rFonts w:ascii="新宋体" w:eastAsia="新宋体" w:hAnsi="新宋体" w:cs="新宋体" w:hint="default"/>
        <w:color w:val="0D0D0D"/>
        <w:spacing w:val="-1"/>
        <w:w w:val="102"/>
        <w:sz w:val="29"/>
        <w:szCs w:val="29"/>
      </w:rPr>
    </w:lvl>
    <w:lvl w:ilvl="1">
      <w:start w:val="2"/>
      <w:numFmt w:val="decimal"/>
      <w:lvlText w:val="（%2）"/>
      <w:lvlJc w:val="left"/>
      <w:pPr>
        <w:ind w:left="4123" w:hanging="793"/>
        <w:jc w:val="right"/>
      </w:pPr>
      <w:rPr>
        <w:rFonts w:ascii="新宋体" w:eastAsia="新宋体" w:hAnsi="新宋体" w:cs="新宋体" w:hint="default"/>
        <w:color w:val="0D0D0D"/>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6">
    <w:nsid w:val="1A0862B8"/>
    <w:multiLevelType w:val="hybridMultilevel"/>
    <w:tmpl w:val="00000000"/>
    <w:lvl w:ilvl="0">
      <w:start w:val="1"/>
      <w:numFmt w:val="decimal"/>
      <w:lvlText w:val="（%1）"/>
      <w:lvlJc w:val="left"/>
      <w:pPr>
        <w:ind w:left="3806" w:hanging="790"/>
        <w:jc w:val="left"/>
      </w:pPr>
      <w:rPr>
        <w:rFonts w:ascii="新宋体" w:eastAsia="新宋体" w:hAnsi="新宋体" w:cs="新宋体" w:hint="default"/>
        <w:color w:val="0D0D0D"/>
        <w:spacing w:val="-4"/>
        <w:w w:val="102"/>
        <w:sz w:val="29"/>
        <w:szCs w:val="29"/>
      </w:rPr>
    </w:lvl>
    <w:lvl w:ilvl="1">
      <w:start w:val="2"/>
      <w:numFmt w:val="decimal"/>
      <w:lvlText w:val="（%2）"/>
      <w:lvlJc w:val="left"/>
      <w:pPr>
        <w:ind w:left="4123" w:hanging="793"/>
        <w:jc w:val="left"/>
      </w:pPr>
      <w:rPr>
        <w:rFonts w:ascii="新宋体" w:eastAsia="新宋体" w:hAnsi="新宋体" w:cs="新宋体" w:hint="default"/>
        <w:color w:val="0D0D0D"/>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7">
    <w:nsid w:val="1AF59F53"/>
    <w:multiLevelType w:val="hybridMultilevel"/>
    <w:tmpl w:val="00000000"/>
    <w:lvl w:ilvl="0">
      <w:start w:val="1"/>
      <w:numFmt w:val="decimal"/>
      <w:lvlText w:val="（%1）"/>
      <w:lvlJc w:val="left"/>
      <w:pPr>
        <w:ind w:left="3493" w:hanging="793"/>
        <w:jc w:val="left"/>
      </w:pPr>
      <w:rPr>
        <w:rFonts w:ascii="新宋体" w:eastAsia="新宋体" w:hAnsi="新宋体" w:cs="新宋体" w:hint="default"/>
        <w:color w:val="0D0D0D"/>
        <w:spacing w:val="-1"/>
        <w:w w:val="102"/>
        <w:sz w:val="29"/>
        <w:szCs w:val="29"/>
      </w:rPr>
    </w:lvl>
    <w:lvl w:ilvl="1">
      <w:start w:val="2"/>
      <w:numFmt w:val="decimal"/>
      <w:lvlText w:val="（%2）"/>
      <w:lvlJc w:val="left"/>
      <w:pPr>
        <w:ind w:left="4123" w:hanging="793"/>
        <w:jc w:val="left"/>
      </w:pPr>
      <w:rPr>
        <w:rFonts w:ascii="新宋体" w:eastAsia="新宋体" w:hAnsi="新宋体" w:cs="新宋体" w:hint="default"/>
        <w:color w:val="0D0D0D"/>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8">
    <w:nsid w:val="1F432B6C"/>
    <w:multiLevelType w:val="hybridMultilevel"/>
    <w:tmpl w:val="00000000"/>
    <w:lvl w:ilvl="0">
      <w:start w:val="2"/>
      <w:numFmt w:val="decimal"/>
      <w:lvlText w:val="（%1）"/>
      <w:lvlJc w:val="left"/>
      <w:pPr>
        <w:ind w:left="2700" w:hanging="793"/>
        <w:jc w:val="left"/>
      </w:pPr>
      <w:rPr>
        <w:rFonts w:ascii="新宋体" w:eastAsia="新宋体" w:hAnsi="新宋体" w:cs="新宋体" w:hint="default"/>
        <w:color w:val="0D0D0D"/>
        <w:spacing w:val="-1"/>
        <w:w w:val="102"/>
        <w:sz w:val="29"/>
        <w:szCs w:val="29"/>
      </w:rPr>
    </w:lvl>
    <w:lvl w:ilvl="1">
      <w:start w:val="2"/>
      <w:numFmt w:val="decimal"/>
      <w:lvlText w:val="（%2）"/>
      <w:lvlJc w:val="left"/>
      <w:pPr>
        <w:ind w:left="4123" w:hanging="793"/>
        <w:jc w:val="left"/>
      </w:pPr>
      <w:rPr>
        <w:rFonts w:ascii="新宋体" w:eastAsia="新宋体" w:hAnsi="新宋体" w:cs="新宋体" w:hint="default"/>
        <w:color w:val="0D0D0D"/>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9">
    <w:nsid w:val="1F93D4D2"/>
    <w:multiLevelType w:val="hybridMultilevel"/>
    <w:tmpl w:val="00000000"/>
    <w:lvl w:ilvl="0">
      <w:start w:val="1"/>
      <w:numFmt w:val="decimal"/>
      <w:lvlText w:val="%1）"/>
      <w:lvlJc w:val="left"/>
      <w:pPr>
        <w:ind w:left="2700" w:hanging="473"/>
        <w:jc w:val="left"/>
      </w:pPr>
      <w:rPr>
        <w:rFonts w:ascii="新宋体" w:eastAsia="新宋体" w:hAnsi="新宋体" w:cs="新宋体" w:hint="default"/>
        <w:color w:val="0D0D0D"/>
        <w:spacing w:val="-4"/>
        <w:w w:val="102"/>
        <w:sz w:val="29"/>
        <w:szCs w:val="29"/>
      </w:rPr>
    </w:lvl>
    <w:lvl w:ilvl="1">
      <w:start w:val="0"/>
      <w:numFmt w:val="bullet"/>
      <w:lvlText w:val="•"/>
      <w:lvlJc w:val="left"/>
      <w:pPr>
        <w:ind w:left="4215" w:hanging="473"/>
      </w:pPr>
      <w:rPr>
        <w:rFonts w:hint="default"/>
      </w:rPr>
    </w:lvl>
    <w:lvl w:ilvl="2">
      <w:start w:val="0"/>
      <w:numFmt w:val="bullet"/>
      <w:lvlText w:val="•"/>
      <w:lvlJc w:val="left"/>
      <w:pPr>
        <w:ind w:left="5731" w:hanging="473"/>
      </w:pPr>
      <w:rPr>
        <w:rFonts w:hint="default"/>
      </w:rPr>
    </w:lvl>
    <w:lvl w:ilvl="3">
      <w:start w:val="0"/>
      <w:numFmt w:val="bullet"/>
      <w:lvlText w:val="•"/>
      <w:lvlJc w:val="left"/>
      <w:pPr>
        <w:ind w:left="7247" w:hanging="473"/>
      </w:pPr>
      <w:rPr>
        <w:rFonts w:hint="default"/>
      </w:rPr>
    </w:lvl>
    <w:lvl w:ilvl="4">
      <w:start w:val="0"/>
      <w:numFmt w:val="bullet"/>
      <w:lvlText w:val="•"/>
      <w:lvlJc w:val="left"/>
      <w:pPr>
        <w:ind w:left="8763" w:hanging="473"/>
      </w:pPr>
      <w:rPr>
        <w:rFonts w:hint="default"/>
      </w:rPr>
    </w:lvl>
    <w:lvl w:ilvl="5">
      <w:start w:val="0"/>
      <w:numFmt w:val="bullet"/>
      <w:lvlText w:val="•"/>
      <w:lvlJc w:val="left"/>
      <w:pPr>
        <w:ind w:left="10279" w:hanging="473"/>
      </w:pPr>
      <w:rPr>
        <w:rFonts w:hint="default"/>
      </w:rPr>
    </w:lvl>
    <w:lvl w:ilvl="6">
      <w:start w:val="0"/>
      <w:numFmt w:val="bullet"/>
      <w:lvlText w:val="•"/>
      <w:lvlJc w:val="left"/>
      <w:pPr>
        <w:ind w:left="11795" w:hanging="473"/>
      </w:pPr>
      <w:rPr>
        <w:rFonts w:hint="default"/>
      </w:rPr>
    </w:lvl>
    <w:lvl w:ilvl="7">
      <w:start w:val="0"/>
      <w:numFmt w:val="bullet"/>
      <w:lvlText w:val="•"/>
      <w:lvlJc w:val="left"/>
      <w:pPr>
        <w:ind w:left="13311" w:hanging="473"/>
      </w:pPr>
      <w:rPr>
        <w:rFonts w:hint="default"/>
      </w:rPr>
    </w:lvl>
    <w:lvl w:ilvl="8">
      <w:start w:val="0"/>
      <w:numFmt w:val="bullet"/>
      <w:lvlText w:val="•"/>
      <w:lvlJc w:val="left"/>
      <w:pPr>
        <w:ind w:left="14827" w:hanging="473"/>
      </w:pPr>
      <w:rPr>
        <w:rFonts w:hint="default"/>
      </w:rPr>
    </w:lvl>
  </w:abstractNum>
  <w:abstractNum w:abstractNumId="10">
    <w:nsid w:val="27E568F4"/>
    <w:multiLevelType w:val="hybridMultilevel"/>
    <w:tmpl w:val="00000000"/>
    <w:lvl w:ilvl="0">
      <w:start w:val="1"/>
      <w:numFmt w:val="decimal"/>
      <w:lvlText w:val="（%1）"/>
      <w:lvlJc w:val="left"/>
      <w:pPr>
        <w:ind w:left="2700" w:hanging="793"/>
        <w:jc w:val="left"/>
      </w:pPr>
      <w:rPr>
        <w:rFonts w:ascii="新宋体" w:eastAsia="新宋体" w:hAnsi="新宋体" w:cs="新宋体" w:hint="default"/>
        <w:color w:val="0D0D0D"/>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11">
    <w:nsid w:val="288F7B36"/>
    <w:multiLevelType w:val="hybridMultilevel"/>
    <w:tmpl w:val="00000000"/>
    <w:lvl w:ilvl="0">
      <w:start w:val="1"/>
      <w:numFmt w:val="decimal"/>
      <w:lvlText w:val="（%1）"/>
      <w:lvlJc w:val="left"/>
      <w:pPr>
        <w:ind w:left="3964" w:hanging="947"/>
        <w:jc w:val="left"/>
      </w:pPr>
      <w:rPr>
        <w:rFonts w:ascii="新宋体" w:eastAsia="新宋体" w:hAnsi="新宋体" w:cs="新宋体" w:hint="default"/>
        <w:color w:val="0D0D0D"/>
        <w:w w:val="102"/>
        <w:sz w:val="31"/>
        <w:szCs w:val="31"/>
      </w:rPr>
    </w:lvl>
    <w:lvl w:ilvl="1">
      <w:start w:val="0"/>
      <w:numFmt w:val="bullet"/>
      <w:lvlText w:val="•"/>
      <w:lvlJc w:val="left"/>
      <w:pPr>
        <w:ind w:left="5349" w:hanging="947"/>
      </w:pPr>
      <w:rPr>
        <w:rFonts w:hint="default"/>
      </w:rPr>
    </w:lvl>
    <w:lvl w:ilvl="2">
      <w:start w:val="0"/>
      <w:numFmt w:val="bullet"/>
      <w:lvlText w:val="•"/>
      <w:lvlJc w:val="left"/>
      <w:pPr>
        <w:ind w:left="6739" w:hanging="947"/>
      </w:pPr>
      <w:rPr>
        <w:rFonts w:hint="default"/>
      </w:rPr>
    </w:lvl>
    <w:lvl w:ilvl="3">
      <w:start w:val="0"/>
      <w:numFmt w:val="bullet"/>
      <w:lvlText w:val="•"/>
      <w:lvlJc w:val="left"/>
      <w:pPr>
        <w:ind w:left="8129" w:hanging="947"/>
      </w:pPr>
      <w:rPr>
        <w:rFonts w:hint="default"/>
      </w:rPr>
    </w:lvl>
    <w:lvl w:ilvl="4">
      <w:start w:val="0"/>
      <w:numFmt w:val="bullet"/>
      <w:lvlText w:val="•"/>
      <w:lvlJc w:val="left"/>
      <w:pPr>
        <w:ind w:left="9519" w:hanging="947"/>
      </w:pPr>
      <w:rPr>
        <w:rFonts w:hint="default"/>
      </w:rPr>
    </w:lvl>
    <w:lvl w:ilvl="5">
      <w:start w:val="0"/>
      <w:numFmt w:val="bullet"/>
      <w:lvlText w:val="•"/>
      <w:lvlJc w:val="left"/>
      <w:pPr>
        <w:ind w:left="10909" w:hanging="947"/>
      </w:pPr>
      <w:rPr>
        <w:rFonts w:hint="default"/>
      </w:rPr>
    </w:lvl>
    <w:lvl w:ilvl="6">
      <w:start w:val="0"/>
      <w:numFmt w:val="bullet"/>
      <w:lvlText w:val="•"/>
      <w:lvlJc w:val="left"/>
      <w:pPr>
        <w:ind w:left="12299" w:hanging="947"/>
      </w:pPr>
      <w:rPr>
        <w:rFonts w:hint="default"/>
      </w:rPr>
    </w:lvl>
    <w:lvl w:ilvl="7">
      <w:start w:val="0"/>
      <w:numFmt w:val="bullet"/>
      <w:lvlText w:val="•"/>
      <w:lvlJc w:val="left"/>
      <w:pPr>
        <w:ind w:left="13689" w:hanging="947"/>
      </w:pPr>
      <w:rPr>
        <w:rFonts w:hint="default"/>
      </w:rPr>
    </w:lvl>
    <w:lvl w:ilvl="8">
      <w:start w:val="0"/>
      <w:numFmt w:val="bullet"/>
      <w:lvlText w:val="•"/>
      <w:lvlJc w:val="left"/>
      <w:pPr>
        <w:ind w:left="15079" w:hanging="947"/>
      </w:pPr>
      <w:rPr>
        <w:rFonts w:hint="default"/>
      </w:rPr>
    </w:lvl>
  </w:abstractNum>
  <w:abstractNum w:abstractNumId="12">
    <w:nsid w:val="28A6C58D"/>
    <w:multiLevelType w:val="hybridMultilevel"/>
    <w:tmpl w:val="00000000"/>
    <w:lvl w:ilvl="0">
      <w:start w:val="3"/>
      <w:numFmt w:val="decimal"/>
      <w:lvlText w:val="（%1）"/>
      <w:lvlJc w:val="left"/>
      <w:pPr>
        <w:ind w:left="2700" w:hanging="793"/>
        <w:jc w:val="left"/>
      </w:pPr>
      <w:rPr>
        <w:rFonts w:ascii="新宋体" w:eastAsia="新宋体" w:hAnsi="新宋体" w:cs="新宋体" w:hint="default"/>
        <w:color w:val="0D0D0D"/>
        <w:spacing w:val="-15"/>
        <w:w w:val="102"/>
        <w:sz w:val="29"/>
        <w:szCs w:val="29"/>
      </w:rPr>
    </w:lvl>
    <w:lvl w:ilvl="1">
      <w:start w:val="2"/>
      <w:numFmt w:val="decimal"/>
      <w:lvlText w:val="（%2）"/>
      <w:lvlJc w:val="left"/>
      <w:pPr>
        <w:ind w:left="7429" w:hanging="790"/>
        <w:jc w:val="left"/>
      </w:pPr>
      <w:rPr>
        <w:rFonts w:ascii="新宋体" w:eastAsia="新宋体" w:hAnsi="新宋体" w:cs="新宋体" w:hint="default"/>
        <w:color w:val="0D0D0D"/>
        <w:spacing w:val="-4"/>
        <w:w w:val="102"/>
        <w:sz w:val="29"/>
        <w:szCs w:val="29"/>
      </w:rPr>
    </w:lvl>
    <w:lvl w:ilvl="2">
      <w:start w:val="0"/>
      <w:numFmt w:val="bullet"/>
      <w:lvlText w:val="•"/>
      <w:lvlJc w:val="left"/>
      <w:pPr>
        <w:ind w:left="8579" w:hanging="790"/>
      </w:pPr>
      <w:rPr>
        <w:rFonts w:hint="default"/>
      </w:rPr>
    </w:lvl>
    <w:lvl w:ilvl="3">
      <w:start w:val="0"/>
      <w:numFmt w:val="bullet"/>
      <w:lvlText w:val="•"/>
      <w:lvlJc w:val="left"/>
      <w:pPr>
        <w:ind w:left="9739" w:hanging="790"/>
      </w:pPr>
      <w:rPr>
        <w:rFonts w:hint="default"/>
      </w:rPr>
    </w:lvl>
    <w:lvl w:ilvl="4">
      <w:start w:val="0"/>
      <w:numFmt w:val="bullet"/>
      <w:lvlText w:val="•"/>
      <w:lvlJc w:val="left"/>
      <w:pPr>
        <w:ind w:left="10899" w:hanging="790"/>
      </w:pPr>
      <w:rPr>
        <w:rFonts w:hint="default"/>
      </w:rPr>
    </w:lvl>
    <w:lvl w:ilvl="5">
      <w:start w:val="0"/>
      <w:numFmt w:val="bullet"/>
      <w:lvlText w:val="•"/>
      <w:lvlJc w:val="left"/>
      <w:pPr>
        <w:ind w:left="12059" w:hanging="790"/>
      </w:pPr>
      <w:rPr>
        <w:rFonts w:hint="default"/>
      </w:rPr>
    </w:lvl>
    <w:lvl w:ilvl="6">
      <w:start w:val="0"/>
      <w:numFmt w:val="bullet"/>
      <w:lvlText w:val="•"/>
      <w:lvlJc w:val="left"/>
      <w:pPr>
        <w:ind w:left="13219" w:hanging="790"/>
      </w:pPr>
      <w:rPr>
        <w:rFonts w:hint="default"/>
      </w:rPr>
    </w:lvl>
    <w:lvl w:ilvl="7">
      <w:start w:val="0"/>
      <w:numFmt w:val="bullet"/>
      <w:lvlText w:val="•"/>
      <w:lvlJc w:val="left"/>
      <w:pPr>
        <w:ind w:left="14379" w:hanging="790"/>
      </w:pPr>
      <w:rPr>
        <w:rFonts w:hint="default"/>
      </w:rPr>
    </w:lvl>
    <w:lvl w:ilvl="8">
      <w:start w:val="0"/>
      <w:numFmt w:val="bullet"/>
      <w:lvlText w:val="•"/>
      <w:lvlJc w:val="left"/>
      <w:pPr>
        <w:ind w:left="15539" w:hanging="790"/>
      </w:pPr>
      <w:rPr>
        <w:rFonts w:hint="default"/>
      </w:rPr>
    </w:lvl>
  </w:abstractNum>
  <w:abstractNum w:abstractNumId="13">
    <w:nsid w:val="2ABC8CC1"/>
    <w:multiLevelType w:val="hybridMultilevel"/>
    <w:tmpl w:val="00000000"/>
    <w:lvl w:ilvl="0">
      <w:start w:val="3"/>
      <w:numFmt w:val="decimal"/>
      <w:lvlText w:val="（%1）"/>
      <w:lvlJc w:val="left"/>
      <w:pPr>
        <w:ind w:left="2700" w:hanging="800"/>
        <w:jc w:val="left"/>
      </w:pPr>
      <w:rPr>
        <w:rFonts w:ascii="新宋体" w:eastAsia="新宋体" w:hAnsi="新宋体" w:cs="新宋体" w:hint="default"/>
        <w:color w:val="0D0D0D"/>
        <w:spacing w:val="-4"/>
        <w:w w:val="102"/>
        <w:sz w:val="29"/>
        <w:szCs w:val="29"/>
      </w:rPr>
    </w:lvl>
    <w:lvl w:ilvl="1">
      <w:start w:val="0"/>
      <w:numFmt w:val="bullet"/>
      <w:lvlText w:val="•"/>
      <w:lvlJc w:val="left"/>
      <w:pPr>
        <w:ind w:left="4215" w:hanging="800"/>
      </w:pPr>
      <w:rPr>
        <w:rFonts w:hint="default"/>
      </w:rPr>
    </w:lvl>
    <w:lvl w:ilvl="2">
      <w:start w:val="0"/>
      <w:numFmt w:val="bullet"/>
      <w:lvlText w:val="•"/>
      <w:lvlJc w:val="left"/>
      <w:pPr>
        <w:ind w:left="5731" w:hanging="800"/>
      </w:pPr>
      <w:rPr>
        <w:rFonts w:hint="default"/>
      </w:rPr>
    </w:lvl>
    <w:lvl w:ilvl="3">
      <w:start w:val="0"/>
      <w:numFmt w:val="bullet"/>
      <w:lvlText w:val="•"/>
      <w:lvlJc w:val="left"/>
      <w:pPr>
        <w:ind w:left="7247" w:hanging="800"/>
      </w:pPr>
      <w:rPr>
        <w:rFonts w:hint="default"/>
      </w:rPr>
    </w:lvl>
    <w:lvl w:ilvl="4">
      <w:start w:val="0"/>
      <w:numFmt w:val="bullet"/>
      <w:lvlText w:val="•"/>
      <w:lvlJc w:val="left"/>
      <w:pPr>
        <w:ind w:left="8763" w:hanging="800"/>
      </w:pPr>
      <w:rPr>
        <w:rFonts w:hint="default"/>
      </w:rPr>
    </w:lvl>
    <w:lvl w:ilvl="5">
      <w:start w:val="0"/>
      <w:numFmt w:val="bullet"/>
      <w:lvlText w:val="•"/>
      <w:lvlJc w:val="left"/>
      <w:pPr>
        <w:ind w:left="10279" w:hanging="800"/>
      </w:pPr>
      <w:rPr>
        <w:rFonts w:hint="default"/>
      </w:rPr>
    </w:lvl>
    <w:lvl w:ilvl="6">
      <w:start w:val="0"/>
      <w:numFmt w:val="bullet"/>
      <w:lvlText w:val="•"/>
      <w:lvlJc w:val="left"/>
      <w:pPr>
        <w:ind w:left="11795" w:hanging="800"/>
      </w:pPr>
      <w:rPr>
        <w:rFonts w:hint="default"/>
      </w:rPr>
    </w:lvl>
    <w:lvl w:ilvl="7">
      <w:start w:val="0"/>
      <w:numFmt w:val="bullet"/>
      <w:lvlText w:val="•"/>
      <w:lvlJc w:val="left"/>
      <w:pPr>
        <w:ind w:left="13311" w:hanging="800"/>
      </w:pPr>
      <w:rPr>
        <w:rFonts w:hint="default"/>
      </w:rPr>
    </w:lvl>
    <w:lvl w:ilvl="8">
      <w:start w:val="0"/>
      <w:numFmt w:val="bullet"/>
      <w:lvlText w:val="•"/>
      <w:lvlJc w:val="left"/>
      <w:pPr>
        <w:ind w:left="14827" w:hanging="800"/>
      </w:pPr>
      <w:rPr>
        <w:rFonts w:hint="default"/>
      </w:rPr>
    </w:lvl>
  </w:abstractNum>
  <w:abstractNum w:abstractNumId="14">
    <w:nsid w:val="2C32C53F"/>
    <w:multiLevelType w:val="hybridMultilevel"/>
    <w:tmpl w:val="00000000"/>
    <w:lvl w:ilvl="0">
      <w:start w:val="1"/>
      <w:numFmt w:val="decimal"/>
      <w:lvlText w:val="（%1）"/>
      <w:lvlJc w:val="left"/>
      <w:pPr>
        <w:ind w:left="2700" w:hanging="793"/>
        <w:jc w:val="left"/>
      </w:pPr>
      <w:rPr>
        <w:rFonts w:ascii="新宋体" w:eastAsia="新宋体" w:hAnsi="新宋体" w:cs="新宋体" w:hint="default"/>
        <w:color w:val="0D0D0D"/>
        <w:w w:val="102"/>
        <w:sz w:val="29"/>
        <w:szCs w:val="29"/>
      </w:rPr>
    </w:lvl>
    <w:lvl w:ilvl="1">
      <w:start w:val="2"/>
      <w:numFmt w:val="decimal"/>
      <w:lvlText w:val="（%2）"/>
      <w:lvlJc w:val="left"/>
      <w:pPr>
        <w:ind w:left="4753" w:hanging="793"/>
        <w:jc w:val="left"/>
      </w:pPr>
      <w:rPr>
        <w:rFonts w:ascii="新宋体" w:eastAsia="新宋体" w:hAnsi="新宋体" w:cs="新宋体" w:hint="default"/>
        <w:color w:val="0D0D0D"/>
        <w:w w:val="102"/>
        <w:sz w:val="29"/>
        <w:szCs w:val="29"/>
      </w:rPr>
    </w:lvl>
    <w:lvl w:ilvl="2">
      <w:start w:val="0"/>
      <w:numFmt w:val="bullet"/>
      <w:lvlText w:val="•"/>
      <w:lvlJc w:val="left"/>
      <w:pPr>
        <w:ind w:left="6215" w:hanging="793"/>
      </w:pPr>
      <w:rPr>
        <w:rFonts w:hint="default"/>
      </w:rPr>
    </w:lvl>
    <w:lvl w:ilvl="3">
      <w:start w:val="0"/>
      <w:numFmt w:val="bullet"/>
      <w:lvlText w:val="•"/>
      <w:lvlJc w:val="left"/>
      <w:pPr>
        <w:ind w:left="7671" w:hanging="793"/>
      </w:pPr>
      <w:rPr>
        <w:rFonts w:hint="default"/>
      </w:rPr>
    </w:lvl>
    <w:lvl w:ilvl="4">
      <w:start w:val="0"/>
      <w:numFmt w:val="bullet"/>
      <w:lvlText w:val="•"/>
      <w:lvlJc w:val="left"/>
      <w:pPr>
        <w:ind w:left="9126" w:hanging="793"/>
      </w:pPr>
      <w:rPr>
        <w:rFonts w:hint="default"/>
      </w:rPr>
    </w:lvl>
    <w:lvl w:ilvl="5">
      <w:start w:val="0"/>
      <w:numFmt w:val="bullet"/>
      <w:lvlText w:val="•"/>
      <w:lvlJc w:val="left"/>
      <w:pPr>
        <w:ind w:left="10582" w:hanging="793"/>
      </w:pPr>
      <w:rPr>
        <w:rFonts w:hint="default"/>
      </w:rPr>
    </w:lvl>
    <w:lvl w:ilvl="6">
      <w:start w:val="0"/>
      <w:numFmt w:val="bullet"/>
      <w:lvlText w:val="•"/>
      <w:lvlJc w:val="left"/>
      <w:pPr>
        <w:ind w:left="12037" w:hanging="793"/>
      </w:pPr>
      <w:rPr>
        <w:rFonts w:hint="default"/>
      </w:rPr>
    </w:lvl>
    <w:lvl w:ilvl="7">
      <w:start w:val="0"/>
      <w:numFmt w:val="bullet"/>
      <w:lvlText w:val="•"/>
      <w:lvlJc w:val="left"/>
      <w:pPr>
        <w:ind w:left="13493" w:hanging="793"/>
      </w:pPr>
      <w:rPr>
        <w:rFonts w:hint="default"/>
      </w:rPr>
    </w:lvl>
    <w:lvl w:ilvl="8">
      <w:start w:val="0"/>
      <w:numFmt w:val="bullet"/>
      <w:lvlText w:val="•"/>
      <w:lvlJc w:val="left"/>
      <w:pPr>
        <w:ind w:left="14948" w:hanging="793"/>
      </w:pPr>
      <w:rPr>
        <w:rFonts w:hint="default"/>
      </w:rPr>
    </w:lvl>
  </w:abstractNum>
  <w:abstractNum w:abstractNumId="15">
    <w:nsid w:val="2CF8ED9E"/>
    <w:multiLevelType w:val="hybridMultilevel"/>
    <w:tmpl w:val="00000000"/>
    <w:lvl w:ilvl="0">
      <w:start w:val="1"/>
      <w:numFmt w:val="decimal"/>
      <w:lvlText w:val="（%1）"/>
      <w:lvlJc w:val="left"/>
      <w:pPr>
        <w:ind w:left="3810" w:hanging="793"/>
        <w:jc w:val="left"/>
      </w:pPr>
      <w:rPr>
        <w:rFonts w:ascii="新宋体" w:eastAsia="新宋体" w:hAnsi="新宋体" w:cs="新宋体" w:hint="default"/>
        <w:color w:val="0D0D0D"/>
        <w:w w:val="102"/>
        <w:sz w:val="29"/>
        <w:szCs w:val="29"/>
      </w:rPr>
    </w:lvl>
    <w:lvl w:ilvl="1">
      <w:start w:val="1"/>
      <w:numFmt w:val="decimal"/>
      <w:lvlText w:val="（%2）"/>
      <w:lvlJc w:val="left"/>
      <w:pPr>
        <w:ind w:left="4033" w:hanging="793"/>
        <w:jc w:val="right"/>
      </w:pPr>
      <w:rPr>
        <w:rFonts w:ascii="新宋体" w:eastAsia="新宋体" w:hAnsi="新宋体" w:cs="新宋体" w:hint="default"/>
        <w:color w:val="0D0D0D"/>
        <w:w w:val="102"/>
        <w:sz w:val="29"/>
        <w:szCs w:val="29"/>
      </w:rPr>
    </w:lvl>
    <w:lvl w:ilvl="2">
      <w:start w:val="3"/>
      <w:numFmt w:val="decimal"/>
      <w:lvlText w:val="（%3）"/>
      <w:lvlJc w:val="left"/>
      <w:pPr>
        <w:ind w:left="5696" w:hanging="790"/>
        <w:jc w:val="left"/>
      </w:pPr>
      <w:rPr>
        <w:rFonts w:ascii="新宋体" w:eastAsia="新宋体" w:hAnsi="新宋体" w:cs="新宋体" w:hint="default"/>
        <w:color w:val="0D0D0D"/>
        <w:spacing w:val="-4"/>
        <w:w w:val="102"/>
        <w:sz w:val="29"/>
        <w:szCs w:val="29"/>
      </w:rPr>
    </w:lvl>
    <w:lvl w:ilvl="3">
      <w:start w:val="0"/>
      <w:numFmt w:val="bullet"/>
      <w:lvlText w:val="•"/>
      <w:lvlJc w:val="left"/>
      <w:pPr>
        <w:ind w:left="5700" w:hanging="790"/>
      </w:pPr>
      <w:rPr>
        <w:rFonts w:hint="default"/>
      </w:rPr>
    </w:lvl>
    <w:lvl w:ilvl="4">
      <w:start w:val="0"/>
      <w:numFmt w:val="bullet"/>
      <w:lvlText w:val="•"/>
      <w:lvlJc w:val="left"/>
      <w:pPr>
        <w:ind w:left="7437" w:hanging="790"/>
      </w:pPr>
      <w:rPr>
        <w:rFonts w:hint="default"/>
      </w:rPr>
    </w:lvl>
    <w:lvl w:ilvl="5">
      <w:start w:val="0"/>
      <w:numFmt w:val="bullet"/>
      <w:lvlText w:val="•"/>
      <w:lvlJc w:val="left"/>
      <w:pPr>
        <w:ind w:left="9174" w:hanging="790"/>
      </w:pPr>
      <w:rPr>
        <w:rFonts w:hint="default"/>
      </w:rPr>
    </w:lvl>
    <w:lvl w:ilvl="6">
      <w:start w:val="0"/>
      <w:numFmt w:val="bullet"/>
      <w:lvlText w:val="•"/>
      <w:lvlJc w:val="left"/>
      <w:pPr>
        <w:ind w:left="10911" w:hanging="790"/>
      </w:pPr>
      <w:rPr>
        <w:rFonts w:hint="default"/>
      </w:rPr>
    </w:lvl>
    <w:lvl w:ilvl="7">
      <w:start w:val="0"/>
      <w:numFmt w:val="bullet"/>
      <w:lvlText w:val="•"/>
      <w:lvlJc w:val="left"/>
      <w:pPr>
        <w:ind w:left="12648" w:hanging="790"/>
      </w:pPr>
      <w:rPr>
        <w:rFonts w:hint="default"/>
      </w:rPr>
    </w:lvl>
    <w:lvl w:ilvl="8">
      <w:start w:val="0"/>
      <w:numFmt w:val="bullet"/>
      <w:lvlText w:val="•"/>
      <w:lvlJc w:val="left"/>
      <w:pPr>
        <w:ind w:left="14385" w:hanging="790"/>
      </w:pPr>
      <w:rPr>
        <w:rFonts w:hint="default"/>
      </w:rPr>
    </w:lvl>
  </w:abstractNum>
  <w:abstractNum w:abstractNumId="16">
    <w:nsid w:val="2D17356C"/>
    <w:multiLevelType w:val="hybridMultilevel"/>
    <w:tmpl w:val="00000000"/>
    <w:lvl w:ilvl="0">
      <w:start w:val="2"/>
      <w:numFmt w:val="decimal"/>
      <w:lvlText w:val="（%1）"/>
      <w:lvlJc w:val="left"/>
      <w:pPr>
        <w:ind w:left="3493" w:hanging="793"/>
        <w:jc w:val="left"/>
      </w:pPr>
      <w:rPr>
        <w:rFonts w:ascii="新宋体" w:eastAsia="新宋体" w:hAnsi="新宋体" w:cs="新宋体" w:hint="default"/>
        <w:color w:val="0D0D0D"/>
        <w:spacing w:val="-1"/>
        <w:w w:val="102"/>
        <w:sz w:val="29"/>
        <w:szCs w:val="29"/>
      </w:rPr>
    </w:lvl>
    <w:lvl w:ilvl="1">
      <w:start w:val="2"/>
      <w:numFmt w:val="decimal"/>
      <w:lvlText w:val="（%2）"/>
      <w:lvlJc w:val="left"/>
      <w:pPr>
        <w:ind w:left="4123" w:hanging="793"/>
        <w:jc w:val="left"/>
      </w:pPr>
      <w:rPr>
        <w:rFonts w:ascii="新宋体" w:eastAsia="新宋体" w:hAnsi="新宋体" w:cs="新宋体" w:hint="default"/>
        <w:color w:val="0D0D0D"/>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17">
    <w:nsid w:val="2EF010F1"/>
    <w:multiLevelType w:val="hybridMultilevel"/>
    <w:tmpl w:val="00000000"/>
    <w:lvl w:ilvl="0">
      <w:start w:val="1"/>
      <w:numFmt w:val="decimal"/>
      <w:lvlText w:val="（%1）"/>
      <w:lvlJc w:val="left"/>
      <w:pPr>
        <w:ind w:left="3806" w:hanging="790"/>
        <w:jc w:val="left"/>
      </w:pPr>
      <w:rPr>
        <w:rFonts w:ascii="新宋体" w:eastAsia="新宋体" w:hAnsi="新宋体" w:cs="新宋体" w:hint="default"/>
        <w:color w:val="0D0D0D"/>
        <w:spacing w:val="-4"/>
        <w:w w:val="102"/>
        <w:sz w:val="29"/>
        <w:szCs w:val="29"/>
      </w:rPr>
    </w:lvl>
    <w:lvl w:ilvl="1">
      <w:start w:val="0"/>
      <w:numFmt w:val="bullet"/>
      <w:lvlText w:val="•"/>
      <w:lvlJc w:val="left"/>
      <w:pPr>
        <w:ind w:left="5205" w:hanging="790"/>
      </w:pPr>
      <w:rPr>
        <w:rFonts w:hint="default"/>
      </w:rPr>
    </w:lvl>
    <w:lvl w:ilvl="2">
      <w:start w:val="0"/>
      <w:numFmt w:val="bullet"/>
      <w:lvlText w:val="•"/>
      <w:lvlJc w:val="left"/>
      <w:pPr>
        <w:ind w:left="6611" w:hanging="790"/>
      </w:pPr>
      <w:rPr>
        <w:rFonts w:hint="default"/>
      </w:rPr>
    </w:lvl>
    <w:lvl w:ilvl="3">
      <w:start w:val="0"/>
      <w:numFmt w:val="bullet"/>
      <w:lvlText w:val="•"/>
      <w:lvlJc w:val="left"/>
      <w:pPr>
        <w:ind w:left="8017" w:hanging="790"/>
      </w:pPr>
      <w:rPr>
        <w:rFonts w:hint="default"/>
      </w:rPr>
    </w:lvl>
    <w:lvl w:ilvl="4">
      <w:start w:val="0"/>
      <w:numFmt w:val="bullet"/>
      <w:lvlText w:val="•"/>
      <w:lvlJc w:val="left"/>
      <w:pPr>
        <w:ind w:left="9423" w:hanging="790"/>
      </w:pPr>
      <w:rPr>
        <w:rFonts w:hint="default"/>
      </w:rPr>
    </w:lvl>
    <w:lvl w:ilvl="5">
      <w:start w:val="0"/>
      <w:numFmt w:val="bullet"/>
      <w:lvlText w:val="•"/>
      <w:lvlJc w:val="left"/>
      <w:pPr>
        <w:ind w:left="10829" w:hanging="790"/>
      </w:pPr>
      <w:rPr>
        <w:rFonts w:hint="default"/>
      </w:rPr>
    </w:lvl>
    <w:lvl w:ilvl="6">
      <w:start w:val="0"/>
      <w:numFmt w:val="bullet"/>
      <w:lvlText w:val="•"/>
      <w:lvlJc w:val="left"/>
      <w:pPr>
        <w:ind w:left="12235" w:hanging="790"/>
      </w:pPr>
      <w:rPr>
        <w:rFonts w:hint="default"/>
      </w:rPr>
    </w:lvl>
    <w:lvl w:ilvl="7">
      <w:start w:val="0"/>
      <w:numFmt w:val="bullet"/>
      <w:lvlText w:val="•"/>
      <w:lvlJc w:val="left"/>
      <w:pPr>
        <w:ind w:left="13641" w:hanging="790"/>
      </w:pPr>
      <w:rPr>
        <w:rFonts w:hint="default"/>
      </w:rPr>
    </w:lvl>
    <w:lvl w:ilvl="8">
      <w:start w:val="0"/>
      <w:numFmt w:val="bullet"/>
      <w:lvlText w:val="•"/>
      <w:lvlJc w:val="left"/>
      <w:pPr>
        <w:ind w:left="15047" w:hanging="790"/>
      </w:pPr>
      <w:rPr>
        <w:rFonts w:hint="default"/>
      </w:rPr>
    </w:lvl>
  </w:abstractNum>
  <w:abstractNum w:abstractNumId="18">
    <w:nsid w:val="311C84FF"/>
    <w:multiLevelType w:val="hybridMultilevel"/>
    <w:tmpl w:val="00000000"/>
    <w:lvl w:ilvl="0">
      <w:start w:val="4"/>
      <w:numFmt w:val="decimal"/>
      <w:lvlText w:val="（%1）"/>
      <w:lvlJc w:val="left"/>
      <w:pPr>
        <w:ind w:left="3810" w:hanging="793"/>
        <w:jc w:val="left"/>
      </w:pPr>
      <w:rPr>
        <w:rFonts w:ascii="新宋体" w:eastAsia="新宋体" w:hAnsi="新宋体" w:cs="新宋体" w:hint="default"/>
        <w:color w:val="0D0D0D"/>
        <w:w w:val="102"/>
        <w:sz w:val="29"/>
        <w:szCs w:val="29"/>
      </w:rPr>
    </w:lvl>
    <w:lvl w:ilvl="1">
      <w:start w:val="2"/>
      <w:numFmt w:val="decimal"/>
      <w:lvlText w:val="（%2）"/>
      <w:lvlJc w:val="left"/>
      <w:pPr>
        <w:ind w:left="4123" w:hanging="793"/>
        <w:jc w:val="left"/>
      </w:pPr>
      <w:rPr>
        <w:rFonts w:ascii="新宋体" w:eastAsia="新宋体" w:hAnsi="新宋体" w:cs="新宋体" w:hint="default"/>
        <w:color w:val="0D0D0D"/>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19">
    <w:nsid w:val="3992232C"/>
    <w:multiLevelType w:val="hybridMultilevel"/>
    <w:tmpl w:val="00000000"/>
    <w:lvl w:ilvl="0">
      <w:start w:val="2"/>
      <w:numFmt w:val="decimal"/>
      <w:lvlText w:val="（%1）"/>
      <w:lvlJc w:val="left"/>
      <w:pPr>
        <w:ind w:left="4123" w:hanging="793"/>
        <w:jc w:val="left"/>
      </w:pPr>
      <w:rPr>
        <w:rFonts w:ascii="新宋体" w:eastAsia="新宋体" w:hAnsi="新宋体" w:cs="新宋体" w:hint="default"/>
        <w:color w:val="0D0D0D"/>
        <w:w w:val="102"/>
        <w:sz w:val="29"/>
        <w:szCs w:val="29"/>
      </w:rPr>
    </w:lvl>
    <w:lvl w:ilvl="1">
      <w:start w:val="2"/>
      <w:numFmt w:val="decimal"/>
      <w:lvlText w:val="（%2）"/>
      <w:lvlJc w:val="left"/>
      <w:pPr>
        <w:ind w:left="4440" w:hanging="793"/>
        <w:jc w:val="left"/>
      </w:pPr>
      <w:rPr>
        <w:rFonts w:ascii="新宋体" w:eastAsia="新宋体" w:hAnsi="新宋体" w:cs="新宋体" w:hint="default"/>
        <w:color w:val="0D0D0D"/>
        <w:w w:val="102"/>
        <w:sz w:val="29"/>
        <w:szCs w:val="29"/>
      </w:rPr>
    </w:lvl>
    <w:lvl w:ilvl="2">
      <w:start w:val="0"/>
      <w:numFmt w:val="bullet"/>
      <w:lvlText w:val="•"/>
      <w:lvlJc w:val="left"/>
      <w:pPr>
        <w:ind w:left="5931" w:hanging="793"/>
      </w:pPr>
      <w:rPr>
        <w:rFonts w:hint="default"/>
      </w:rPr>
    </w:lvl>
    <w:lvl w:ilvl="3">
      <w:start w:val="0"/>
      <w:numFmt w:val="bullet"/>
      <w:lvlText w:val="•"/>
      <w:lvlJc w:val="left"/>
      <w:pPr>
        <w:ind w:left="7422" w:hanging="793"/>
      </w:pPr>
      <w:rPr>
        <w:rFonts w:hint="default"/>
      </w:rPr>
    </w:lvl>
    <w:lvl w:ilvl="4">
      <w:start w:val="0"/>
      <w:numFmt w:val="bullet"/>
      <w:lvlText w:val="•"/>
      <w:lvlJc w:val="left"/>
      <w:pPr>
        <w:ind w:left="8913" w:hanging="793"/>
      </w:pPr>
      <w:rPr>
        <w:rFonts w:hint="default"/>
      </w:rPr>
    </w:lvl>
    <w:lvl w:ilvl="5">
      <w:start w:val="0"/>
      <w:numFmt w:val="bullet"/>
      <w:lvlText w:val="•"/>
      <w:lvlJc w:val="left"/>
      <w:pPr>
        <w:ind w:left="10404" w:hanging="793"/>
      </w:pPr>
      <w:rPr>
        <w:rFonts w:hint="default"/>
      </w:rPr>
    </w:lvl>
    <w:lvl w:ilvl="6">
      <w:start w:val="0"/>
      <w:numFmt w:val="bullet"/>
      <w:lvlText w:val="•"/>
      <w:lvlJc w:val="left"/>
      <w:pPr>
        <w:ind w:left="11895" w:hanging="793"/>
      </w:pPr>
      <w:rPr>
        <w:rFonts w:hint="default"/>
      </w:rPr>
    </w:lvl>
    <w:lvl w:ilvl="7">
      <w:start w:val="0"/>
      <w:numFmt w:val="bullet"/>
      <w:lvlText w:val="•"/>
      <w:lvlJc w:val="left"/>
      <w:pPr>
        <w:ind w:left="13386" w:hanging="793"/>
      </w:pPr>
      <w:rPr>
        <w:rFonts w:hint="default"/>
      </w:rPr>
    </w:lvl>
    <w:lvl w:ilvl="8">
      <w:start w:val="0"/>
      <w:numFmt w:val="bullet"/>
      <w:lvlText w:val="•"/>
      <w:lvlJc w:val="left"/>
      <w:pPr>
        <w:ind w:left="14877" w:hanging="793"/>
      </w:pPr>
      <w:rPr>
        <w:rFonts w:hint="default"/>
      </w:rPr>
    </w:lvl>
  </w:abstractNum>
  <w:abstractNum w:abstractNumId="20">
    <w:nsid w:val="3C1DEE58"/>
    <w:multiLevelType w:val="hybridMultilevel"/>
    <w:tmpl w:val="00000000"/>
    <w:lvl w:ilvl="0">
      <w:start w:val="2"/>
      <w:numFmt w:val="decimal"/>
      <w:lvlText w:val="（%1）"/>
      <w:lvlJc w:val="left"/>
      <w:pPr>
        <w:ind w:left="3810" w:hanging="793"/>
        <w:jc w:val="left"/>
      </w:pPr>
      <w:rPr>
        <w:rFonts w:ascii="新宋体" w:eastAsia="新宋体" w:hAnsi="新宋体" w:cs="新宋体" w:hint="default"/>
        <w:color w:val="0D0D0D"/>
        <w:w w:val="102"/>
        <w:sz w:val="29"/>
        <w:szCs w:val="29"/>
      </w:rPr>
    </w:lvl>
    <w:lvl w:ilvl="1">
      <w:start w:val="0"/>
      <w:numFmt w:val="bullet"/>
      <w:lvlText w:val="•"/>
      <w:lvlJc w:val="left"/>
      <w:pPr>
        <w:ind w:left="5223" w:hanging="793"/>
      </w:pPr>
      <w:rPr>
        <w:rFonts w:hint="default"/>
      </w:rPr>
    </w:lvl>
    <w:lvl w:ilvl="2">
      <w:start w:val="0"/>
      <w:numFmt w:val="bullet"/>
      <w:lvlText w:val="•"/>
      <w:lvlJc w:val="left"/>
      <w:pPr>
        <w:ind w:left="6627" w:hanging="793"/>
      </w:pPr>
      <w:rPr>
        <w:rFonts w:hint="default"/>
      </w:rPr>
    </w:lvl>
    <w:lvl w:ilvl="3">
      <w:start w:val="0"/>
      <w:numFmt w:val="bullet"/>
      <w:lvlText w:val="•"/>
      <w:lvlJc w:val="left"/>
      <w:pPr>
        <w:ind w:left="8031" w:hanging="793"/>
      </w:pPr>
      <w:rPr>
        <w:rFonts w:hint="default"/>
      </w:rPr>
    </w:lvl>
    <w:lvl w:ilvl="4">
      <w:start w:val="0"/>
      <w:numFmt w:val="bullet"/>
      <w:lvlText w:val="•"/>
      <w:lvlJc w:val="left"/>
      <w:pPr>
        <w:ind w:left="9435" w:hanging="793"/>
      </w:pPr>
      <w:rPr>
        <w:rFonts w:hint="default"/>
      </w:rPr>
    </w:lvl>
    <w:lvl w:ilvl="5">
      <w:start w:val="0"/>
      <w:numFmt w:val="bullet"/>
      <w:lvlText w:val="•"/>
      <w:lvlJc w:val="left"/>
      <w:pPr>
        <w:ind w:left="10839" w:hanging="793"/>
      </w:pPr>
      <w:rPr>
        <w:rFonts w:hint="default"/>
      </w:rPr>
    </w:lvl>
    <w:lvl w:ilvl="6">
      <w:start w:val="0"/>
      <w:numFmt w:val="bullet"/>
      <w:lvlText w:val="•"/>
      <w:lvlJc w:val="left"/>
      <w:pPr>
        <w:ind w:left="12243" w:hanging="793"/>
      </w:pPr>
      <w:rPr>
        <w:rFonts w:hint="default"/>
      </w:rPr>
    </w:lvl>
    <w:lvl w:ilvl="7">
      <w:start w:val="0"/>
      <w:numFmt w:val="bullet"/>
      <w:lvlText w:val="•"/>
      <w:lvlJc w:val="left"/>
      <w:pPr>
        <w:ind w:left="13647" w:hanging="793"/>
      </w:pPr>
      <w:rPr>
        <w:rFonts w:hint="default"/>
      </w:rPr>
    </w:lvl>
    <w:lvl w:ilvl="8">
      <w:start w:val="0"/>
      <w:numFmt w:val="bullet"/>
      <w:lvlText w:val="•"/>
      <w:lvlJc w:val="left"/>
      <w:pPr>
        <w:ind w:left="15051" w:hanging="793"/>
      </w:pPr>
      <w:rPr>
        <w:rFonts w:hint="default"/>
      </w:rPr>
    </w:lvl>
  </w:abstractNum>
  <w:abstractNum w:abstractNumId="21">
    <w:nsid w:val="3D2513DB"/>
    <w:multiLevelType w:val="hybridMultilevel"/>
    <w:tmpl w:val="00000000"/>
    <w:lvl w:ilvl="0">
      <w:start w:val="1"/>
      <w:numFmt w:val="decimal"/>
      <w:lvlText w:val="（%1）"/>
      <w:lvlJc w:val="left"/>
      <w:pPr>
        <w:ind w:left="2700" w:hanging="793"/>
        <w:jc w:val="left"/>
      </w:pPr>
      <w:rPr>
        <w:rFonts w:ascii="新宋体" w:eastAsia="新宋体" w:hAnsi="新宋体" w:cs="新宋体" w:hint="default"/>
        <w:color w:val="0D0D0D"/>
        <w:w w:val="102"/>
        <w:sz w:val="29"/>
        <w:szCs w:val="29"/>
      </w:rPr>
    </w:lvl>
    <w:lvl w:ilvl="1">
      <w:start w:val="2"/>
      <w:numFmt w:val="decimal"/>
      <w:lvlText w:val="（%2）"/>
      <w:lvlJc w:val="left"/>
      <w:pPr>
        <w:ind w:left="4123" w:hanging="793"/>
        <w:jc w:val="left"/>
      </w:pPr>
      <w:rPr>
        <w:rFonts w:ascii="新宋体" w:eastAsia="新宋体" w:hAnsi="新宋体" w:cs="新宋体" w:hint="default"/>
        <w:color w:val="0D0D0D"/>
        <w:w w:val="102"/>
        <w:sz w:val="29"/>
        <w:szCs w:val="29"/>
      </w:rPr>
    </w:lvl>
    <w:lvl w:ilvl="2">
      <w:start w:val="0"/>
      <w:numFmt w:val="bullet"/>
      <w:lvlText w:val="•"/>
      <w:lvlJc w:val="left"/>
      <w:pPr>
        <w:ind w:left="4440" w:hanging="793"/>
      </w:pPr>
      <w:rPr>
        <w:rFonts w:hint="default"/>
      </w:rPr>
    </w:lvl>
    <w:lvl w:ilvl="3">
      <w:start w:val="0"/>
      <w:numFmt w:val="bullet"/>
      <w:lvlText w:val="•"/>
      <w:lvlJc w:val="left"/>
      <w:pPr>
        <w:ind w:left="6117" w:hanging="793"/>
      </w:pPr>
      <w:rPr>
        <w:rFonts w:hint="default"/>
      </w:rPr>
    </w:lvl>
    <w:lvl w:ilvl="4">
      <w:start w:val="0"/>
      <w:numFmt w:val="bullet"/>
      <w:lvlText w:val="•"/>
      <w:lvlJc w:val="left"/>
      <w:pPr>
        <w:ind w:left="7794" w:hanging="793"/>
      </w:pPr>
      <w:rPr>
        <w:rFonts w:hint="default"/>
      </w:rPr>
    </w:lvl>
    <w:lvl w:ilvl="5">
      <w:start w:val="0"/>
      <w:numFmt w:val="bullet"/>
      <w:lvlText w:val="•"/>
      <w:lvlJc w:val="left"/>
      <w:pPr>
        <w:ind w:left="9472" w:hanging="793"/>
      </w:pPr>
      <w:rPr>
        <w:rFonts w:hint="default"/>
      </w:rPr>
    </w:lvl>
    <w:lvl w:ilvl="6">
      <w:start w:val="0"/>
      <w:numFmt w:val="bullet"/>
      <w:lvlText w:val="•"/>
      <w:lvlJc w:val="left"/>
      <w:pPr>
        <w:ind w:left="11149" w:hanging="793"/>
      </w:pPr>
      <w:rPr>
        <w:rFonts w:hint="default"/>
      </w:rPr>
    </w:lvl>
    <w:lvl w:ilvl="7">
      <w:start w:val="0"/>
      <w:numFmt w:val="bullet"/>
      <w:lvlText w:val="•"/>
      <w:lvlJc w:val="left"/>
      <w:pPr>
        <w:ind w:left="12827" w:hanging="793"/>
      </w:pPr>
      <w:rPr>
        <w:rFonts w:hint="default"/>
      </w:rPr>
    </w:lvl>
    <w:lvl w:ilvl="8">
      <w:start w:val="0"/>
      <w:numFmt w:val="bullet"/>
      <w:lvlText w:val="•"/>
      <w:lvlJc w:val="left"/>
      <w:pPr>
        <w:ind w:left="14504" w:hanging="793"/>
      </w:pPr>
      <w:rPr>
        <w:rFonts w:hint="default"/>
      </w:rPr>
    </w:lvl>
  </w:abstractNum>
  <w:abstractNum w:abstractNumId="22">
    <w:nsid w:val="3FDF9687"/>
    <w:multiLevelType w:val="hybridMultilevel"/>
    <w:tmpl w:val="00000000"/>
    <w:lvl w:ilvl="0">
      <w:start w:val="1"/>
      <w:numFmt w:val="decimal"/>
      <w:lvlText w:val="（%1）"/>
      <w:lvlJc w:val="left"/>
      <w:pPr>
        <w:ind w:left="4753" w:hanging="790"/>
        <w:jc w:val="left"/>
      </w:pPr>
      <w:rPr>
        <w:rFonts w:ascii="新宋体" w:eastAsia="新宋体" w:hAnsi="新宋体" w:cs="新宋体" w:hint="default"/>
        <w:color w:val="0D0D0D"/>
        <w:spacing w:val="-4"/>
        <w:w w:val="102"/>
        <w:sz w:val="29"/>
        <w:szCs w:val="29"/>
      </w:rPr>
    </w:lvl>
    <w:lvl w:ilvl="1">
      <w:start w:val="0"/>
      <w:numFmt w:val="bullet"/>
      <w:lvlText w:val="•"/>
      <w:lvlJc w:val="left"/>
      <w:pPr>
        <w:ind w:left="6069" w:hanging="790"/>
      </w:pPr>
      <w:rPr>
        <w:rFonts w:hint="default"/>
      </w:rPr>
    </w:lvl>
    <w:lvl w:ilvl="2">
      <w:start w:val="0"/>
      <w:numFmt w:val="bullet"/>
      <w:lvlText w:val="•"/>
      <w:lvlJc w:val="left"/>
      <w:pPr>
        <w:ind w:left="7379" w:hanging="790"/>
      </w:pPr>
      <w:rPr>
        <w:rFonts w:hint="default"/>
      </w:rPr>
    </w:lvl>
    <w:lvl w:ilvl="3">
      <w:start w:val="0"/>
      <w:numFmt w:val="bullet"/>
      <w:lvlText w:val="•"/>
      <w:lvlJc w:val="left"/>
      <w:pPr>
        <w:ind w:left="8689" w:hanging="790"/>
      </w:pPr>
      <w:rPr>
        <w:rFonts w:hint="default"/>
      </w:rPr>
    </w:lvl>
    <w:lvl w:ilvl="4">
      <w:start w:val="0"/>
      <w:numFmt w:val="bullet"/>
      <w:lvlText w:val="•"/>
      <w:lvlJc w:val="left"/>
      <w:pPr>
        <w:ind w:left="9999" w:hanging="790"/>
      </w:pPr>
      <w:rPr>
        <w:rFonts w:hint="default"/>
      </w:rPr>
    </w:lvl>
    <w:lvl w:ilvl="5">
      <w:start w:val="0"/>
      <w:numFmt w:val="bullet"/>
      <w:lvlText w:val="•"/>
      <w:lvlJc w:val="left"/>
      <w:pPr>
        <w:ind w:left="11309" w:hanging="790"/>
      </w:pPr>
      <w:rPr>
        <w:rFonts w:hint="default"/>
      </w:rPr>
    </w:lvl>
    <w:lvl w:ilvl="6">
      <w:start w:val="0"/>
      <w:numFmt w:val="bullet"/>
      <w:lvlText w:val="•"/>
      <w:lvlJc w:val="left"/>
      <w:pPr>
        <w:ind w:left="12619" w:hanging="790"/>
      </w:pPr>
      <w:rPr>
        <w:rFonts w:hint="default"/>
      </w:rPr>
    </w:lvl>
    <w:lvl w:ilvl="7">
      <w:start w:val="0"/>
      <w:numFmt w:val="bullet"/>
      <w:lvlText w:val="•"/>
      <w:lvlJc w:val="left"/>
      <w:pPr>
        <w:ind w:left="13929" w:hanging="790"/>
      </w:pPr>
      <w:rPr>
        <w:rFonts w:hint="default"/>
      </w:rPr>
    </w:lvl>
    <w:lvl w:ilvl="8">
      <w:start w:val="0"/>
      <w:numFmt w:val="bullet"/>
      <w:lvlText w:val="•"/>
      <w:lvlJc w:val="left"/>
      <w:pPr>
        <w:ind w:left="15239" w:hanging="790"/>
      </w:pPr>
      <w:rPr>
        <w:rFonts w:hint="default"/>
      </w:rPr>
    </w:lvl>
  </w:abstractNum>
  <w:abstractNum w:abstractNumId="23">
    <w:nsid w:val="4604C44B"/>
    <w:multiLevelType w:val="hybridMultilevel"/>
    <w:tmpl w:val="00000000"/>
    <w:lvl w:ilvl="0">
      <w:start w:val="1"/>
      <w:numFmt w:val="decimal"/>
      <w:lvlText w:val="（%1）"/>
      <w:lvlJc w:val="left"/>
      <w:pPr>
        <w:ind w:left="3806" w:hanging="790"/>
        <w:jc w:val="left"/>
      </w:pPr>
      <w:rPr>
        <w:rFonts w:ascii="新宋体" w:eastAsia="新宋体" w:hAnsi="新宋体" w:cs="新宋体" w:hint="default"/>
        <w:color w:val="0D0D0D"/>
        <w:spacing w:val="-4"/>
        <w:w w:val="102"/>
        <w:sz w:val="29"/>
        <w:szCs w:val="29"/>
      </w:rPr>
    </w:lvl>
    <w:lvl w:ilvl="1">
      <w:start w:val="0"/>
      <w:numFmt w:val="bullet"/>
      <w:lvlText w:val="•"/>
      <w:lvlJc w:val="left"/>
      <w:pPr>
        <w:ind w:left="5205" w:hanging="790"/>
      </w:pPr>
      <w:rPr>
        <w:rFonts w:hint="default"/>
      </w:rPr>
    </w:lvl>
    <w:lvl w:ilvl="2">
      <w:start w:val="0"/>
      <w:numFmt w:val="bullet"/>
      <w:lvlText w:val="•"/>
      <w:lvlJc w:val="left"/>
      <w:pPr>
        <w:ind w:left="6611" w:hanging="790"/>
      </w:pPr>
      <w:rPr>
        <w:rFonts w:hint="default"/>
      </w:rPr>
    </w:lvl>
    <w:lvl w:ilvl="3">
      <w:start w:val="0"/>
      <w:numFmt w:val="bullet"/>
      <w:lvlText w:val="•"/>
      <w:lvlJc w:val="left"/>
      <w:pPr>
        <w:ind w:left="8017" w:hanging="790"/>
      </w:pPr>
      <w:rPr>
        <w:rFonts w:hint="default"/>
      </w:rPr>
    </w:lvl>
    <w:lvl w:ilvl="4">
      <w:start w:val="0"/>
      <w:numFmt w:val="bullet"/>
      <w:lvlText w:val="•"/>
      <w:lvlJc w:val="left"/>
      <w:pPr>
        <w:ind w:left="9423" w:hanging="790"/>
      </w:pPr>
      <w:rPr>
        <w:rFonts w:hint="default"/>
      </w:rPr>
    </w:lvl>
    <w:lvl w:ilvl="5">
      <w:start w:val="0"/>
      <w:numFmt w:val="bullet"/>
      <w:lvlText w:val="•"/>
      <w:lvlJc w:val="left"/>
      <w:pPr>
        <w:ind w:left="10829" w:hanging="790"/>
      </w:pPr>
      <w:rPr>
        <w:rFonts w:hint="default"/>
      </w:rPr>
    </w:lvl>
    <w:lvl w:ilvl="6">
      <w:start w:val="0"/>
      <w:numFmt w:val="bullet"/>
      <w:lvlText w:val="•"/>
      <w:lvlJc w:val="left"/>
      <w:pPr>
        <w:ind w:left="12235" w:hanging="790"/>
      </w:pPr>
      <w:rPr>
        <w:rFonts w:hint="default"/>
      </w:rPr>
    </w:lvl>
    <w:lvl w:ilvl="7">
      <w:start w:val="0"/>
      <w:numFmt w:val="bullet"/>
      <w:lvlText w:val="•"/>
      <w:lvlJc w:val="left"/>
      <w:pPr>
        <w:ind w:left="13641" w:hanging="790"/>
      </w:pPr>
      <w:rPr>
        <w:rFonts w:hint="default"/>
      </w:rPr>
    </w:lvl>
    <w:lvl w:ilvl="8">
      <w:start w:val="0"/>
      <w:numFmt w:val="bullet"/>
      <w:lvlText w:val="•"/>
      <w:lvlJc w:val="left"/>
      <w:pPr>
        <w:ind w:left="15047" w:hanging="790"/>
      </w:pPr>
      <w:rPr>
        <w:rFonts w:hint="default"/>
      </w:rPr>
    </w:lvl>
  </w:abstractNum>
  <w:abstractNum w:abstractNumId="24">
    <w:nsid w:val="4BF0C2CB"/>
    <w:multiLevelType w:val="hybridMultilevel"/>
    <w:tmpl w:val="00000000"/>
    <w:lvl w:ilvl="0">
      <w:start w:val="1"/>
      <w:numFmt w:val="decimal"/>
      <w:lvlText w:val="（%1）"/>
      <w:lvlJc w:val="left"/>
      <w:pPr>
        <w:ind w:left="2700" w:hanging="793"/>
        <w:jc w:val="left"/>
      </w:pPr>
      <w:rPr>
        <w:rFonts w:ascii="新宋体" w:eastAsia="新宋体" w:hAnsi="新宋体" w:cs="新宋体" w:hint="default"/>
        <w:color w:val="0D0D0D"/>
        <w:w w:val="102"/>
        <w:sz w:val="29"/>
        <w:szCs w:val="29"/>
      </w:rPr>
    </w:lvl>
    <w:lvl w:ilvl="1">
      <w:start w:val="2"/>
      <w:numFmt w:val="decimal"/>
      <w:lvlText w:val="（%2）"/>
      <w:lvlJc w:val="left"/>
      <w:pPr>
        <w:ind w:left="4753" w:hanging="793"/>
        <w:jc w:val="left"/>
      </w:pPr>
      <w:rPr>
        <w:rFonts w:ascii="新宋体" w:eastAsia="新宋体" w:hAnsi="新宋体" w:cs="新宋体" w:hint="default"/>
        <w:color w:val="0D0D0D"/>
        <w:w w:val="102"/>
        <w:sz w:val="29"/>
        <w:szCs w:val="29"/>
      </w:rPr>
    </w:lvl>
    <w:lvl w:ilvl="2">
      <w:start w:val="0"/>
      <w:numFmt w:val="bullet"/>
      <w:lvlText w:val="•"/>
      <w:lvlJc w:val="left"/>
      <w:pPr>
        <w:ind w:left="6215" w:hanging="793"/>
      </w:pPr>
      <w:rPr>
        <w:rFonts w:hint="default"/>
      </w:rPr>
    </w:lvl>
    <w:lvl w:ilvl="3">
      <w:start w:val="0"/>
      <w:numFmt w:val="bullet"/>
      <w:lvlText w:val="•"/>
      <w:lvlJc w:val="left"/>
      <w:pPr>
        <w:ind w:left="7671" w:hanging="793"/>
      </w:pPr>
      <w:rPr>
        <w:rFonts w:hint="default"/>
      </w:rPr>
    </w:lvl>
    <w:lvl w:ilvl="4">
      <w:start w:val="0"/>
      <w:numFmt w:val="bullet"/>
      <w:lvlText w:val="•"/>
      <w:lvlJc w:val="left"/>
      <w:pPr>
        <w:ind w:left="9126" w:hanging="793"/>
      </w:pPr>
      <w:rPr>
        <w:rFonts w:hint="default"/>
      </w:rPr>
    </w:lvl>
    <w:lvl w:ilvl="5">
      <w:start w:val="0"/>
      <w:numFmt w:val="bullet"/>
      <w:lvlText w:val="•"/>
      <w:lvlJc w:val="left"/>
      <w:pPr>
        <w:ind w:left="10582" w:hanging="793"/>
      </w:pPr>
      <w:rPr>
        <w:rFonts w:hint="default"/>
      </w:rPr>
    </w:lvl>
    <w:lvl w:ilvl="6">
      <w:start w:val="0"/>
      <w:numFmt w:val="bullet"/>
      <w:lvlText w:val="•"/>
      <w:lvlJc w:val="left"/>
      <w:pPr>
        <w:ind w:left="12037" w:hanging="793"/>
      </w:pPr>
      <w:rPr>
        <w:rFonts w:hint="default"/>
      </w:rPr>
    </w:lvl>
    <w:lvl w:ilvl="7">
      <w:start w:val="0"/>
      <w:numFmt w:val="bullet"/>
      <w:lvlText w:val="•"/>
      <w:lvlJc w:val="left"/>
      <w:pPr>
        <w:ind w:left="13493" w:hanging="793"/>
      </w:pPr>
      <w:rPr>
        <w:rFonts w:hint="default"/>
      </w:rPr>
    </w:lvl>
    <w:lvl w:ilvl="8">
      <w:start w:val="0"/>
      <w:numFmt w:val="bullet"/>
      <w:lvlText w:val="•"/>
      <w:lvlJc w:val="left"/>
      <w:pPr>
        <w:ind w:left="14948" w:hanging="793"/>
      </w:pPr>
      <w:rPr>
        <w:rFonts w:hint="default"/>
      </w:rPr>
    </w:lvl>
  </w:abstractNum>
  <w:abstractNum w:abstractNumId="25">
    <w:nsid w:val="500A18CA"/>
    <w:multiLevelType w:val="hybridMultilevel"/>
    <w:tmpl w:val="00000000"/>
    <w:lvl w:ilvl="0">
      <w:start w:val="1"/>
      <w:numFmt w:val="decimal"/>
      <w:lvlText w:val="（%1）"/>
      <w:lvlJc w:val="left"/>
      <w:pPr>
        <w:ind w:left="2700" w:hanging="793"/>
        <w:jc w:val="left"/>
      </w:pPr>
      <w:rPr>
        <w:rFonts w:ascii="新宋体" w:eastAsia="新宋体" w:hAnsi="新宋体" w:cs="新宋体" w:hint="default"/>
        <w:color w:val="0D0D0D"/>
        <w:spacing w:val="-5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26">
    <w:nsid w:val="503DF594"/>
    <w:multiLevelType w:val="hybridMultilevel"/>
    <w:tmpl w:val="00000000"/>
    <w:lvl w:ilvl="0">
      <w:start w:val="3"/>
      <w:numFmt w:val="decimal"/>
      <w:lvlText w:val="（%1）"/>
      <w:lvlJc w:val="left"/>
      <w:pPr>
        <w:ind w:left="3806" w:hanging="790"/>
        <w:jc w:val="left"/>
      </w:pPr>
      <w:rPr>
        <w:rFonts w:ascii="新宋体" w:eastAsia="新宋体" w:hAnsi="新宋体" w:cs="新宋体" w:hint="default"/>
        <w:color w:val="0D0D0D"/>
        <w:spacing w:val="-4"/>
        <w:w w:val="102"/>
        <w:sz w:val="29"/>
        <w:szCs w:val="29"/>
      </w:rPr>
    </w:lvl>
    <w:lvl w:ilvl="1">
      <w:start w:val="0"/>
      <w:numFmt w:val="bullet"/>
      <w:lvlText w:val="•"/>
      <w:lvlJc w:val="left"/>
      <w:pPr>
        <w:ind w:left="5205" w:hanging="790"/>
      </w:pPr>
      <w:rPr>
        <w:rFonts w:hint="default"/>
      </w:rPr>
    </w:lvl>
    <w:lvl w:ilvl="2">
      <w:start w:val="0"/>
      <w:numFmt w:val="bullet"/>
      <w:lvlText w:val="•"/>
      <w:lvlJc w:val="left"/>
      <w:pPr>
        <w:ind w:left="6611" w:hanging="790"/>
      </w:pPr>
      <w:rPr>
        <w:rFonts w:hint="default"/>
      </w:rPr>
    </w:lvl>
    <w:lvl w:ilvl="3">
      <w:start w:val="0"/>
      <w:numFmt w:val="bullet"/>
      <w:lvlText w:val="•"/>
      <w:lvlJc w:val="left"/>
      <w:pPr>
        <w:ind w:left="8017" w:hanging="790"/>
      </w:pPr>
      <w:rPr>
        <w:rFonts w:hint="default"/>
      </w:rPr>
    </w:lvl>
    <w:lvl w:ilvl="4">
      <w:start w:val="0"/>
      <w:numFmt w:val="bullet"/>
      <w:lvlText w:val="•"/>
      <w:lvlJc w:val="left"/>
      <w:pPr>
        <w:ind w:left="9423" w:hanging="790"/>
      </w:pPr>
      <w:rPr>
        <w:rFonts w:hint="default"/>
      </w:rPr>
    </w:lvl>
    <w:lvl w:ilvl="5">
      <w:start w:val="0"/>
      <w:numFmt w:val="bullet"/>
      <w:lvlText w:val="•"/>
      <w:lvlJc w:val="left"/>
      <w:pPr>
        <w:ind w:left="10829" w:hanging="790"/>
      </w:pPr>
      <w:rPr>
        <w:rFonts w:hint="default"/>
      </w:rPr>
    </w:lvl>
    <w:lvl w:ilvl="6">
      <w:start w:val="0"/>
      <w:numFmt w:val="bullet"/>
      <w:lvlText w:val="•"/>
      <w:lvlJc w:val="left"/>
      <w:pPr>
        <w:ind w:left="12235" w:hanging="790"/>
      </w:pPr>
      <w:rPr>
        <w:rFonts w:hint="default"/>
      </w:rPr>
    </w:lvl>
    <w:lvl w:ilvl="7">
      <w:start w:val="0"/>
      <w:numFmt w:val="bullet"/>
      <w:lvlText w:val="•"/>
      <w:lvlJc w:val="left"/>
      <w:pPr>
        <w:ind w:left="13641" w:hanging="790"/>
      </w:pPr>
      <w:rPr>
        <w:rFonts w:hint="default"/>
      </w:rPr>
    </w:lvl>
    <w:lvl w:ilvl="8">
      <w:start w:val="0"/>
      <w:numFmt w:val="bullet"/>
      <w:lvlText w:val="•"/>
      <w:lvlJc w:val="left"/>
      <w:pPr>
        <w:ind w:left="15047" w:hanging="790"/>
      </w:pPr>
      <w:rPr>
        <w:rFonts w:hint="default"/>
      </w:rPr>
    </w:lvl>
  </w:abstractNum>
  <w:abstractNum w:abstractNumId="27">
    <w:nsid w:val="50894680"/>
    <w:multiLevelType w:val="hybridMultilevel"/>
    <w:tmpl w:val="00000000"/>
    <w:lvl w:ilvl="0">
      <w:start w:val="2"/>
      <w:numFmt w:val="decimal"/>
      <w:lvlText w:val="（%1）"/>
      <w:lvlJc w:val="left"/>
      <w:pPr>
        <w:ind w:left="3493" w:hanging="793"/>
        <w:jc w:val="left"/>
      </w:pPr>
      <w:rPr>
        <w:rFonts w:ascii="新宋体" w:eastAsia="新宋体" w:hAnsi="新宋体" w:cs="新宋体" w:hint="default"/>
        <w:color w:val="0D0D0D"/>
        <w:spacing w:val="-1"/>
        <w:w w:val="102"/>
        <w:sz w:val="29"/>
        <w:szCs w:val="29"/>
      </w:rPr>
    </w:lvl>
    <w:lvl w:ilvl="1">
      <w:start w:val="2"/>
      <w:numFmt w:val="decimal"/>
      <w:lvlText w:val="（%2）"/>
      <w:lvlJc w:val="left"/>
      <w:pPr>
        <w:ind w:left="4123" w:hanging="793"/>
        <w:jc w:val="left"/>
      </w:pPr>
      <w:rPr>
        <w:rFonts w:ascii="新宋体" w:eastAsia="新宋体" w:hAnsi="新宋体" w:cs="新宋体" w:hint="default"/>
        <w:color w:val="0D0D0D"/>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28">
    <w:nsid w:val="51DE02FB"/>
    <w:multiLevelType w:val="hybridMultilevel"/>
    <w:tmpl w:val="00000000"/>
    <w:lvl w:ilvl="0">
      <w:start w:val="1"/>
      <w:numFmt w:val="decimal"/>
      <w:lvlText w:val="（%1）"/>
      <w:lvlJc w:val="left"/>
      <w:pPr>
        <w:ind w:left="4753" w:hanging="790"/>
        <w:jc w:val="left"/>
      </w:pPr>
      <w:rPr>
        <w:rFonts w:ascii="新宋体" w:eastAsia="新宋体" w:hAnsi="新宋体" w:cs="新宋体" w:hint="default"/>
        <w:color w:val="0D0D0D"/>
        <w:spacing w:val="-4"/>
        <w:w w:val="102"/>
        <w:sz w:val="29"/>
        <w:szCs w:val="29"/>
      </w:rPr>
    </w:lvl>
    <w:lvl w:ilvl="1">
      <w:start w:val="0"/>
      <w:numFmt w:val="bullet"/>
      <w:lvlText w:val="•"/>
      <w:lvlJc w:val="left"/>
      <w:pPr>
        <w:ind w:left="6069" w:hanging="790"/>
      </w:pPr>
      <w:rPr>
        <w:rFonts w:hint="default"/>
      </w:rPr>
    </w:lvl>
    <w:lvl w:ilvl="2">
      <w:start w:val="0"/>
      <w:numFmt w:val="bullet"/>
      <w:lvlText w:val="•"/>
      <w:lvlJc w:val="left"/>
      <w:pPr>
        <w:ind w:left="7379" w:hanging="790"/>
      </w:pPr>
      <w:rPr>
        <w:rFonts w:hint="default"/>
      </w:rPr>
    </w:lvl>
    <w:lvl w:ilvl="3">
      <w:start w:val="0"/>
      <w:numFmt w:val="bullet"/>
      <w:lvlText w:val="•"/>
      <w:lvlJc w:val="left"/>
      <w:pPr>
        <w:ind w:left="8689" w:hanging="790"/>
      </w:pPr>
      <w:rPr>
        <w:rFonts w:hint="default"/>
      </w:rPr>
    </w:lvl>
    <w:lvl w:ilvl="4">
      <w:start w:val="0"/>
      <w:numFmt w:val="bullet"/>
      <w:lvlText w:val="•"/>
      <w:lvlJc w:val="left"/>
      <w:pPr>
        <w:ind w:left="9999" w:hanging="790"/>
      </w:pPr>
      <w:rPr>
        <w:rFonts w:hint="default"/>
      </w:rPr>
    </w:lvl>
    <w:lvl w:ilvl="5">
      <w:start w:val="0"/>
      <w:numFmt w:val="bullet"/>
      <w:lvlText w:val="•"/>
      <w:lvlJc w:val="left"/>
      <w:pPr>
        <w:ind w:left="11309" w:hanging="790"/>
      </w:pPr>
      <w:rPr>
        <w:rFonts w:hint="default"/>
      </w:rPr>
    </w:lvl>
    <w:lvl w:ilvl="6">
      <w:start w:val="0"/>
      <w:numFmt w:val="bullet"/>
      <w:lvlText w:val="•"/>
      <w:lvlJc w:val="left"/>
      <w:pPr>
        <w:ind w:left="12619" w:hanging="790"/>
      </w:pPr>
      <w:rPr>
        <w:rFonts w:hint="default"/>
      </w:rPr>
    </w:lvl>
    <w:lvl w:ilvl="7">
      <w:start w:val="0"/>
      <w:numFmt w:val="bullet"/>
      <w:lvlText w:val="•"/>
      <w:lvlJc w:val="left"/>
      <w:pPr>
        <w:ind w:left="13929" w:hanging="790"/>
      </w:pPr>
      <w:rPr>
        <w:rFonts w:hint="default"/>
      </w:rPr>
    </w:lvl>
    <w:lvl w:ilvl="8">
      <w:start w:val="0"/>
      <w:numFmt w:val="bullet"/>
      <w:lvlText w:val="•"/>
      <w:lvlJc w:val="left"/>
      <w:pPr>
        <w:ind w:left="15239" w:hanging="790"/>
      </w:pPr>
      <w:rPr>
        <w:rFonts w:hint="default"/>
      </w:rPr>
    </w:lvl>
  </w:abstractNum>
  <w:abstractNum w:abstractNumId="29">
    <w:nsid w:val="5511011D"/>
    <w:multiLevelType w:val="hybridMultilevel"/>
    <w:tmpl w:val="00000000"/>
    <w:lvl w:ilvl="0">
      <w:start w:val="1"/>
      <w:numFmt w:val="decimal"/>
      <w:lvlText w:val="(%1)"/>
      <w:lvlJc w:val="left"/>
      <w:pPr>
        <w:ind w:left="3651" w:hanging="634"/>
        <w:jc w:val="right"/>
      </w:pPr>
      <w:rPr>
        <w:rFonts w:ascii="新宋体" w:eastAsia="新宋体" w:hAnsi="新宋体" w:cs="新宋体" w:hint="default"/>
        <w:color w:val="0D0D0D"/>
        <w:w w:val="102"/>
        <w:sz w:val="31"/>
        <w:szCs w:val="31"/>
      </w:rPr>
    </w:lvl>
    <w:lvl w:ilvl="1">
      <w:start w:val="0"/>
      <w:numFmt w:val="bullet"/>
      <w:lvlText w:val="•"/>
      <w:lvlJc w:val="left"/>
      <w:pPr>
        <w:ind w:left="5079" w:hanging="634"/>
      </w:pPr>
      <w:rPr>
        <w:rFonts w:hint="default"/>
      </w:rPr>
    </w:lvl>
    <w:lvl w:ilvl="2">
      <w:start w:val="0"/>
      <w:numFmt w:val="bullet"/>
      <w:lvlText w:val="•"/>
      <w:lvlJc w:val="left"/>
      <w:pPr>
        <w:ind w:left="6499" w:hanging="634"/>
      </w:pPr>
      <w:rPr>
        <w:rFonts w:hint="default"/>
      </w:rPr>
    </w:lvl>
    <w:lvl w:ilvl="3">
      <w:start w:val="0"/>
      <w:numFmt w:val="bullet"/>
      <w:lvlText w:val="•"/>
      <w:lvlJc w:val="left"/>
      <w:pPr>
        <w:ind w:left="7919" w:hanging="634"/>
      </w:pPr>
      <w:rPr>
        <w:rFonts w:hint="default"/>
      </w:rPr>
    </w:lvl>
    <w:lvl w:ilvl="4">
      <w:start w:val="0"/>
      <w:numFmt w:val="bullet"/>
      <w:lvlText w:val="•"/>
      <w:lvlJc w:val="left"/>
      <w:pPr>
        <w:ind w:left="9339" w:hanging="634"/>
      </w:pPr>
      <w:rPr>
        <w:rFonts w:hint="default"/>
      </w:rPr>
    </w:lvl>
    <w:lvl w:ilvl="5">
      <w:start w:val="0"/>
      <w:numFmt w:val="bullet"/>
      <w:lvlText w:val="•"/>
      <w:lvlJc w:val="left"/>
      <w:pPr>
        <w:ind w:left="10759" w:hanging="634"/>
      </w:pPr>
      <w:rPr>
        <w:rFonts w:hint="default"/>
      </w:rPr>
    </w:lvl>
    <w:lvl w:ilvl="6">
      <w:start w:val="0"/>
      <w:numFmt w:val="bullet"/>
      <w:lvlText w:val="•"/>
      <w:lvlJc w:val="left"/>
      <w:pPr>
        <w:ind w:left="12179" w:hanging="634"/>
      </w:pPr>
      <w:rPr>
        <w:rFonts w:hint="default"/>
      </w:rPr>
    </w:lvl>
    <w:lvl w:ilvl="7">
      <w:start w:val="0"/>
      <w:numFmt w:val="bullet"/>
      <w:lvlText w:val="•"/>
      <w:lvlJc w:val="left"/>
      <w:pPr>
        <w:ind w:left="13599" w:hanging="634"/>
      </w:pPr>
      <w:rPr>
        <w:rFonts w:hint="default"/>
      </w:rPr>
    </w:lvl>
    <w:lvl w:ilvl="8">
      <w:start w:val="0"/>
      <w:numFmt w:val="bullet"/>
      <w:lvlText w:val="•"/>
      <w:lvlJc w:val="left"/>
      <w:pPr>
        <w:ind w:left="15019" w:hanging="634"/>
      </w:pPr>
      <w:rPr>
        <w:rFonts w:hint="default"/>
      </w:rPr>
    </w:lvl>
  </w:abstractNum>
  <w:abstractNum w:abstractNumId="30">
    <w:nsid w:val="55E994E2"/>
    <w:multiLevelType w:val="hybridMultilevel"/>
    <w:tmpl w:val="00000000"/>
    <w:lvl w:ilvl="0">
      <w:start w:val="1"/>
      <w:numFmt w:val="decimal"/>
      <w:lvlText w:val="(%1)"/>
      <w:lvlJc w:val="left"/>
      <w:pPr>
        <w:ind w:left="3493" w:hanging="477"/>
        <w:jc w:val="right"/>
      </w:pPr>
      <w:rPr>
        <w:rFonts w:ascii="新宋体" w:eastAsia="新宋体" w:hAnsi="新宋体" w:cs="新宋体" w:hint="default"/>
        <w:color w:val="0D0D0D"/>
        <w:spacing w:val="-4"/>
        <w:w w:val="102"/>
        <w:sz w:val="29"/>
        <w:szCs w:val="29"/>
      </w:rPr>
    </w:lvl>
    <w:lvl w:ilvl="1">
      <w:start w:val="0"/>
      <w:numFmt w:val="bullet"/>
      <w:lvlText w:val="•"/>
      <w:lvlJc w:val="left"/>
      <w:pPr>
        <w:ind w:left="4935" w:hanging="477"/>
      </w:pPr>
      <w:rPr>
        <w:rFonts w:hint="default"/>
      </w:rPr>
    </w:lvl>
    <w:lvl w:ilvl="2">
      <w:start w:val="0"/>
      <w:numFmt w:val="bullet"/>
      <w:lvlText w:val="•"/>
      <w:lvlJc w:val="left"/>
      <w:pPr>
        <w:ind w:left="6371" w:hanging="477"/>
      </w:pPr>
      <w:rPr>
        <w:rFonts w:hint="default"/>
      </w:rPr>
    </w:lvl>
    <w:lvl w:ilvl="3">
      <w:start w:val="0"/>
      <w:numFmt w:val="bullet"/>
      <w:lvlText w:val="•"/>
      <w:lvlJc w:val="left"/>
      <w:pPr>
        <w:ind w:left="7807" w:hanging="477"/>
      </w:pPr>
      <w:rPr>
        <w:rFonts w:hint="default"/>
      </w:rPr>
    </w:lvl>
    <w:lvl w:ilvl="4">
      <w:start w:val="0"/>
      <w:numFmt w:val="bullet"/>
      <w:lvlText w:val="•"/>
      <w:lvlJc w:val="left"/>
      <w:pPr>
        <w:ind w:left="9243" w:hanging="477"/>
      </w:pPr>
      <w:rPr>
        <w:rFonts w:hint="default"/>
      </w:rPr>
    </w:lvl>
    <w:lvl w:ilvl="5">
      <w:start w:val="0"/>
      <w:numFmt w:val="bullet"/>
      <w:lvlText w:val="•"/>
      <w:lvlJc w:val="left"/>
      <w:pPr>
        <w:ind w:left="10679" w:hanging="477"/>
      </w:pPr>
      <w:rPr>
        <w:rFonts w:hint="default"/>
      </w:rPr>
    </w:lvl>
    <w:lvl w:ilvl="6">
      <w:start w:val="0"/>
      <w:numFmt w:val="bullet"/>
      <w:lvlText w:val="•"/>
      <w:lvlJc w:val="left"/>
      <w:pPr>
        <w:ind w:left="12115" w:hanging="477"/>
      </w:pPr>
      <w:rPr>
        <w:rFonts w:hint="default"/>
      </w:rPr>
    </w:lvl>
    <w:lvl w:ilvl="7">
      <w:start w:val="0"/>
      <w:numFmt w:val="bullet"/>
      <w:lvlText w:val="•"/>
      <w:lvlJc w:val="left"/>
      <w:pPr>
        <w:ind w:left="13551" w:hanging="477"/>
      </w:pPr>
      <w:rPr>
        <w:rFonts w:hint="default"/>
      </w:rPr>
    </w:lvl>
    <w:lvl w:ilvl="8">
      <w:start w:val="0"/>
      <w:numFmt w:val="bullet"/>
      <w:lvlText w:val="•"/>
      <w:lvlJc w:val="left"/>
      <w:pPr>
        <w:ind w:left="14987" w:hanging="477"/>
      </w:pPr>
      <w:rPr>
        <w:rFonts w:hint="default"/>
      </w:rPr>
    </w:lvl>
  </w:abstractNum>
  <w:abstractNum w:abstractNumId="31">
    <w:nsid w:val="5633C1E6"/>
    <w:multiLevelType w:val="hybridMultilevel"/>
    <w:tmpl w:val="00000000"/>
    <w:lvl w:ilvl="0">
      <w:start w:val="1"/>
      <w:numFmt w:val="decimal"/>
      <w:lvlText w:val="%1）"/>
      <w:lvlJc w:val="left"/>
      <w:pPr>
        <w:ind w:left="3652" w:hanging="476"/>
        <w:jc w:val="left"/>
      </w:pPr>
      <w:rPr>
        <w:rFonts w:ascii="新宋体" w:eastAsia="新宋体" w:hAnsi="新宋体" w:cs="新宋体" w:hint="default"/>
        <w:color w:val="0D0D0D"/>
        <w:spacing w:val="-1"/>
        <w:w w:val="102"/>
        <w:sz w:val="29"/>
        <w:szCs w:val="29"/>
      </w:rPr>
    </w:lvl>
    <w:lvl w:ilvl="1">
      <w:start w:val="0"/>
      <w:numFmt w:val="bullet"/>
      <w:lvlText w:val="•"/>
      <w:lvlJc w:val="left"/>
      <w:pPr>
        <w:ind w:left="5079" w:hanging="476"/>
      </w:pPr>
      <w:rPr>
        <w:rFonts w:hint="default"/>
      </w:rPr>
    </w:lvl>
    <w:lvl w:ilvl="2">
      <w:start w:val="0"/>
      <w:numFmt w:val="bullet"/>
      <w:lvlText w:val="•"/>
      <w:lvlJc w:val="left"/>
      <w:pPr>
        <w:ind w:left="6499" w:hanging="476"/>
      </w:pPr>
      <w:rPr>
        <w:rFonts w:hint="default"/>
      </w:rPr>
    </w:lvl>
    <w:lvl w:ilvl="3">
      <w:start w:val="0"/>
      <w:numFmt w:val="bullet"/>
      <w:lvlText w:val="•"/>
      <w:lvlJc w:val="left"/>
      <w:pPr>
        <w:ind w:left="7919" w:hanging="476"/>
      </w:pPr>
      <w:rPr>
        <w:rFonts w:hint="default"/>
      </w:rPr>
    </w:lvl>
    <w:lvl w:ilvl="4">
      <w:start w:val="0"/>
      <w:numFmt w:val="bullet"/>
      <w:lvlText w:val="•"/>
      <w:lvlJc w:val="left"/>
      <w:pPr>
        <w:ind w:left="9339" w:hanging="476"/>
      </w:pPr>
      <w:rPr>
        <w:rFonts w:hint="default"/>
      </w:rPr>
    </w:lvl>
    <w:lvl w:ilvl="5">
      <w:start w:val="0"/>
      <w:numFmt w:val="bullet"/>
      <w:lvlText w:val="•"/>
      <w:lvlJc w:val="left"/>
      <w:pPr>
        <w:ind w:left="10759" w:hanging="476"/>
      </w:pPr>
      <w:rPr>
        <w:rFonts w:hint="default"/>
      </w:rPr>
    </w:lvl>
    <w:lvl w:ilvl="6">
      <w:start w:val="0"/>
      <w:numFmt w:val="bullet"/>
      <w:lvlText w:val="•"/>
      <w:lvlJc w:val="left"/>
      <w:pPr>
        <w:ind w:left="12179" w:hanging="476"/>
      </w:pPr>
      <w:rPr>
        <w:rFonts w:hint="default"/>
      </w:rPr>
    </w:lvl>
    <w:lvl w:ilvl="7">
      <w:start w:val="0"/>
      <w:numFmt w:val="bullet"/>
      <w:lvlText w:val="•"/>
      <w:lvlJc w:val="left"/>
      <w:pPr>
        <w:ind w:left="13599" w:hanging="476"/>
      </w:pPr>
      <w:rPr>
        <w:rFonts w:hint="default"/>
      </w:rPr>
    </w:lvl>
    <w:lvl w:ilvl="8">
      <w:start w:val="0"/>
      <w:numFmt w:val="bullet"/>
      <w:lvlText w:val="•"/>
      <w:lvlJc w:val="left"/>
      <w:pPr>
        <w:ind w:left="15019" w:hanging="476"/>
      </w:pPr>
      <w:rPr>
        <w:rFonts w:hint="default"/>
      </w:rPr>
    </w:lvl>
  </w:abstractNum>
  <w:abstractNum w:abstractNumId="32">
    <w:nsid w:val="5AF9C43E"/>
    <w:multiLevelType w:val="hybridMultilevel"/>
    <w:tmpl w:val="00000000"/>
    <w:lvl w:ilvl="0">
      <w:start w:val="3"/>
      <w:numFmt w:val="decimal"/>
      <w:lvlText w:val="（%1）"/>
      <w:lvlJc w:val="left"/>
      <w:pPr>
        <w:ind w:left="3493" w:hanging="793"/>
        <w:jc w:val="left"/>
      </w:pPr>
      <w:rPr>
        <w:rFonts w:ascii="新宋体" w:eastAsia="新宋体" w:hAnsi="新宋体" w:cs="新宋体" w:hint="default"/>
        <w:color w:val="0D0D0D"/>
        <w:spacing w:val="-1"/>
        <w:w w:val="102"/>
        <w:sz w:val="29"/>
        <w:szCs w:val="29"/>
      </w:rPr>
    </w:lvl>
    <w:lvl w:ilvl="1">
      <w:start w:val="1"/>
      <w:numFmt w:val="decimal"/>
      <w:lvlText w:val="（%2）"/>
      <w:lvlJc w:val="left"/>
      <w:pPr>
        <w:ind w:left="3806" w:hanging="790"/>
        <w:jc w:val="left"/>
      </w:pPr>
      <w:rPr>
        <w:rFonts w:ascii="新宋体" w:eastAsia="新宋体" w:hAnsi="新宋体" w:cs="新宋体" w:hint="default"/>
        <w:color w:val="0D0D0D"/>
        <w:spacing w:val="-4"/>
        <w:w w:val="102"/>
        <w:sz w:val="29"/>
        <w:szCs w:val="29"/>
      </w:rPr>
    </w:lvl>
    <w:lvl w:ilvl="2">
      <w:start w:val="0"/>
      <w:numFmt w:val="bullet"/>
      <w:lvlText w:val="•"/>
      <w:lvlJc w:val="left"/>
      <w:pPr>
        <w:ind w:left="5362" w:hanging="790"/>
      </w:pPr>
      <w:rPr>
        <w:rFonts w:hint="default"/>
      </w:rPr>
    </w:lvl>
    <w:lvl w:ilvl="3">
      <w:start w:val="0"/>
      <w:numFmt w:val="bullet"/>
      <w:lvlText w:val="•"/>
      <w:lvlJc w:val="left"/>
      <w:pPr>
        <w:ind w:left="6924" w:hanging="790"/>
      </w:pPr>
      <w:rPr>
        <w:rFonts w:hint="default"/>
      </w:rPr>
    </w:lvl>
    <w:lvl w:ilvl="4">
      <w:start w:val="0"/>
      <w:numFmt w:val="bullet"/>
      <w:lvlText w:val="•"/>
      <w:lvlJc w:val="left"/>
      <w:pPr>
        <w:ind w:left="8486" w:hanging="790"/>
      </w:pPr>
      <w:rPr>
        <w:rFonts w:hint="default"/>
      </w:rPr>
    </w:lvl>
    <w:lvl w:ilvl="5">
      <w:start w:val="0"/>
      <w:numFmt w:val="bullet"/>
      <w:lvlText w:val="•"/>
      <w:lvlJc w:val="left"/>
      <w:pPr>
        <w:ind w:left="10048" w:hanging="790"/>
      </w:pPr>
      <w:rPr>
        <w:rFonts w:hint="default"/>
      </w:rPr>
    </w:lvl>
    <w:lvl w:ilvl="6">
      <w:start w:val="0"/>
      <w:numFmt w:val="bullet"/>
      <w:lvlText w:val="•"/>
      <w:lvlJc w:val="left"/>
      <w:pPr>
        <w:ind w:left="11610" w:hanging="790"/>
      </w:pPr>
      <w:rPr>
        <w:rFonts w:hint="default"/>
      </w:rPr>
    </w:lvl>
    <w:lvl w:ilvl="7">
      <w:start w:val="0"/>
      <w:numFmt w:val="bullet"/>
      <w:lvlText w:val="•"/>
      <w:lvlJc w:val="left"/>
      <w:pPr>
        <w:ind w:left="13173" w:hanging="790"/>
      </w:pPr>
      <w:rPr>
        <w:rFonts w:hint="default"/>
      </w:rPr>
    </w:lvl>
    <w:lvl w:ilvl="8">
      <w:start w:val="0"/>
      <w:numFmt w:val="bullet"/>
      <w:lvlText w:val="•"/>
      <w:lvlJc w:val="left"/>
      <w:pPr>
        <w:ind w:left="14735" w:hanging="790"/>
      </w:pPr>
      <w:rPr>
        <w:rFonts w:hint="default"/>
      </w:rPr>
    </w:lvl>
  </w:abstractNum>
  <w:abstractNum w:abstractNumId="33">
    <w:nsid w:val="65F3C806"/>
    <w:multiLevelType w:val="hybridMultilevel"/>
    <w:tmpl w:val="00000000"/>
    <w:lvl w:ilvl="0">
      <w:start w:val="1"/>
      <w:numFmt w:val="decimal"/>
      <w:lvlText w:val="（%1）"/>
      <w:lvlJc w:val="left"/>
      <w:pPr>
        <w:ind w:left="4277" w:hanging="947"/>
        <w:jc w:val="left"/>
      </w:pPr>
      <w:rPr>
        <w:rFonts w:ascii="新宋体" w:eastAsia="新宋体" w:hAnsi="新宋体" w:cs="新宋体" w:hint="default"/>
        <w:color w:val="0D0D0D"/>
        <w:w w:val="102"/>
        <w:sz w:val="31"/>
        <w:szCs w:val="31"/>
      </w:rPr>
    </w:lvl>
    <w:lvl w:ilvl="1">
      <w:start w:val="0"/>
      <w:numFmt w:val="bullet"/>
      <w:lvlText w:val="•"/>
      <w:lvlJc w:val="left"/>
      <w:pPr>
        <w:ind w:left="5637" w:hanging="947"/>
      </w:pPr>
      <w:rPr>
        <w:rFonts w:hint="default"/>
      </w:rPr>
    </w:lvl>
    <w:lvl w:ilvl="2">
      <w:start w:val="0"/>
      <w:numFmt w:val="bullet"/>
      <w:lvlText w:val="•"/>
      <w:lvlJc w:val="left"/>
      <w:pPr>
        <w:ind w:left="6995" w:hanging="947"/>
      </w:pPr>
      <w:rPr>
        <w:rFonts w:hint="default"/>
      </w:rPr>
    </w:lvl>
    <w:lvl w:ilvl="3">
      <w:start w:val="0"/>
      <w:numFmt w:val="bullet"/>
      <w:lvlText w:val="•"/>
      <w:lvlJc w:val="left"/>
      <w:pPr>
        <w:ind w:left="8353" w:hanging="947"/>
      </w:pPr>
      <w:rPr>
        <w:rFonts w:hint="default"/>
      </w:rPr>
    </w:lvl>
    <w:lvl w:ilvl="4">
      <w:start w:val="0"/>
      <w:numFmt w:val="bullet"/>
      <w:lvlText w:val="•"/>
      <w:lvlJc w:val="left"/>
      <w:pPr>
        <w:ind w:left="9711" w:hanging="947"/>
      </w:pPr>
      <w:rPr>
        <w:rFonts w:hint="default"/>
      </w:rPr>
    </w:lvl>
    <w:lvl w:ilvl="5">
      <w:start w:val="0"/>
      <w:numFmt w:val="bullet"/>
      <w:lvlText w:val="•"/>
      <w:lvlJc w:val="left"/>
      <w:pPr>
        <w:ind w:left="11069" w:hanging="947"/>
      </w:pPr>
      <w:rPr>
        <w:rFonts w:hint="default"/>
      </w:rPr>
    </w:lvl>
    <w:lvl w:ilvl="6">
      <w:start w:val="0"/>
      <w:numFmt w:val="bullet"/>
      <w:lvlText w:val="•"/>
      <w:lvlJc w:val="left"/>
      <w:pPr>
        <w:ind w:left="12427" w:hanging="947"/>
      </w:pPr>
      <w:rPr>
        <w:rFonts w:hint="default"/>
      </w:rPr>
    </w:lvl>
    <w:lvl w:ilvl="7">
      <w:start w:val="0"/>
      <w:numFmt w:val="bullet"/>
      <w:lvlText w:val="•"/>
      <w:lvlJc w:val="left"/>
      <w:pPr>
        <w:ind w:left="13785" w:hanging="947"/>
      </w:pPr>
      <w:rPr>
        <w:rFonts w:hint="default"/>
      </w:rPr>
    </w:lvl>
    <w:lvl w:ilvl="8">
      <w:start w:val="0"/>
      <w:numFmt w:val="bullet"/>
      <w:lvlText w:val="•"/>
      <w:lvlJc w:val="left"/>
      <w:pPr>
        <w:ind w:left="15143" w:hanging="947"/>
      </w:pPr>
      <w:rPr>
        <w:rFonts w:hint="default"/>
      </w:rPr>
    </w:lvl>
  </w:abstractNum>
  <w:abstractNum w:abstractNumId="34">
    <w:nsid w:val="677A4B4E"/>
    <w:multiLevelType w:val="hybridMultilevel"/>
    <w:tmpl w:val="00000000"/>
    <w:lvl w:ilvl="0">
      <w:start w:val="2"/>
      <w:numFmt w:val="decimal"/>
      <w:lvlText w:val="（%1）"/>
      <w:lvlJc w:val="left"/>
      <w:pPr>
        <w:ind w:left="4440" w:hanging="793"/>
        <w:jc w:val="left"/>
      </w:pPr>
      <w:rPr>
        <w:rFonts w:ascii="新宋体" w:eastAsia="新宋体" w:hAnsi="新宋体" w:cs="新宋体" w:hint="default"/>
        <w:color w:val="0D0D0D"/>
        <w:w w:val="102"/>
        <w:sz w:val="29"/>
        <w:szCs w:val="29"/>
      </w:rPr>
    </w:lvl>
    <w:lvl w:ilvl="1">
      <w:start w:val="0"/>
      <w:numFmt w:val="bullet"/>
      <w:lvlText w:val="•"/>
      <w:lvlJc w:val="left"/>
      <w:pPr>
        <w:ind w:left="5781" w:hanging="793"/>
      </w:pPr>
      <w:rPr>
        <w:rFonts w:hint="default"/>
      </w:rPr>
    </w:lvl>
    <w:lvl w:ilvl="2">
      <w:start w:val="0"/>
      <w:numFmt w:val="bullet"/>
      <w:lvlText w:val="•"/>
      <w:lvlJc w:val="left"/>
      <w:pPr>
        <w:ind w:left="7123" w:hanging="793"/>
      </w:pPr>
      <w:rPr>
        <w:rFonts w:hint="default"/>
      </w:rPr>
    </w:lvl>
    <w:lvl w:ilvl="3">
      <w:start w:val="0"/>
      <w:numFmt w:val="bullet"/>
      <w:lvlText w:val="•"/>
      <w:lvlJc w:val="left"/>
      <w:pPr>
        <w:ind w:left="8465" w:hanging="793"/>
      </w:pPr>
      <w:rPr>
        <w:rFonts w:hint="default"/>
      </w:rPr>
    </w:lvl>
    <w:lvl w:ilvl="4">
      <w:start w:val="0"/>
      <w:numFmt w:val="bullet"/>
      <w:lvlText w:val="•"/>
      <w:lvlJc w:val="left"/>
      <w:pPr>
        <w:ind w:left="9807" w:hanging="793"/>
      </w:pPr>
      <w:rPr>
        <w:rFonts w:hint="default"/>
      </w:rPr>
    </w:lvl>
    <w:lvl w:ilvl="5">
      <w:start w:val="0"/>
      <w:numFmt w:val="bullet"/>
      <w:lvlText w:val="•"/>
      <w:lvlJc w:val="left"/>
      <w:pPr>
        <w:ind w:left="11149" w:hanging="793"/>
      </w:pPr>
      <w:rPr>
        <w:rFonts w:hint="default"/>
      </w:rPr>
    </w:lvl>
    <w:lvl w:ilvl="6">
      <w:start w:val="0"/>
      <w:numFmt w:val="bullet"/>
      <w:lvlText w:val="•"/>
      <w:lvlJc w:val="left"/>
      <w:pPr>
        <w:ind w:left="12491" w:hanging="793"/>
      </w:pPr>
      <w:rPr>
        <w:rFonts w:hint="default"/>
      </w:rPr>
    </w:lvl>
    <w:lvl w:ilvl="7">
      <w:start w:val="0"/>
      <w:numFmt w:val="bullet"/>
      <w:lvlText w:val="•"/>
      <w:lvlJc w:val="left"/>
      <w:pPr>
        <w:ind w:left="13833" w:hanging="793"/>
      </w:pPr>
      <w:rPr>
        <w:rFonts w:hint="default"/>
      </w:rPr>
    </w:lvl>
    <w:lvl w:ilvl="8">
      <w:start w:val="0"/>
      <w:numFmt w:val="bullet"/>
      <w:lvlText w:val="•"/>
      <w:lvlJc w:val="left"/>
      <w:pPr>
        <w:ind w:left="15175" w:hanging="793"/>
      </w:pPr>
      <w:rPr>
        <w:rFonts w:hint="default"/>
      </w:rPr>
    </w:lvl>
  </w:abstractNum>
  <w:abstractNum w:abstractNumId="35">
    <w:nsid w:val="6B730A4E"/>
    <w:multiLevelType w:val="hybridMultilevel"/>
    <w:tmpl w:val="00000000"/>
    <w:lvl w:ilvl="0">
      <w:start w:val="1"/>
      <w:numFmt w:val="decimal"/>
      <w:lvlText w:val="（%1）"/>
      <w:lvlJc w:val="left"/>
      <w:pPr>
        <w:ind w:left="3810" w:hanging="793"/>
        <w:jc w:val="left"/>
      </w:pPr>
      <w:rPr>
        <w:rFonts w:ascii="新宋体" w:eastAsia="新宋体" w:hAnsi="新宋体" w:cs="新宋体" w:hint="default"/>
        <w:color w:val="0D0D0D"/>
        <w:w w:val="102"/>
        <w:sz w:val="29"/>
        <w:szCs w:val="29"/>
      </w:rPr>
    </w:lvl>
    <w:lvl w:ilvl="1">
      <w:start w:val="1"/>
      <w:numFmt w:val="decimal"/>
      <w:lvlText w:val="（%2）"/>
      <w:lvlJc w:val="left"/>
      <w:pPr>
        <w:ind w:left="4033" w:hanging="793"/>
        <w:jc w:val="right"/>
      </w:pPr>
      <w:rPr>
        <w:rFonts w:ascii="新宋体" w:eastAsia="新宋体" w:hAnsi="新宋体" w:cs="新宋体" w:hint="default"/>
        <w:color w:val="0D0D0D"/>
        <w:w w:val="102"/>
        <w:sz w:val="29"/>
        <w:szCs w:val="29"/>
      </w:rPr>
    </w:lvl>
    <w:lvl w:ilvl="2">
      <w:start w:val="3"/>
      <w:numFmt w:val="decimal"/>
      <w:lvlText w:val="（%3）"/>
      <w:lvlJc w:val="left"/>
      <w:pPr>
        <w:ind w:left="5696" w:hanging="790"/>
        <w:jc w:val="left"/>
      </w:pPr>
      <w:rPr>
        <w:rFonts w:ascii="新宋体" w:eastAsia="新宋体" w:hAnsi="新宋体" w:cs="新宋体" w:hint="default"/>
        <w:color w:val="0D0D0D"/>
        <w:spacing w:val="-4"/>
        <w:w w:val="102"/>
        <w:sz w:val="29"/>
        <w:szCs w:val="29"/>
      </w:rPr>
    </w:lvl>
    <w:lvl w:ilvl="3">
      <w:start w:val="0"/>
      <w:numFmt w:val="bullet"/>
      <w:lvlText w:val="•"/>
      <w:lvlJc w:val="left"/>
      <w:pPr>
        <w:ind w:left="5700" w:hanging="790"/>
      </w:pPr>
      <w:rPr>
        <w:rFonts w:hint="default"/>
      </w:rPr>
    </w:lvl>
    <w:lvl w:ilvl="4">
      <w:start w:val="0"/>
      <w:numFmt w:val="bullet"/>
      <w:lvlText w:val="•"/>
      <w:lvlJc w:val="left"/>
      <w:pPr>
        <w:ind w:left="7437" w:hanging="790"/>
      </w:pPr>
      <w:rPr>
        <w:rFonts w:hint="default"/>
      </w:rPr>
    </w:lvl>
    <w:lvl w:ilvl="5">
      <w:start w:val="0"/>
      <w:numFmt w:val="bullet"/>
      <w:lvlText w:val="•"/>
      <w:lvlJc w:val="left"/>
      <w:pPr>
        <w:ind w:left="9174" w:hanging="790"/>
      </w:pPr>
      <w:rPr>
        <w:rFonts w:hint="default"/>
      </w:rPr>
    </w:lvl>
    <w:lvl w:ilvl="6">
      <w:start w:val="0"/>
      <w:numFmt w:val="bullet"/>
      <w:lvlText w:val="•"/>
      <w:lvlJc w:val="left"/>
      <w:pPr>
        <w:ind w:left="10911" w:hanging="790"/>
      </w:pPr>
      <w:rPr>
        <w:rFonts w:hint="default"/>
      </w:rPr>
    </w:lvl>
    <w:lvl w:ilvl="7">
      <w:start w:val="0"/>
      <w:numFmt w:val="bullet"/>
      <w:lvlText w:val="•"/>
      <w:lvlJc w:val="left"/>
      <w:pPr>
        <w:ind w:left="12648" w:hanging="790"/>
      </w:pPr>
      <w:rPr>
        <w:rFonts w:hint="default"/>
      </w:rPr>
    </w:lvl>
    <w:lvl w:ilvl="8">
      <w:start w:val="0"/>
      <w:numFmt w:val="bullet"/>
      <w:lvlText w:val="•"/>
      <w:lvlJc w:val="left"/>
      <w:pPr>
        <w:ind w:left="14385" w:hanging="790"/>
      </w:pPr>
      <w:rPr>
        <w:rFonts w:hint="default"/>
      </w:rPr>
    </w:lvl>
  </w:abstractNum>
  <w:abstractNum w:abstractNumId="36">
    <w:nsid w:val="6E339AE9"/>
    <w:multiLevelType w:val="hybridMultilevel"/>
    <w:tmpl w:val="00000000"/>
    <w:lvl w:ilvl="0">
      <w:start w:val="1"/>
      <w:numFmt w:val="decimal"/>
      <w:lvlText w:val="(%1)"/>
      <w:lvlJc w:val="left"/>
      <w:pPr>
        <w:ind w:left="3493" w:hanging="477"/>
        <w:jc w:val="right"/>
      </w:pPr>
      <w:rPr>
        <w:rFonts w:ascii="新宋体" w:eastAsia="新宋体" w:hAnsi="新宋体" w:cs="新宋体" w:hint="default"/>
        <w:color w:val="0D0D0D"/>
        <w:spacing w:val="-4"/>
        <w:w w:val="102"/>
        <w:sz w:val="29"/>
        <w:szCs w:val="29"/>
      </w:rPr>
    </w:lvl>
    <w:lvl w:ilvl="1">
      <w:start w:val="0"/>
      <w:numFmt w:val="bullet"/>
      <w:lvlText w:val="•"/>
      <w:lvlJc w:val="left"/>
      <w:pPr>
        <w:ind w:left="4935" w:hanging="477"/>
      </w:pPr>
      <w:rPr>
        <w:rFonts w:hint="default"/>
      </w:rPr>
    </w:lvl>
    <w:lvl w:ilvl="2">
      <w:start w:val="0"/>
      <w:numFmt w:val="bullet"/>
      <w:lvlText w:val="•"/>
      <w:lvlJc w:val="left"/>
      <w:pPr>
        <w:ind w:left="6371" w:hanging="477"/>
      </w:pPr>
      <w:rPr>
        <w:rFonts w:hint="default"/>
      </w:rPr>
    </w:lvl>
    <w:lvl w:ilvl="3">
      <w:start w:val="0"/>
      <w:numFmt w:val="bullet"/>
      <w:lvlText w:val="•"/>
      <w:lvlJc w:val="left"/>
      <w:pPr>
        <w:ind w:left="7807" w:hanging="477"/>
      </w:pPr>
      <w:rPr>
        <w:rFonts w:hint="default"/>
      </w:rPr>
    </w:lvl>
    <w:lvl w:ilvl="4">
      <w:start w:val="0"/>
      <w:numFmt w:val="bullet"/>
      <w:lvlText w:val="•"/>
      <w:lvlJc w:val="left"/>
      <w:pPr>
        <w:ind w:left="9243" w:hanging="477"/>
      </w:pPr>
      <w:rPr>
        <w:rFonts w:hint="default"/>
      </w:rPr>
    </w:lvl>
    <w:lvl w:ilvl="5">
      <w:start w:val="0"/>
      <w:numFmt w:val="bullet"/>
      <w:lvlText w:val="•"/>
      <w:lvlJc w:val="left"/>
      <w:pPr>
        <w:ind w:left="10679" w:hanging="477"/>
      </w:pPr>
      <w:rPr>
        <w:rFonts w:hint="default"/>
      </w:rPr>
    </w:lvl>
    <w:lvl w:ilvl="6">
      <w:start w:val="0"/>
      <w:numFmt w:val="bullet"/>
      <w:lvlText w:val="•"/>
      <w:lvlJc w:val="left"/>
      <w:pPr>
        <w:ind w:left="12115" w:hanging="477"/>
      </w:pPr>
      <w:rPr>
        <w:rFonts w:hint="default"/>
      </w:rPr>
    </w:lvl>
    <w:lvl w:ilvl="7">
      <w:start w:val="0"/>
      <w:numFmt w:val="bullet"/>
      <w:lvlText w:val="•"/>
      <w:lvlJc w:val="left"/>
      <w:pPr>
        <w:ind w:left="13551" w:hanging="477"/>
      </w:pPr>
      <w:rPr>
        <w:rFonts w:hint="default"/>
      </w:rPr>
    </w:lvl>
    <w:lvl w:ilvl="8">
      <w:start w:val="0"/>
      <w:numFmt w:val="bullet"/>
      <w:lvlText w:val="•"/>
      <w:lvlJc w:val="left"/>
      <w:pPr>
        <w:ind w:left="14987" w:hanging="477"/>
      </w:pPr>
      <w:rPr>
        <w:rFonts w:hint="default"/>
      </w:rPr>
    </w:lvl>
  </w:abstractNum>
  <w:abstractNum w:abstractNumId="37">
    <w:nsid w:val="6FE93BBE"/>
    <w:multiLevelType w:val="hybridMultilevel"/>
    <w:tmpl w:val="00000000"/>
    <w:lvl w:ilvl="0">
      <w:start w:val="1"/>
      <w:numFmt w:val="decimal"/>
      <w:lvlText w:val="（%1）"/>
      <w:lvlJc w:val="left"/>
      <w:pPr>
        <w:ind w:left="2700" w:hanging="790"/>
        <w:jc w:val="left"/>
      </w:pPr>
      <w:rPr>
        <w:rFonts w:ascii="新宋体" w:eastAsia="新宋体" w:hAnsi="新宋体" w:cs="新宋体" w:hint="default"/>
        <w:color w:val="0D0D0D"/>
        <w:spacing w:val="-4"/>
        <w:w w:val="102"/>
        <w:sz w:val="29"/>
        <w:szCs w:val="29"/>
      </w:rPr>
    </w:lvl>
    <w:lvl w:ilvl="1">
      <w:start w:val="0"/>
      <w:numFmt w:val="bullet"/>
      <w:lvlText w:val="•"/>
      <w:lvlJc w:val="left"/>
      <w:pPr>
        <w:ind w:left="4215" w:hanging="790"/>
      </w:pPr>
      <w:rPr>
        <w:rFonts w:hint="default"/>
      </w:rPr>
    </w:lvl>
    <w:lvl w:ilvl="2">
      <w:start w:val="0"/>
      <w:numFmt w:val="bullet"/>
      <w:lvlText w:val="•"/>
      <w:lvlJc w:val="left"/>
      <w:pPr>
        <w:ind w:left="5731" w:hanging="790"/>
      </w:pPr>
      <w:rPr>
        <w:rFonts w:hint="default"/>
      </w:rPr>
    </w:lvl>
    <w:lvl w:ilvl="3">
      <w:start w:val="0"/>
      <w:numFmt w:val="bullet"/>
      <w:lvlText w:val="•"/>
      <w:lvlJc w:val="left"/>
      <w:pPr>
        <w:ind w:left="7247" w:hanging="790"/>
      </w:pPr>
      <w:rPr>
        <w:rFonts w:hint="default"/>
      </w:rPr>
    </w:lvl>
    <w:lvl w:ilvl="4">
      <w:start w:val="0"/>
      <w:numFmt w:val="bullet"/>
      <w:lvlText w:val="•"/>
      <w:lvlJc w:val="left"/>
      <w:pPr>
        <w:ind w:left="8763" w:hanging="790"/>
      </w:pPr>
      <w:rPr>
        <w:rFonts w:hint="default"/>
      </w:rPr>
    </w:lvl>
    <w:lvl w:ilvl="5">
      <w:start w:val="0"/>
      <w:numFmt w:val="bullet"/>
      <w:lvlText w:val="•"/>
      <w:lvlJc w:val="left"/>
      <w:pPr>
        <w:ind w:left="10279" w:hanging="790"/>
      </w:pPr>
      <w:rPr>
        <w:rFonts w:hint="default"/>
      </w:rPr>
    </w:lvl>
    <w:lvl w:ilvl="6">
      <w:start w:val="0"/>
      <w:numFmt w:val="bullet"/>
      <w:lvlText w:val="•"/>
      <w:lvlJc w:val="left"/>
      <w:pPr>
        <w:ind w:left="11795" w:hanging="790"/>
      </w:pPr>
      <w:rPr>
        <w:rFonts w:hint="default"/>
      </w:rPr>
    </w:lvl>
    <w:lvl w:ilvl="7">
      <w:start w:val="0"/>
      <w:numFmt w:val="bullet"/>
      <w:lvlText w:val="•"/>
      <w:lvlJc w:val="left"/>
      <w:pPr>
        <w:ind w:left="13311" w:hanging="790"/>
      </w:pPr>
      <w:rPr>
        <w:rFonts w:hint="default"/>
      </w:rPr>
    </w:lvl>
    <w:lvl w:ilvl="8">
      <w:start w:val="0"/>
      <w:numFmt w:val="bullet"/>
      <w:lvlText w:val="•"/>
      <w:lvlJc w:val="left"/>
      <w:pPr>
        <w:ind w:left="14827" w:hanging="790"/>
      </w:pPr>
      <w:rPr>
        <w:rFonts w:hint="default"/>
      </w:rPr>
    </w:lvl>
  </w:abstractNum>
  <w:abstractNum w:abstractNumId="38">
    <w:nsid w:val="724FC01A"/>
    <w:multiLevelType w:val="hybridMultilevel"/>
    <w:tmpl w:val="00000000"/>
    <w:lvl w:ilvl="0">
      <w:start w:val="2"/>
      <w:numFmt w:val="decimal"/>
      <w:lvlText w:val="（%1）"/>
      <w:lvlJc w:val="left"/>
      <w:pPr>
        <w:ind w:left="4123" w:hanging="793"/>
        <w:jc w:val="left"/>
      </w:pPr>
      <w:rPr>
        <w:rFonts w:ascii="新宋体" w:eastAsia="新宋体" w:hAnsi="新宋体" w:cs="新宋体" w:hint="default"/>
        <w:color w:val="0D0D0D"/>
        <w:w w:val="102"/>
        <w:sz w:val="29"/>
        <w:szCs w:val="29"/>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39">
    <w:nsid w:val="797DA7EC"/>
    <w:multiLevelType w:val="hybridMultilevel"/>
    <w:tmpl w:val="00000000"/>
    <w:lvl w:ilvl="0">
      <w:start w:val="2"/>
      <w:numFmt w:val="decimal"/>
      <w:lvlText w:val="（%1）"/>
      <w:lvlJc w:val="left"/>
      <w:pPr>
        <w:ind w:left="4123" w:hanging="793"/>
        <w:jc w:val="left"/>
      </w:pPr>
      <w:rPr>
        <w:rFonts w:ascii="新宋体" w:eastAsia="新宋体" w:hAnsi="新宋体" w:cs="新宋体" w:hint="default"/>
        <w:color w:val="0D0D0D"/>
        <w:w w:val="102"/>
        <w:sz w:val="29"/>
        <w:szCs w:val="29"/>
      </w:rPr>
    </w:lvl>
    <w:lvl w:ilvl="1">
      <w:start w:val="2"/>
      <w:numFmt w:val="decimal"/>
      <w:lvlText w:val="（%2）"/>
      <w:lvlJc w:val="left"/>
      <w:pPr>
        <w:ind w:left="4440" w:hanging="793"/>
        <w:jc w:val="left"/>
      </w:pPr>
      <w:rPr>
        <w:rFonts w:ascii="新宋体" w:eastAsia="新宋体" w:hAnsi="新宋体" w:cs="新宋体" w:hint="default"/>
        <w:color w:val="0D0D0D"/>
        <w:w w:val="102"/>
        <w:sz w:val="29"/>
        <w:szCs w:val="29"/>
      </w:rPr>
    </w:lvl>
    <w:lvl w:ilvl="2">
      <w:start w:val="0"/>
      <w:numFmt w:val="bullet"/>
      <w:lvlText w:val="•"/>
      <w:lvlJc w:val="left"/>
      <w:pPr>
        <w:ind w:left="5931" w:hanging="793"/>
      </w:pPr>
      <w:rPr>
        <w:rFonts w:hint="default"/>
      </w:rPr>
    </w:lvl>
    <w:lvl w:ilvl="3">
      <w:start w:val="0"/>
      <w:numFmt w:val="bullet"/>
      <w:lvlText w:val="•"/>
      <w:lvlJc w:val="left"/>
      <w:pPr>
        <w:ind w:left="7422" w:hanging="793"/>
      </w:pPr>
      <w:rPr>
        <w:rFonts w:hint="default"/>
      </w:rPr>
    </w:lvl>
    <w:lvl w:ilvl="4">
      <w:start w:val="0"/>
      <w:numFmt w:val="bullet"/>
      <w:lvlText w:val="•"/>
      <w:lvlJc w:val="left"/>
      <w:pPr>
        <w:ind w:left="8913" w:hanging="793"/>
      </w:pPr>
      <w:rPr>
        <w:rFonts w:hint="default"/>
      </w:rPr>
    </w:lvl>
    <w:lvl w:ilvl="5">
      <w:start w:val="0"/>
      <w:numFmt w:val="bullet"/>
      <w:lvlText w:val="•"/>
      <w:lvlJc w:val="left"/>
      <w:pPr>
        <w:ind w:left="10404" w:hanging="793"/>
      </w:pPr>
      <w:rPr>
        <w:rFonts w:hint="default"/>
      </w:rPr>
    </w:lvl>
    <w:lvl w:ilvl="6">
      <w:start w:val="0"/>
      <w:numFmt w:val="bullet"/>
      <w:lvlText w:val="•"/>
      <w:lvlJc w:val="left"/>
      <w:pPr>
        <w:ind w:left="11895" w:hanging="793"/>
      </w:pPr>
      <w:rPr>
        <w:rFonts w:hint="default"/>
      </w:rPr>
    </w:lvl>
    <w:lvl w:ilvl="7">
      <w:start w:val="0"/>
      <w:numFmt w:val="bullet"/>
      <w:lvlText w:val="•"/>
      <w:lvlJc w:val="left"/>
      <w:pPr>
        <w:ind w:left="13386" w:hanging="793"/>
      </w:pPr>
      <w:rPr>
        <w:rFonts w:hint="default"/>
      </w:rPr>
    </w:lvl>
    <w:lvl w:ilvl="8">
      <w:start w:val="0"/>
      <w:numFmt w:val="bullet"/>
      <w:lvlText w:val="•"/>
      <w:lvlJc w:val="left"/>
      <w:pPr>
        <w:ind w:left="14877" w:hanging="793"/>
      </w:pPr>
      <w:rPr>
        <w:rFonts w:hint="default"/>
      </w:rPr>
    </w:lvl>
  </w:abstractNum>
  <w:abstractNum w:abstractNumId="40">
    <w:nsid w:val="7D5B9E85"/>
    <w:multiLevelType w:val="hybridMultilevel"/>
    <w:tmpl w:val="00000000"/>
    <w:lvl w:ilvl="0">
      <w:start w:val="2"/>
      <w:numFmt w:val="decimal"/>
      <w:lvlText w:val="（%1）"/>
      <w:lvlJc w:val="left"/>
      <w:pPr>
        <w:ind w:left="3493" w:hanging="793"/>
        <w:jc w:val="left"/>
      </w:pPr>
      <w:rPr>
        <w:rFonts w:ascii="新宋体" w:eastAsia="新宋体" w:hAnsi="新宋体" w:cs="新宋体" w:hint="default"/>
        <w:color w:val="0D0D0D"/>
        <w:spacing w:val="-1"/>
        <w:w w:val="102"/>
        <w:sz w:val="29"/>
        <w:szCs w:val="29"/>
      </w:rPr>
    </w:lvl>
    <w:lvl w:ilvl="1">
      <w:start w:val="2"/>
      <w:numFmt w:val="decimal"/>
      <w:lvlText w:val="（%2）"/>
      <w:lvlJc w:val="left"/>
      <w:pPr>
        <w:ind w:left="4123" w:hanging="793"/>
        <w:jc w:val="left"/>
      </w:pPr>
      <w:rPr>
        <w:rFonts w:ascii="新宋体" w:eastAsia="新宋体" w:hAnsi="新宋体" w:cs="新宋体" w:hint="default"/>
        <w:color w:val="0D0D0D"/>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num w:numId="1">
    <w:abstractNumId w:val="23"/>
  </w:num>
  <w:num w:numId="2">
    <w:abstractNumId w:val="2"/>
  </w:num>
  <w:num w:numId="3">
    <w:abstractNumId w:val="25"/>
  </w:num>
  <w:num w:numId="4">
    <w:abstractNumId w:val="26"/>
  </w:num>
  <w:num w:numId="5">
    <w:abstractNumId w:val="37"/>
  </w:num>
  <w:num w:numId="6">
    <w:abstractNumId w:val="17"/>
  </w:num>
  <w:num w:numId="7">
    <w:abstractNumId w:val="16"/>
  </w:num>
  <w:num w:numId="8">
    <w:abstractNumId w:val="10"/>
  </w:num>
  <w:num w:numId="9">
    <w:abstractNumId w:val="11"/>
  </w:num>
  <w:num w:numId="10">
    <w:abstractNumId w:val="6"/>
  </w:num>
  <w:num w:numId="11">
    <w:abstractNumId w:val="38"/>
  </w:num>
  <w:num w:numId="12">
    <w:abstractNumId w:val="4"/>
  </w:num>
  <w:num w:numId="13">
    <w:abstractNumId w:val="7"/>
  </w:num>
  <w:num w:numId="14">
    <w:abstractNumId w:val="3"/>
  </w:num>
  <w:num w:numId="15">
    <w:abstractNumId w:val="0"/>
  </w:num>
  <w:num w:numId="16">
    <w:abstractNumId w:val="8"/>
  </w:num>
  <w:num w:numId="17">
    <w:abstractNumId w:val="1"/>
  </w:num>
  <w:num w:numId="18">
    <w:abstractNumId w:val="18"/>
  </w:num>
  <w:num w:numId="19">
    <w:abstractNumId w:val="20"/>
  </w:num>
  <w:num w:numId="20">
    <w:abstractNumId w:val="32"/>
  </w:num>
  <w:num w:numId="21">
    <w:abstractNumId w:val="5"/>
  </w:num>
  <w:num w:numId="22">
    <w:abstractNumId w:val="40"/>
  </w:num>
  <w:num w:numId="23">
    <w:abstractNumId w:val="29"/>
  </w:num>
  <w:num w:numId="24">
    <w:abstractNumId w:val="33"/>
  </w:num>
  <w:num w:numId="25">
    <w:abstractNumId w:val="13"/>
  </w:num>
  <w:num w:numId="26">
    <w:abstractNumId w:val="24"/>
  </w:num>
  <w:num w:numId="27">
    <w:abstractNumId w:val="21"/>
  </w:num>
  <w:num w:numId="28">
    <w:abstractNumId w:val="19"/>
  </w:num>
  <w:num w:numId="29">
    <w:abstractNumId w:val="30"/>
  </w:num>
  <w:num w:numId="30">
    <w:abstractNumId w:val="12"/>
  </w:num>
  <w:num w:numId="31">
    <w:abstractNumId w:val="31"/>
  </w:num>
  <w:num w:numId="32">
    <w:abstractNumId w:val="9"/>
  </w:num>
  <w:num w:numId="33">
    <w:abstractNumId w:val="28"/>
  </w:num>
  <w:num w:numId="34">
    <w:abstractNumId w:val="35"/>
  </w:num>
  <w:num w:numId="35">
    <w:abstractNumId w:val="34"/>
  </w:num>
  <w:num w:numId="36">
    <w:abstractNumId w:val="15"/>
  </w:num>
  <w:num w:numId="37">
    <w:abstractNumId w:val="22"/>
  </w:num>
  <w:num w:numId="38">
    <w:abstractNumId w:val="36"/>
  </w:num>
  <w:num w:numId="39">
    <w:abstractNumId w:val="39"/>
  </w:num>
  <w:num w:numId="40">
    <w:abstractNumId w:val="14"/>
  </w:num>
  <w:num w:numId="4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spacing w:before="31"/>
      <w:ind w:left="720"/>
      <w:outlineLvl w:val="0"/>
    </w:pPr>
    <w:rPr>
      <w:rFonts w:ascii="新宋体" w:eastAsia="新宋体" w:hAnsi="新宋体" w:cs="新宋体"/>
      <w:b/>
      <w:bCs/>
      <w:sz w:val="48"/>
      <w:szCs w:val="48"/>
    </w:rPr>
  </w:style>
  <w:style w:type="paragraph" w:styleId="Heading2">
    <w:name w:val="heading 2"/>
    <w:basedOn w:val="Normal"/>
    <w:uiPriority w:val="1"/>
    <w:qFormat/>
    <w:pPr>
      <w:ind w:left="2700"/>
      <w:outlineLvl w:val="1"/>
    </w:pPr>
    <w:rPr>
      <w:rFonts w:ascii="新宋体" w:eastAsia="新宋体" w:hAnsi="新宋体" w:cs="新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700"/>
    </w:pPr>
    <w:rPr>
      <w:rFonts w:ascii="新宋体" w:eastAsia="新宋体" w:hAnsi="新宋体" w:cs="新宋体"/>
      <w:sz w:val="31"/>
      <w:szCs w:val="31"/>
    </w:rPr>
  </w:style>
  <w:style w:type="paragraph" w:styleId="ListParagraph">
    <w:name w:val="List Paragraph"/>
    <w:basedOn w:val="Normal"/>
    <w:uiPriority w:val="1"/>
    <w:qFormat/>
    <w:pPr>
      <w:spacing w:before="10"/>
      <w:ind w:left="2700" w:hanging="794"/>
    </w:pPr>
    <w:rPr>
      <w:rFonts w:ascii="新宋体" w:eastAsia="新宋体" w:hAnsi="新宋体" w:cs="新宋体"/>
    </w:rPr>
  </w:style>
  <w:style w:type="paragraph" w:customStyle="1" w:styleId="TableParagraph">
    <w:name w:val="Table Paragraph"/>
    <w:basedOn w:val="Normal"/>
    <w:uiPriority w:val="1"/>
    <w:qFormat/>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39.xml" /><Relationship Id="rId101" Type="http://schemas.openxmlformats.org/officeDocument/2006/relationships/image" Target="media/image20.png" /><Relationship Id="rId102" Type="http://schemas.openxmlformats.org/officeDocument/2006/relationships/header" Target="header40.xml" /><Relationship Id="rId103" Type="http://schemas.openxmlformats.org/officeDocument/2006/relationships/footer" Target="footer40.xml" /><Relationship Id="rId104" Type="http://schemas.openxmlformats.org/officeDocument/2006/relationships/image" Target="media/image21.png" /><Relationship Id="rId105" Type="http://schemas.openxmlformats.org/officeDocument/2006/relationships/header" Target="header41.xml" /><Relationship Id="rId106" Type="http://schemas.openxmlformats.org/officeDocument/2006/relationships/footer" Target="footer41.xml" /><Relationship Id="rId107" Type="http://schemas.openxmlformats.org/officeDocument/2006/relationships/image" Target="media/image22.png" /><Relationship Id="rId108" Type="http://schemas.openxmlformats.org/officeDocument/2006/relationships/image" Target="media/image23.png" /><Relationship Id="rId109" Type="http://schemas.openxmlformats.org/officeDocument/2006/relationships/header" Target="header42.xml" /><Relationship Id="rId11" Type="http://schemas.openxmlformats.org/officeDocument/2006/relationships/footer" Target="footer4.xml" /><Relationship Id="rId110" Type="http://schemas.openxmlformats.org/officeDocument/2006/relationships/footer" Target="footer42.xml" /><Relationship Id="rId111" Type="http://schemas.openxmlformats.org/officeDocument/2006/relationships/header" Target="header43.xml" /><Relationship Id="rId112" Type="http://schemas.openxmlformats.org/officeDocument/2006/relationships/footer" Target="footer43.xml" /><Relationship Id="rId113" Type="http://schemas.openxmlformats.org/officeDocument/2006/relationships/image" Target="media/image24.png" /><Relationship Id="rId114" Type="http://schemas.openxmlformats.org/officeDocument/2006/relationships/image" Target="media/image25.png" /><Relationship Id="rId115" Type="http://schemas.openxmlformats.org/officeDocument/2006/relationships/header" Target="header44.xml" /><Relationship Id="rId116" Type="http://schemas.openxmlformats.org/officeDocument/2006/relationships/footer" Target="footer44.xml" /><Relationship Id="rId117" Type="http://schemas.openxmlformats.org/officeDocument/2006/relationships/image" Target="media/image26.png" /><Relationship Id="rId118" Type="http://schemas.openxmlformats.org/officeDocument/2006/relationships/image" Target="media/image27.png" /><Relationship Id="rId119" Type="http://schemas.openxmlformats.org/officeDocument/2006/relationships/header" Target="header45.xml" /><Relationship Id="rId12" Type="http://schemas.openxmlformats.org/officeDocument/2006/relationships/header" Target="header5.xml" /><Relationship Id="rId120" Type="http://schemas.openxmlformats.org/officeDocument/2006/relationships/footer" Target="footer45.xml" /><Relationship Id="rId121" Type="http://schemas.openxmlformats.org/officeDocument/2006/relationships/image" Target="media/image28.png" /><Relationship Id="rId122" Type="http://schemas.openxmlformats.org/officeDocument/2006/relationships/image" Target="media/image29.png" /><Relationship Id="rId123" Type="http://schemas.openxmlformats.org/officeDocument/2006/relationships/header" Target="header46.xml" /><Relationship Id="rId124" Type="http://schemas.openxmlformats.org/officeDocument/2006/relationships/footer" Target="footer46.xml" /><Relationship Id="rId125" Type="http://schemas.openxmlformats.org/officeDocument/2006/relationships/header" Target="header47.xml" /><Relationship Id="rId126" Type="http://schemas.openxmlformats.org/officeDocument/2006/relationships/footer" Target="footer47.xml" /><Relationship Id="rId127" Type="http://schemas.openxmlformats.org/officeDocument/2006/relationships/header" Target="header48.xml" /><Relationship Id="rId128" Type="http://schemas.openxmlformats.org/officeDocument/2006/relationships/footer" Target="footer48.xml" /><Relationship Id="rId129" Type="http://schemas.openxmlformats.org/officeDocument/2006/relationships/header" Target="header49.xml" /><Relationship Id="rId13" Type="http://schemas.openxmlformats.org/officeDocument/2006/relationships/footer" Target="footer5.xml" /><Relationship Id="rId130" Type="http://schemas.openxmlformats.org/officeDocument/2006/relationships/footer" Target="footer49.xml" /><Relationship Id="rId131" Type="http://schemas.openxmlformats.org/officeDocument/2006/relationships/hyperlink" Target="https://d.book118.com/266135042012010031" TargetMode="External" /><Relationship Id="rId132" Type="http://schemas.openxmlformats.org/officeDocument/2006/relationships/header" Target="header50.xml" /><Relationship Id="rId133" Type="http://schemas.openxmlformats.org/officeDocument/2006/relationships/footer" Target="footer50.xml" /><Relationship Id="rId134" Type="http://schemas.openxmlformats.org/officeDocument/2006/relationships/theme" Target="theme/theme1.xml" /><Relationship Id="rId135" Type="http://schemas.openxmlformats.org/officeDocument/2006/relationships/numbering" Target="numbering.xml" /><Relationship Id="rId136"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image" Target="media/image1.png"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2.png"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image" Target="media/image3.png" /><Relationship Id="rId29" Type="http://schemas.openxmlformats.org/officeDocument/2006/relationships/image" Target="media/image4.png"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image" Target="media/image5.png"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image" Target="media/image6.png" /><Relationship Id="rId36" Type="http://schemas.openxmlformats.org/officeDocument/2006/relationships/image" Target="media/image7.png" /><Relationship Id="rId37" Type="http://schemas.openxmlformats.org/officeDocument/2006/relationships/header" Target="header14.xml" /><Relationship Id="rId38" Type="http://schemas.openxmlformats.org/officeDocument/2006/relationships/footer" Target="footer14.xml" /><Relationship Id="rId39" Type="http://schemas.openxmlformats.org/officeDocument/2006/relationships/image" Target="media/image8.png" /><Relationship Id="rId4" Type="http://schemas.openxmlformats.org/officeDocument/2006/relationships/header" Target="header1.xml" /><Relationship Id="rId40" Type="http://schemas.openxmlformats.org/officeDocument/2006/relationships/image" Target="media/image9.png"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header" Target="header16.xml" /><Relationship Id="rId44" Type="http://schemas.openxmlformats.org/officeDocument/2006/relationships/footer" Target="footer16.xml" /><Relationship Id="rId45" Type="http://schemas.openxmlformats.org/officeDocument/2006/relationships/header" Target="header17.xml" /><Relationship Id="rId46" Type="http://schemas.openxmlformats.org/officeDocument/2006/relationships/footer" Target="footer17.xml" /><Relationship Id="rId47" Type="http://schemas.openxmlformats.org/officeDocument/2006/relationships/header" Target="header18.xml" /><Relationship Id="rId48" Type="http://schemas.openxmlformats.org/officeDocument/2006/relationships/footer" Target="footer18.xml" /><Relationship Id="rId49" Type="http://schemas.openxmlformats.org/officeDocument/2006/relationships/header" Target="header19.xml" /><Relationship Id="rId5" Type="http://schemas.openxmlformats.org/officeDocument/2006/relationships/footer" Target="footer1.xml" /><Relationship Id="rId50" Type="http://schemas.openxmlformats.org/officeDocument/2006/relationships/footer" Target="footer19.xml" /><Relationship Id="rId51" Type="http://schemas.openxmlformats.org/officeDocument/2006/relationships/header" Target="header20.xml" /><Relationship Id="rId52" Type="http://schemas.openxmlformats.org/officeDocument/2006/relationships/footer" Target="footer20.xml" /><Relationship Id="rId53" Type="http://schemas.openxmlformats.org/officeDocument/2006/relationships/image" Target="media/image10.png" /><Relationship Id="rId54" Type="http://schemas.openxmlformats.org/officeDocument/2006/relationships/header" Target="header21.xml" /><Relationship Id="rId55" Type="http://schemas.openxmlformats.org/officeDocument/2006/relationships/footer" Target="footer21.xml" /><Relationship Id="rId56" Type="http://schemas.openxmlformats.org/officeDocument/2006/relationships/image" Target="media/image11.png" /><Relationship Id="rId57" Type="http://schemas.openxmlformats.org/officeDocument/2006/relationships/header" Target="header22.xml" /><Relationship Id="rId58" Type="http://schemas.openxmlformats.org/officeDocument/2006/relationships/footer" Target="footer22.xml" /><Relationship Id="rId59" Type="http://schemas.openxmlformats.org/officeDocument/2006/relationships/header" Target="header23.xml" /><Relationship Id="rId6" Type="http://schemas.openxmlformats.org/officeDocument/2006/relationships/header" Target="header2.xml" /><Relationship Id="rId60" Type="http://schemas.openxmlformats.org/officeDocument/2006/relationships/footer" Target="footer23.xml" /><Relationship Id="rId61" Type="http://schemas.openxmlformats.org/officeDocument/2006/relationships/image" Target="media/image12.png" /><Relationship Id="rId62" Type="http://schemas.openxmlformats.org/officeDocument/2006/relationships/header" Target="header24.xml" /><Relationship Id="rId63" Type="http://schemas.openxmlformats.org/officeDocument/2006/relationships/footer" Target="footer24.xml" /><Relationship Id="rId64" Type="http://schemas.openxmlformats.org/officeDocument/2006/relationships/image" Target="media/image13.png" /><Relationship Id="rId65" Type="http://schemas.openxmlformats.org/officeDocument/2006/relationships/image" Target="media/image14.png" /><Relationship Id="rId66" Type="http://schemas.openxmlformats.org/officeDocument/2006/relationships/image" Target="media/image15.png" /><Relationship Id="rId67" Type="http://schemas.openxmlformats.org/officeDocument/2006/relationships/header" Target="header25.xml" /><Relationship Id="rId68" Type="http://schemas.openxmlformats.org/officeDocument/2006/relationships/footer" Target="footer25.xml" /><Relationship Id="rId69" Type="http://schemas.openxmlformats.org/officeDocument/2006/relationships/image" Target="media/image16.png" /><Relationship Id="rId7" Type="http://schemas.openxmlformats.org/officeDocument/2006/relationships/footer" Target="footer2.xml" /><Relationship Id="rId70" Type="http://schemas.openxmlformats.org/officeDocument/2006/relationships/header" Target="header26.xml" /><Relationship Id="rId71" Type="http://schemas.openxmlformats.org/officeDocument/2006/relationships/footer" Target="footer26.xml" /><Relationship Id="rId72" Type="http://schemas.openxmlformats.org/officeDocument/2006/relationships/header" Target="header27.xml" /><Relationship Id="rId73" Type="http://schemas.openxmlformats.org/officeDocument/2006/relationships/footer" Target="footer27.xml" /><Relationship Id="rId74" Type="http://schemas.openxmlformats.org/officeDocument/2006/relationships/header" Target="header28.xml" /><Relationship Id="rId75" Type="http://schemas.openxmlformats.org/officeDocument/2006/relationships/footer" Target="footer28.xml" /><Relationship Id="rId76" Type="http://schemas.openxmlformats.org/officeDocument/2006/relationships/image" Target="media/image17.png" /><Relationship Id="rId77" Type="http://schemas.openxmlformats.org/officeDocument/2006/relationships/header" Target="header29.xml" /><Relationship Id="rId78" Type="http://schemas.openxmlformats.org/officeDocument/2006/relationships/footer" Target="footer29.xml" /><Relationship Id="rId79" Type="http://schemas.openxmlformats.org/officeDocument/2006/relationships/header" Target="header30.xml" /><Relationship Id="rId8" Type="http://schemas.openxmlformats.org/officeDocument/2006/relationships/header" Target="header3.xml" /><Relationship Id="rId80" Type="http://schemas.openxmlformats.org/officeDocument/2006/relationships/footer" Target="footer30.xml" /><Relationship Id="rId81" Type="http://schemas.openxmlformats.org/officeDocument/2006/relationships/header" Target="header31.xml" /><Relationship Id="rId82" Type="http://schemas.openxmlformats.org/officeDocument/2006/relationships/footer" Target="footer31.xml" /><Relationship Id="rId83" Type="http://schemas.openxmlformats.org/officeDocument/2006/relationships/image" Target="media/image18.png" /><Relationship Id="rId84" Type="http://schemas.openxmlformats.org/officeDocument/2006/relationships/header" Target="header32.xml" /><Relationship Id="rId85" Type="http://schemas.openxmlformats.org/officeDocument/2006/relationships/footer" Target="footer32.xml" /><Relationship Id="rId86" Type="http://schemas.openxmlformats.org/officeDocument/2006/relationships/header" Target="header33.xml" /><Relationship Id="rId87" Type="http://schemas.openxmlformats.org/officeDocument/2006/relationships/footer" Target="footer33.xml" /><Relationship Id="rId88" Type="http://schemas.openxmlformats.org/officeDocument/2006/relationships/header" Target="header34.xml" /><Relationship Id="rId89" Type="http://schemas.openxmlformats.org/officeDocument/2006/relationships/footer" Target="footer34.xml" /><Relationship Id="rId9" Type="http://schemas.openxmlformats.org/officeDocument/2006/relationships/footer" Target="footer3.xml" /><Relationship Id="rId90" Type="http://schemas.openxmlformats.org/officeDocument/2006/relationships/header" Target="header35.xml" /><Relationship Id="rId91" Type="http://schemas.openxmlformats.org/officeDocument/2006/relationships/footer" Target="footer35.xml" /><Relationship Id="rId92" Type="http://schemas.openxmlformats.org/officeDocument/2006/relationships/header" Target="header36.xml" /><Relationship Id="rId93" Type="http://schemas.openxmlformats.org/officeDocument/2006/relationships/footer" Target="footer36.xml" /><Relationship Id="rId94" Type="http://schemas.openxmlformats.org/officeDocument/2006/relationships/image" Target="media/image19.png" /><Relationship Id="rId95" Type="http://schemas.openxmlformats.org/officeDocument/2006/relationships/header" Target="header37.xml" /><Relationship Id="rId96" Type="http://schemas.openxmlformats.org/officeDocument/2006/relationships/footer" Target="footer37.xml" /><Relationship Id="rId97" Type="http://schemas.openxmlformats.org/officeDocument/2006/relationships/header" Target="header38.xml" /><Relationship Id="rId98" Type="http://schemas.openxmlformats.org/officeDocument/2006/relationships/footer" Target="footer38.xml" /><Relationship Id="rId99" Type="http://schemas.openxmlformats.org/officeDocument/2006/relationships/header" Target="header39.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2023-12-20T07:41:53Z</dcterms:created>
  <dcterms:modified xsi:type="dcterms:W3CDTF">2023-12-20T07:41:53Z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2022-10-15T00:00:00Z</vt:filetime>
  </property>
  <property fmtid="{D5CDD505-2E9C-101B-9397-08002B2CF9AE}" pid="3" name="LastSaved">
    <vt:filetime>2023-12-20T00:00:00Z</vt:filetime>
  </property>
</Properties>
</file>