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LNG工艺包及装置项目创业投资方案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一、LNG工艺包及装置知识产权管理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三、LNG工艺包及装置项目概论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(一)、LNG工艺包及装置项目申报单位概况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(二)、LNG工艺包及装置项目概况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四、职业安全与劳动卫生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五、LNG工艺包及装置行业企业业务流程管理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七、LNG工艺包及装置技术创新的分类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(一)、LNG工艺包及装置技术创新的分类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八、公司治理结构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九、LNG工艺包及装置整合营销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十、环境保护措施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十一、渠道扁平化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十二、LNG工艺包及装置项目承办单位基本情况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十三、LNG工艺包及装置行业市场营销总体思路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3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_Toc14033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eastAsia="zh-CN"/>
          </w:rPr>
          <w:t>十四、财务计划与预算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十五、产品或服务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十六、未来展望与增长策略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十九、制度建设与员工手册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二十、营销与推广策略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5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34"/>
      <w:r>
        <w:rPr>
          <w:rFonts w:ascii="仿宋" w:eastAsia="仿宋" w:hAnsi="仿宋" w:cs="仿宋" w:hint="eastAsia"/>
          <w:sz w:val="28"/>
          <w:lang w:eastAsia="zh-CN"/>
        </w:rPr>
        <w:t>一、LNG工艺包及装置知识产权管理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38"/>
      <w:r>
        <w:rPr>
          <w:rFonts w:ascii="仿宋" w:eastAsia="仿宋" w:hAnsi="仿宋" w:cs="仿宋" w:hint="eastAsia"/>
          <w:lang w:eastAsia="zh-CN"/>
        </w:rPr>
        <w:t>(一)、知识产权管理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LNG工艺包及装置知识产权的主要类型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包括工业产权和著作权两大类别。工业产权的具体形式有专利、商标、地理标志、工业设计、集成电路布图设计和未披露信息等。而著作权涵盖文学、艺术和科学作品的权益。《知识产权协定》对这些类型进行了详细规定，并强调了反竞争行为的禁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世界知识产权组织的界定如下：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1.涉及文学、艺术和科学作品的权益；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2.与表演艺术家及其表演、唱片和广播节目有关的权益；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3.涉及各个领域的发明创造的权益；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4.涉及科学发现的权益；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5.涉及工业产品外观设计的权益；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https://d.book118.com/266225243240010053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4EA"/>
    <w:rsid w:val="001844E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2252432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2024-02-23T19:58:00Z</dcterms:created>
  <dcterms:modified xsi:type="dcterms:W3CDTF">2024-02-23T19:58:31Z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79AD25024E8A4AA98B1BF4D09239581E_11</vt:lpwstr>
  </property>
  <property fmtid="{D5CDD505-2E9C-101B-9397-08002B2CF9AE}" pid="3" name="KSOProductBuildVer">
    <vt:lpwstr>2052-12.1.0.16250</vt:lpwstr>
  </property>
</Properties>
</file>