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
        <w:spacing w:line="1309" w:lineRule="exact"/>
      </w:pPr>
      <w:r>
        <w:t>**公司</w:t>
      </w:r>
    </w:p>
    <w:p>
      <w:pPr>
        <w:pStyle w:val="Title"/>
        <w:spacing w:before="902"/>
        <w:ind w:left="3825"/>
      </w:pPr>
      <w:r>
        <w:t>污水厂节能改造方案</w:t>
      </w:r>
    </w:p>
    <w:p>
      <w:pPr>
        <w:pStyle w:val="BodyText"/>
        <w:ind w:left="0"/>
        <w:rPr>
          <w:rFonts w:ascii="微软雅黑"/>
          <w:sz w:val="20"/>
        </w:rPr>
      </w:pPr>
    </w:p>
    <w:p>
      <w:pPr>
        <w:pStyle w:val="BodyText"/>
        <w:ind w:left="0"/>
        <w:rPr>
          <w:rFonts w:ascii="微软雅黑"/>
          <w:sz w:val="20"/>
        </w:rPr>
      </w:pPr>
    </w:p>
    <w:p>
      <w:pPr>
        <w:pStyle w:val="BodyText"/>
        <w:spacing w:before="12"/>
        <w:ind w:left="0"/>
        <w:rPr>
          <w:rFonts w:ascii="微软雅黑"/>
          <w:sz w:val="10"/>
        </w:rPr>
      </w:pPr>
      <w:r>
        <w:pict>
          <v:group id="_x0000_s1025" style="width:701pt;height:199pt;margin-top:11.81pt;margin-left:102pt;mso-position-horizontal-relative:page;mso-wrap-distance-left:0;mso-wrap-distance-right:0;position:absolute;z-index:-251658240" coordorigin="2040,236" coordsize="14020,3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4020;height:3980;left:2040;position:absolute;top:236" stroked="f">
              <v:imagedata r:id="rId4" o:title=""/>
            </v:shape>
            <v:shapetype id="_x0000_t202" coordsize="21600,21600" o:spt="202" path="m,l,21600r21600,l21600,xe">
              <v:stroke joinstyle="miter"/>
              <v:path gradientshapeok="t" o:connecttype="rect"/>
            </v:shapetype>
            <v:shape id="_x0000_s1027" type="#_x0000_t202" style="width:158;height:3665;left:2085;position:absolute;top:521" filled="f" stroked="f">
              <v:textbox inset="0,0,0,0">
                <w:txbxContent>
                  <w:p>
                    <w:pPr>
                      <w:spacing w:before="0" w:line="366" w:lineRule="exact"/>
                      <w:ind w:left="0" w:right="0" w:firstLine="0"/>
                      <w:jc w:val="left"/>
                      <w:rPr>
                        <w:rFonts w:ascii="Symbol" w:hAnsi="Symbol"/>
                        <w:sz w:val="30"/>
                      </w:rPr>
                    </w:pPr>
                    <w:r>
                      <w:rPr>
                        <w:rFonts w:ascii="Symbol" w:hAnsi="Symbol"/>
                        <w:color w:val="535353"/>
                        <w:w w:val="99"/>
                        <w:sz w:val="30"/>
                      </w:rPr>
                      <w:sym w:font="Symbol" w:char="F0B7"/>
                    </w:r>
                  </w:p>
                  <w:p>
                    <w:pPr>
                      <w:spacing w:before="291"/>
                      <w:ind w:left="0" w:right="0" w:firstLine="0"/>
                      <w:jc w:val="left"/>
                      <w:rPr>
                        <w:rFonts w:ascii="Symbol" w:hAnsi="Symbol"/>
                        <w:sz w:val="30"/>
                      </w:rPr>
                    </w:pPr>
                    <w:r>
                      <w:rPr>
                        <w:rFonts w:ascii="Symbol" w:hAnsi="Symbol"/>
                        <w:color w:val="535353"/>
                        <w:w w:val="99"/>
                        <w:sz w:val="30"/>
                      </w:rPr>
                      <w:sym w:font="Symbol" w:char="F0B7"/>
                    </w:r>
                  </w:p>
                  <w:p>
                    <w:pPr>
                      <w:spacing w:before="292"/>
                      <w:ind w:left="0" w:right="0" w:firstLine="0"/>
                      <w:jc w:val="left"/>
                      <w:rPr>
                        <w:rFonts w:ascii="Symbol" w:hAnsi="Symbol"/>
                        <w:sz w:val="30"/>
                      </w:rPr>
                    </w:pPr>
                    <w:r>
                      <w:rPr>
                        <w:rFonts w:ascii="Symbol" w:hAnsi="Symbol"/>
                        <w:color w:val="535353"/>
                        <w:w w:val="99"/>
                        <w:sz w:val="30"/>
                      </w:rPr>
                      <w:sym w:font="Symbol" w:char="F0B7"/>
                    </w:r>
                  </w:p>
                  <w:p>
                    <w:pPr>
                      <w:spacing w:before="295"/>
                      <w:ind w:left="0" w:right="0" w:firstLine="0"/>
                      <w:jc w:val="left"/>
                      <w:rPr>
                        <w:rFonts w:ascii="Symbol" w:hAnsi="Symbol"/>
                        <w:sz w:val="30"/>
                      </w:rPr>
                    </w:pPr>
                    <w:r>
                      <w:rPr>
                        <w:rFonts w:ascii="Symbol" w:hAnsi="Symbol"/>
                        <w:color w:val="535353"/>
                        <w:w w:val="99"/>
                        <w:sz w:val="30"/>
                      </w:rPr>
                      <w:sym w:font="Symbol" w:char="F0B7"/>
                    </w:r>
                  </w:p>
                  <w:p>
                    <w:pPr>
                      <w:spacing w:before="291"/>
                      <w:ind w:left="0" w:right="0" w:firstLine="0"/>
                      <w:jc w:val="left"/>
                      <w:rPr>
                        <w:rFonts w:ascii="Symbol" w:hAnsi="Symbol"/>
                        <w:sz w:val="30"/>
                      </w:rPr>
                    </w:pPr>
                    <w:r>
                      <w:rPr>
                        <w:rFonts w:ascii="Symbol" w:hAnsi="Symbol"/>
                        <w:color w:val="535353"/>
                        <w:w w:val="99"/>
                        <w:sz w:val="30"/>
                      </w:rPr>
                      <w:sym w:font="Symbol" w:char="F0B7"/>
                    </w:r>
                  </w:p>
                  <w:p>
                    <w:pPr>
                      <w:spacing w:before="291" w:line="367" w:lineRule="exact"/>
                      <w:ind w:left="0" w:right="0" w:firstLine="0"/>
                      <w:jc w:val="left"/>
                      <w:rPr>
                        <w:rFonts w:ascii="Symbol" w:hAnsi="Symbol"/>
                        <w:sz w:val="30"/>
                      </w:rPr>
                    </w:pPr>
                    <w:r>
                      <w:rPr>
                        <w:rFonts w:ascii="Symbol" w:hAnsi="Symbol"/>
                        <w:color w:val="535353"/>
                        <w:w w:val="99"/>
                        <w:sz w:val="30"/>
                      </w:rPr>
                      <w:sym w:font="Symbol" w:char="F0B7"/>
                    </w:r>
                  </w:p>
                </w:txbxContent>
              </v:textbox>
            </v:shape>
            <v:shape id="_x0000_s1028" type="#_x0000_t202" style="width:2234;height:3196;left:2952;position:absolute;top:270" filled="f" stroked="f">
              <v:textbox inset="0,0,0,0">
                <w:txbxContent>
                  <w:p>
                    <w:pPr>
                      <w:spacing w:before="0" w:line="608" w:lineRule="exact"/>
                      <w:ind w:left="0" w:right="0" w:firstLine="0"/>
                      <w:jc w:val="left"/>
                      <w:rPr>
                        <w:rFonts w:ascii="微软雅黑" w:eastAsia="微软雅黑" w:hint="eastAsia"/>
                        <w:sz w:val="42"/>
                      </w:rPr>
                    </w:pPr>
                    <w:r>
                      <w:rPr>
                        <w:rFonts w:ascii="微软雅黑" w:eastAsia="微软雅黑" w:hint="eastAsia"/>
                        <w:color w:val="535353"/>
                        <w:sz w:val="42"/>
                      </w:rPr>
                      <w:t>**公司</w:t>
                    </w:r>
                  </w:p>
                  <w:p>
                    <w:pPr>
                      <w:spacing w:before="0" w:line="659" w:lineRule="exact"/>
                      <w:ind w:left="0" w:right="0" w:firstLine="0"/>
                      <w:jc w:val="left"/>
                      <w:rPr>
                        <w:rFonts w:ascii="微软雅黑" w:eastAsia="微软雅黑" w:hint="eastAsia"/>
                        <w:sz w:val="42"/>
                      </w:rPr>
                    </w:pPr>
                    <w:r>
                      <w:rPr>
                        <w:rFonts w:ascii="微软雅黑" w:eastAsia="微软雅黑" w:hint="eastAsia"/>
                        <w:color w:val="535353"/>
                        <w:sz w:val="42"/>
                      </w:rPr>
                      <w:t>地址：</w:t>
                    </w:r>
                  </w:p>
                  <w:p>
                    <w:pPr>
                      <w:spacing w:before="20" w:line="206" w:lineRule="auto"/>
                      <w:ind w:left="0" w:right="125" w:firstLine="0"/>
                      <w:jc w:val="left"/>
                      <w:rPr>
                        <w:rFonts w:ascii="微软雅黑" w:eastAsia="微软雅黑" w:hint="eastAsia"/>
                        <w:sz w:val="42"/>
                      </w:rPr>
                    </w:pPr>
                    <w:r>
                      <w:rPr>
                        <w:rFonts w:ascii="微软雅黑" w:eastAsia="微软雅黑" w:hint="eastAsia"/>
                        <w:color w:val="535353"/>
                        <w:spacing w:val="-4"/>
                        <w:sz w:val="42"/>
                      </w:rPr>
                      <w:t>联系电话： 服务电话：</w:t>
                    </w:r>
                  </w:p>
                  <w:p>
                    <w:pPr>
                      <w:tabs>
                        <w:tab w:val="left" w:pos="629"/>
                        <w:tab w:val="left" w:pos="1371"/>
                      </w:tabs>
                      <w:spacing w:before="0" w:line="577" w:lineRule="exact"/>
                      <w:ind w:left="0" w:right="0" w:firstLine="0"/>
                      <w:jc w:val="left"/>
                      <w:rPr>
                        <w:rFonts w:ascii="微软雅黑" w:eastAsia="微软雅黑" w:hint="eastAsia"/>
                        <w:sz w:val="42"/>
                      </w:rPr>
                    </w:pPr>
                    <w:r>
                      <w:rPr>
                        <w:rFonts w:ascii="微软雅黑" w:eastAsia="微软雅黑" w:hint="eastAsia"/>
                        <w:color w:val="535353"/>
                        <w:sz w:val="42"/>
                      </w:rPr>
                      <w:t>传</w:t>
                      <w:tab/>
                      <w:t>?</w:t>
                    </w:r>
                    <w:r>
                      <w:rPr>
                        <w:rFonts w:ascii="微软雅黑" w:eastAsia="微软雅黑" w:hint="eastAsia"/>
                        <w:color w:val="535353"/>
                        <w:spacing w:val="-1"/>
                        <w:sz w:val="42"/>
                      </w:rPr>
                      <w:t xml:space="preserve"> </w:t>
                    </w:r>
                    <w:r>
                      <w:rPr>
                        <w:rFonts w:ascii="微软雅黑" w:eastAsia="微软雅黑" w:hint="eastAsia"/>
                        <w:color w:val="535353"/>
                        <w:sz w:val="42"/>
                      </w:rPr>
                      <w:t>?</w:t>
                      <w:tab/>
                      <w:t>真：</w:t>
                    </w:r>
                  </w:p>
                </w:txbxContent>
              </v:textbox>
            </v:shape>
            <v:shape id="_x0000_s1029" type="#_x0000_t202" style="width:442;height:556;left:2952;position:absolute;top:3569" filled="f" stroked="f">
              <v:textbox inset="0,0,0,0">
                <w:txbxContent>
                  <w:p>
                    <w:pPr>
                      <w:spacing w:before="0" w:line="556" w:lineRule="exact"/>
                      <w:ind w:left="0" w:right="0" w:firstLine="0"/>
                      <w:jc w:val="left"/>
                      <w:rPr>
                        <w:rFonts w:ascii="微软雅黑" w:eastAsia="微软雅黑" w:hint="eastAsia"/>
                        <w:sz w:val="42"/>
                      </w:rPr>
                    </w:pPr>
                    <w:r>
                      <w:rPr>
                        <w:rFonts w:ascii="微软雅黑" w:eastAsia="微软雅黑" w:hint="eastAsia"/>
                        <w:color w:val="535353"/>
                        <w:w w:val="100"/>
                        <w:sz w:val="42"/>
                      </w:rPr>
                      <w:t>邮</w:t>
                    </w:r>
                  </w:p>
                </w:txbxContent>
              </v:textbox>
            </v:shape>
            <v:shape id="_x0000_s1030" type="#_x0000_t202" style="width:863;height:556;left:4216;position:absolute;top:3569" filled="f" stroked="f">
              <v:textbox inset="0,0,0,0">
                <w:txbxContent>
                  <w:p>
                    <w:pPr>
                      <w:spacing w:before="0" w:line="556" w:lineRule="exact"/>
                      <w:ind w:left="0" w:right="0" w:firstLine="0"/>
                      <w:jc w:val="left"/>
                      <w:rPr>
                        <w:rFonts w:ascii="微软雅黑" w:eastAsia="微软雅黑" w:hint="eastAsia"/>
                        <w:sz w:val="42"/>
                      </w:rPr>
                    </w:pPr>
                    <w:r>
                      <w:rPr>
                        <w:rFonts w:ascii="微软雅黑" w:eastAsia="微软雅黑" w:hint="eastAsia"/>
                        <w:color w:val="535353"/>
                        <w:sz w:val="42"/>
                      </w:rPr>
                      <w:t>编：</w:t>
                    </w:r>
                  </w:p>
                </w:txbxContent>
              </v:textbox>
            </v:shape>
            <w10:wrap type="topAndBottom"/>
          </v:group>
        </w:pict>
      </w:r>
    </w:p>
    <w:p>
      <w:pPr>
        <w:pStyle w:val="BodyText"/>
        <w:ind w:left="0"/>
        <w:rPr>
          <w:rFonts w:ascii="微软雅黑"/>
          <w:sz w:val="20"/>
        </w:rPr>
      </w:pPr>
    </w:p>
    <w:p>
      <w:pPr>
        <w:pStyle w:val="BodyText"/>
        <w:spacing w:before="1"/>
        <w:ind w:left="0"/>
        <w:rPr>
          <w:rFonts w:ascii="微软雅黑"/>
          <w:sz w:val="18"/>
        </w:rPr>
      </w:pPr>
    </w:p>
    <w:p>
      <w:pPr>
        <w:pStyle w:val="Heading1"/>
        <w:spacing w:before="35"/>
        <w:rPr>
          <w:rFonts w:ascii="幼圆" w:eastAsia="幼圆" w:hint="eastAsia"/>
        </w:rPr>
      </w:pPr>
      <w:r>
        <w:rPr>
          <w:rFonts w:ascii="幼圆" w:eastAsia="幼圆" w:hint="eastAsia"/>
        </w:rPr>
        <w:t>一、项目概况</w:t>
      </w:r>
    </w:p>
    <w:p>
      <w:pPr>
        <w:pStyle w:val="BodyText"/>
        <w:ind w:left="0"/>
        <w:rPr>
          <w:rFonts w:ascii="幼圆"/>
          <w:b/>
        </w:rPr>
      </w:pPr>
    </w:p>
    <w:p>
      <w:pPr>
        <w:pStyle w:val="BodyText"/>
        <w:spacing w:before="8"/>
        <w:ind w:left="0"/>
        <w:rPr>
          <w:rFonts w:ascii="幼圆"/>
          <w:b/>
          <w:sz w:val="42"/>
        </w:rPr>
      </w:pPr>
    </w:p>
    <w:p>
      <w:pPr>
        <w:pStyle w:val="BodyText"/>
        <w:ind w:left="1192"/>
      </w:pPr>
      <w:r>
        <w:rPr>
          <w:rFonts w:ascii="Calibri" w:eastAsia="Calibri"/>
        </w:rPr>
        <w:t>***</w:t>
      </w:r>
      <w:r>
        <w:rPr>
          <w:spacing w:val="-1"/>
        </w:rPr>
        <w:t xml:space="preserve">污水处理厂设计规模 </w:t>
      </w:r>
      <w:r>
        <w:rPr>
          <w:rFonts w:ascii="Calibri" w:eastAsia="Calibri"/>
        </w:rPr>
        <w:t>12.5</w:t>
      </w:r>
      <w:r>
        <w:rPr>
          <w:rFonts w:ascii="Calibri" w:eastAsia="Calibri"/>
          <w:spacing w:val="9"/>
        </w:rPr>
        <w:t xml:space="preserve">  </w:t>
      </w:r>
      <w:r>
        <w:t>万吨</w:t>
      </w:r>
      <w:r>
        <w:rPr>
          <w:rFonts w:ascii="Calibri" w:eastAsia="Calibri"/>
          <w:spacing w:val="-24"/>
        </w:rPr>
        <w:t>/d</w:t>
      </w:r>
      <w:r>
        <w:rPr>
          <w:spacing w:val="-5"/>
        </w:rPr>
        <w:t xml:space="preserve">，实际处理规模约 </w:t>
      </w:r>
      <w:r>
        <w:rPr>
          <w:rFonts w:ascii="Calibri" w:eastAsia="Calibri"/>
        </w:rPr>
        <w:t>10</w:t>
      </w:r>
      <w:r>
        <w:rPr>
          <w:rFonts w:ascii="Calibri" w:eastAsia="Calibri"/>
          <w:spacing w:val="9"/>
        </w:rPr>
        <w:t xml:space="preserve">  </w:t>
      </w:r>
      <w:r>
        <w:t>万吨</w:t>
      </w:r>
      <w:r>
        <w:rPr>
          <w:rFonts w:ascii="Calibri" w:eastAsia="Calibri"/>
          <w:spacing w:val="-24"/>
        </w:rPr>
        <w:t>/d</w:t>
      </w:r>
      <w:r>
        <w:rPr>
          <w:spacing w:val="-5"/>
        </w:rPr>
        <w:t>，每年电消耗总量</w:t>
      </w:r>
    </w:p>
    <w:p>
      <w:pPr>
        <w:pStyle w:val="BodyText"/>
        <w:spacing w:before="241"/>
      </w:pPr>
      <w:r>
        <w:rPr>
          <w:spacing w:val="-1"/>
        </w:rPr>
        <w:t xml:space="preserve">约 </w:t>
      </w:r>
      <w:r>
        <w:rPr>
          <w:rFonts w:ascii="Calibri" w:eastAsia="Calibri"/>
        </w:rPr>
        <w:t>1000</w:t>
      </w:r>
      <w:r>
        <w:rPr>
          <w:rFonts w:ascii="Calibri" w:eastAsia="Calibri"/>
          <w:spacing w:val="23"/>
        </w:rPr>
        <w:t xml:space="preserve"> </w:t>
      </w:r>
      <w:r>
        <w:rPr>
          <w:spacing w:val="-39"/>
        </w:rPr>
        <w:t xml:space="preserve">万 </w:t>
      </w:r>
      <w:r>
        <w:rPr>
          <w:rFonts w:ascii="Calibri" w:eastAsia="Calibri"/>
        </w:rPr>
        <w:t>kwh</w:t>
      </w:r>
      <w:r>
        <w:t>；</w:t>
      </w:r>
      <w:r>
        <w:rPr>
          <w:rFonts w:ascii="Calibri" w:eastAsia="Calibri"/>
        </w:rPr>
        <w:t>**</w:t>
      </w:r>
      <w:r>
        <w:rPr>
          <w:spacing w:val="-1"/>
        </w:rPr>
        <w:t xml:space="preserve">污水处理厂设计规模 </w:t>
      </w:r>
      <w:r>
        <w:rPr>
          <w:rFonts w:ascii="Calibri" w:eastAsia="Calibri"/>
        </w:rPr>
        <w:t>15</w:t>
      </w:r>
      <w:r>
        <w:rPr>
          <w:rFonts w:ascii="Calibri" w:eastAsia="Calibri"/>
          <w:spacing w:val="21"/>
        </w:rPr>
        <w:t xml:space="preserve"> </w:t>
      </w:r>
      <w:r>
        <w:t>万吨</w:t>
      </w:r>
      <w:r>
        <w:rPr>
          <w:rFonts w:ascii="Calibri" w:eastAsia="Calibri"/>
        </w:rPr>
        <w:t>/d</w:t>
      </w:r>
      <w:r>
        <w:rPr>
          <w:spacing w:val="-9"/>
        </w:rPr>
        <w:t xml:space="preserve">，实际处理规模约 </w:t>
      </w:r>
      <w:r>
        <w:rPr>
          <w:rFonts w:ascii="Calibri" w:eastAsia="Calibri"/>
        </w:rPr>
        <w:t>15</w:t>
      </w:r>
      <w:r>
        <w:rPr>
          <w:rFonts w:ascii="Calibri" w:eastAsia="Calibri"/>
          <w:spacing w:val="9"/>
        </w:rPr>
        <w:t xml:space="preserve">  </w:t>
      </w:r>
      <w:r>
        <w:t>万吨</w:t>
      </w:r>
      <w:r>
        <w:rPr>
          <w:rFonts w:ascii="Calibri" w:eastAsia="Calibri"/>
        </w:rPr>
        <w:t>/d</w:t>
      </w:r>
      <w:r>
        <w:t>，每年电</w:t>
      </w:r>
    </w:p>
    <w:p>
      <w:pPr>
        <w:pStyle w:val="BodyText"/>
        <w:spacing w:before="241" w:line="364" w:lineRule="auto"/>
        <w:ind w:right="201"/>
      </w:pPr>
      <w:r>
        <w:rPr>
          <w:spacing w:val="-1"/>
        </w:rPr>
        <w:t xml:space="preserve">消耗总量约 </w:t>
      </w:r>
      <w:r>
        <w:rPr>
          <w:rFonts w:ascii="Calibri" w:eastAsia="Calibri"/>
        </w:rPr>
        <w:t xml:space="preserve">1300 </w:t>
      </w:r>
      <w:r>
        <w:rPr>
          <w:spacing w:val="-46"/>
        </w:rPr>
        <w:t xml:space="preserve">万 </w:t>
      </w:r>
      <w:r>
        <w:rPr>
          <w:rFonts w:ascii="Calibri" w:eastAsia="Calibri"/>
        </w:rPr>
        <w:t>kwh</w:t>
      </w:r>
      <w:r>
        <w:rPr>
          <w:spacing w:val="-1"/>
        </w:rPr>
        <w:t xml:space="preserve">，能耗总量巨大；尤其是近几年以电费为主的能耗费用不断上涨， </w:t>
      </w:r>
      <w:r>
        <w:t>因此在能保障污水处理量和尾水达标排放的前提下，对污水处理厂运行进行优化管理，节</w:t>
      </w:r>
      <w:r>
        <w:rPr>
          <w:spacing w:val="-3"/>
        </w:rPr>
        <w:t xml:space="preserve">约能源费用，降低处理成本是保障污水处理厂正常运行的必要手段。根据初步估算， </w:t>
      </w:r>
      <w:r>
        <w:rPr>
          <w:rFonts w:ascii="Calibri" w:eastAsia="Calibri"/>
        </w:rPr>
        <w:t>**</w:t>
      </w:r>
      <w:r>
        <w:t>污</w:t>
      </w:r>
      <w:r>
        <w:rPr>
          <w:spacing w:val="-1"/>
        </w:rPr>
        <w:t xml:space="preserve">水处理厂仍有约 </w:t>
      </w:r>
      <w:r>
        <w:rPr>
          <w:rFonts w:ascii="Calibri" w:eastAsia="Calibri"/>
        </w:rPr>
        <w:t>10%</w:t>
      </w:r>
      <w:r>
        <w:t>左右的节电空间，所以进行污水处理厂生化池的曝气系统控制来降低电耗耗是污水处理厂亟待解决的问题。</w:t>
      </w:r>
    </w:p>
    <w:p>
      <w:pPr>
        <w:pStyle w:val="BodyText"/>
        <w:spacing w:before="4" w:line="364" w:lineRule="auto"/>
        <w:ind w:right="1904" w:firstLine="720"/>
        <w:jc w:val="both"/>
      </w:pPr>
      <w:r>
        <w:t>污水处理厂化学除磷加药基本无自动控制系统，普遍采用固定加药量和人工调节的形式，过量投加化学除磷药剂现象普遍存在，但污水厂为了节约药耗依据历史数据进行加药人工调节，存在出水总磷超标的问题；采用化学除磷工艺精确控制技术，实现化学除磷药剂投加的最优控制。</w:t>
      </w:r>
    </w:p>
    <w:p>
      <w:pPr>
        <w:pStyle w:val="BodyText"/>
        <w:spacing w:before="5" w:line="364" w:lineRule="auto"/>
        <w:ind w:right="383" w:firstLine="900"/>
        <w:jc w:val="both"/>
      </w:pPr>
      <w:r>
        <w:rPr>
          <w:spacing w:val="3"/>
        </w:rPr>
        <w:t>根据</w:t>
      </w:r>
      <w:r>
        <w:rPr>
          <w:rFonts w:ascii="Calibri" w:eastAsia="Calibri"/>
        </w:rPr>
        <w:t>**</w:t>
      </w:r>
      <w:r>
        <w:t>集团统计数据，</w:t>
      </w:r>
      <w:r>
        <w:rPr>
          <w:rFonts w:ascii="Calibri" w:eastAsia="Calibri"/>
          <w:spacing w:val="6"/>
        </w:rPr>
        <w:t>**</w:t>
      </w:r>
      <w:r>
        <w:rPr>
          <w:spacing w:val="2"/>
        </w:rPr>
        <w:t xml:space="preserve">污水处理厂化学除磷的每日药耗费用约为 </w:t>
      </w:r>
      <w:r>
        <w:rPr>
          <w:rFonts w:ascii="Calibri" w:eastAsia="Calibri"/>
        </w:rPr>
        <w:t>6</w:t>
      </w:r>
      <w:r>
        <w:rPr>
          <w:rFonts w:ascii="Calibri" w:eastAsia="Calibri"/>
          <w:spacing w:val="18"/>
        </w:rPr>
        <w:t xml:space="preserve"> </w:t>
      </w:r>
      <w:r>
        <w:rPr>
          <w:spacing w:val="1"/>
        </w:rPr>
        <w:t>吨，</w:t>
      </w:r>
      <w:r>
        <w:rPr>
          <w:rFonts w:ascii="Calibri" w:eastAsia="Calibri"/>
          <w:spacing w:val="2"/>
        </w:rPr>
        <w:t>**</w:t>
      </w:r>
      <w:r>
        <w:t xml:space="preserve">污水厂化学除磷的每日药耗费用约为 </w:t>
      </w:r>
      <w:r>
        <w:rPr>
          <w:rFonts w:ascii="Calibri" w:eastAsia="Calibri"/>
        </w:rPr>
        <w:t>10</w:t>
      </w:r>
      <w:r>
        <w:rPr>
          <w:rFonts w:ascii="Calibri" w:eastAsia="Calibri"/>
          <w:spacing w:val="9"/>
        </w:rPr>
        <w:t xml:space="preserve">  </w:t>
      </w:r>
      <w:r>
        <w:rPr>
          <w:spacing w:val="-15"/>
        </w:rPr>
        <w:t>吨；调研中发现，该</w:t>
      </w:r>
      <w:r>
        <w:rPr>
          <w:rFonts w:ascii="Calibri" w:eastAsia="Calibri"/>
        </w:rPr>
        <w:t>**</w:t>
      </w:r>
      <w:r>
        <w:rPr>
          <w:spacing w:val="-1"/>
        </w:rPr>
        <w:t xml:space="preserve">污水处理厂实际日处理量为 </w:t>
      </w:r>
      <w:r>
        <w:rPr>
          <w:rFonts w:ascii="Calibri" w:eastAsia="Calibri"/>
          <w:spacing w:val="-4"/>
        </w:rPr>
        <w:t>10</w:t>
      </w:r>
      <w:r>
        <w:rPr>
          <w:spacing w:val="-4"/>
        </w:rPr>
        <w:t>～</w:t>
      </w:r>
    </w:p>
    <w:p>
      <w:pPr>
        <w:pStyle w:val="BodyText"/>
        <w:spacing w:before="2"/>
        <w:jc w:val="both"/>
      </w:pPr>
      <w:r>
        <w:rPr>
          <w:rFonts w:ascii="Calibri" w:eastAsia="Calibri"/>
        </w:rPr>
        <w:t>11</w:t>
      </w:r>
      <w:r>
        <w:rPr>
          <w:rFonts w:ascii="Calibri" w:eastAsia="Calibri"/>
          <w:spacing w:val="13"/>
        </w:rPr>
        <w:t xml:space="preserve">  </w:t>
      </w:r>
      <w:r>
        <w:rPr>
          <w:spacing w:val="6"/>
        </w:rPr>
        <w:t xml:space="preserve">万立方米左右，其每年化学除磷药耗费用达 </w:t>
      </w:r>
      <w:r>
        <w:rPr>
          <w:rFonts w:ascii="Calibri" w:eastAsia="Calibri"/>
        </w:rPr>
        <w:t>70</w:t>
      </w:r>
      <w:r>
        <w:rPr>
          <w:rFonts w:ascii="Calibri" w:eastAsia="Calibri"/>
          <w:spacing w:val="13"/>
        </w:rPr>
        <w:t xml:space="preserve">  </w:t>
      </w:r>
      <w:r>
        <w:rPr>
          <w:spacing w:val="3"/>
        </w:rPr>
        <w:t>万元，</w:t>
      </w:r>
      <w:r>
        <w:rPr>
          <w:rFonts w:ascii="Calibri" w:eastAsia="Calibri"/>
          <w:spacing w:val="9"/>
        </w:rPr>
        <w:t>**</w:t>
      </w:r>
      <w:r>
        <w:t>污水处理厂实际日处理量为</w:t>
      </w:r>
    </w:p>
    <w:p>
      <w:pPr>
        <w:pStyle w:val="BodyText"/>
        <w:spacing w:before="240"/>
      </w:pPr>
      <w:r>
        <w:rPr>
          <w:rFonts w:ascii="Calibri" w:eastAsia="Calibri"/>
        </w:rPr>
        <w:t>12.5</w:t>
      </w:r>
      <w:r>
        <w:t>～</w:t>
      </w:r>
      <w:r>
        <w:rPr>
          <w:rFonts w:ascii="Calibri" w:eastAsia="Calibri"/>
        </w:rPr>
        <w:t xml:space="preserve">15 </w:t>
      </w:r>
      <w:r>
        <w:t xml:space="preserve">万立方米左右，其每年化学除磷药耗费用分别达 </w:t>
      </w:r>
      <w:r>
        <w:rPr>
          <w:rFonts w:ascii="Calibri" w:eastAsia="Calibri"/>
        </w:rPr>
        <w:t xml:space="preserve">70 </w:t>
      </w:r>
      <w:r>
        <w:t xml:space="preserve">万元和 </w:t>
      </w:r>
      <w:r>
        <w:rPr>
          <w:rFonts w:ascii="Calibri" w:eastAsia="Calibri"/>
        </w:rPr>
        <w:t xml:space="preserve">116 </w:t>
      </w:r>
      <w:r>
        <w:t>万元，根据初步</w:t>
      </w:r>
    </w:p>
    <w:p>
      <w:pPr>
        <w:spacing w:after="0"/>
        <w:sectPr>
          <w:type w:val="continuous"/>
          <w:pgSz w:w="17860" w:h="25260"/>
          <w:pgMar w:top="1600" w:right="1480" w:bottom="280" w:left="1580" w:header="708" w:footer="708"/>
          <w:cols w:space="708"/>
        </w:sectPr>
      </w:pPr>
    </w:p>
    <w:p>
      <w:pPr>
        <w:pStyle w:val="BodyText"/>
        <w:spacing w:before="24" w:line="364" w:lineRule="auto"/>
        <w:ind w:right="384"/>
      </w:pPr>
      <w:r>
        <w:rPr>
          <w:spacing w:val="-7"/>
        </w:rPr>
        <w:t xml:space="preserve">估算，化学除磷药耗量仍有 </w:t>
      </w:r>
      <w:r>
        <w:rPr>
          <w:rFonts w:ascii="Calibri" w:eastAsia="Calibri"/>
        </w:rPr>
        <w:t>5~10%</w:t>
      </w:r>
      <w:r>
        <w:rPr>
          <w:spacing w:val="-1"/>
        </w:rPr>
        <w:t xml:space="preserve">和 </w:t>
      </w:r>
      <w:r>
        <w:rPr>
          <w:rFonts w:ascii="Calibri" w:eastAsia="Calibri"/>
        </w:rPr>
        <w:t>10%</w:t>
      </w:r>
      <w:r>
        <w:rPr>
          <w:spacing w:val="-6"/>
        </w:rPr>
        <w:t>以上的节药空间，所以进行污水处理厂化学除磷加药精确控制来降低化学除磷的药耗是污水处理厂亟待解决的问题。</w:t>
      </w:r>
    </w:p>
    <w:p>
      <w:pPr>
        <w:pStyle w:val="BodyText"/>
        <w:spacing w:before="1"/>
        <w:ind w:left="0"/>
        <w:rPr>
          <w:sz w:val="48"/>
        </w:rPr>
      </w:pPr>
    </w:p>
    <w:p>
      <w:pPr>
        <w:pStyle w:val="Heading1"/>
      </w:pPr>
      <w:r>
        <w:t>二、污水处理厂精确除磷控制系统</w:t>
      </w:r>
    </w:p>
    <w:p>
      <w:pPr>
        <w:pStyle w:val="BodyText"/>
        <w:spacing w:before="11"/>
        <w:ind w:left="0"/>
        <w:rPr>
          <w:rFonts w:ascii="华文中宋"/>
          <w:b/>
          <w:sz w:val="61"/>
        </w:rPr>
      </w:pPr>
    </w:p>
    <w:p>
      <w:pPr>
        <w:tabs>
          <w:tab w:val="left" w:pos="1307"/>
        </w:tabs>
        <w:spacing w:before="0"/>
        <w:ind w:left="291" w:right="0" w:firstLine="0"/>
        <w:jc w:val="left"/>
        <w:rPr>
          <w:rFonts w:ascii="华文中宋" w:eastAsia="华文中宋" w:hint="eastAsia"/>
          <w:b/>
          <w:sz w:val="36"/>
        </w:rPr>
      </w:pPr>
      <w:r>
        <w:rPr>
          <w:rFonts w:ascii="Cambria" w:eastAsia="Cambria"/>
          <w:b/>
          <w:sz w:val="36"/>
        </w:rPr>
        <w:t>(</w:t>
      </w:r>
      <w:r>
        <w:rPr>
          <w:rFonts w:ascii="华文中宋" w:eastAsia="华文中宋" w:hint="eastAsia"/>
          <w:b/>
          <w:spacing w:val="3"/>
          <w:sz w:val="36"/>
        </w:rPr>
        <w:t>一</w:t>
      </w:r>
      <w:r>
        <w:rPr>
          <w:rFonts w:ascii="Cambria" w:eastAsia="Cambria"/>
          <w:b/>
          <w:sz w:val="36"/>
        </w:rPr>
        <w:t>)</w:t>
        <w:tab/>
      </w:r>
      <w:r>
        <w:rPr>
          <w:rFonts w:ascii="华文中宋" w:eastAsia="华文中宋" w:hint="eastAsia"/>
          <w:b/>
          <w:sz w:val="36"/>
        </w:rPr>
        <w:t>现状及主要存在的问题</w:t>
      </w:r>
    </w:p>
    <w:p>
      <w:pPr>
        <w:pStyle w:val="BodyText"/>
        <w:spacing w:before="6"/>
        <w:ind w:left="0"/>
        <w:rPr>
          <w:rFonts w:ascii="华文中宋"/>
          <w:b/>
          <w:sz w:val="45"/>
        </w:rPr>
      </w:pPr>
    </w:p>
    <w:p>
      <w:pPr>
        <w:pStyle w:val="BodyText"/>
        <w:spacing w:line="364" w:lineRule="auto"/>
        <w:ind w:right="206" w:firstLine="900"/>
      </w:pPr>
      <w:r>
        <w:rPr>
          <w:spacing w:val="-1"/>
        </w:rPr>
        <w:t xml:space="preserve">从日出水 </w:t>
      </w:r>
      <w:r>
        <w:rPr>
          <w:rFonts w:ascii="Calibri" w:eastAsia="Calibri"/>
        </w:rPr>
        <w:t xml:space="preserve">TP </w:t>
      </w:r>
      <w:r>
        <w:rPr>
          <w:spacing w:val="-1"/>
        </w:rPr>
        <w:t xml:space="preserve">指标和实际出水 </w:t>
      </w:r>
      <w:r>
        <w:rPr>
          <w:rFonts w:ascii="Calibri" w:eastAsia="Calibri"/>
        </w:rPr>
        <w:t xml:space="preserve">TP </w:t>
      </w:r>
      <w:r>
        <w:rPr>
          <w:spacing w:val="-4"/>
        </w:rPr>
        <w:t>可以看出，</w:t>
      </w:r>
      <w:r>
        <w:rPr>
          <w:rFonts w:ascii="Calibri" w:eastAsia="Calibri"/>
          <w:spacing w:val="-17"/>
        </w:rPr>
        <w:t>**</w:t>
      </w:r>
      <w:r>
        <w:rPr>
          <w:spacing w:val="-1"/>
        </w:rPr>
        <w:t xml:space="preserve">厂 </w:t>
      </w:r>
      <w:r>
        <w:rPr>
          <w:rFonts w:ascii="Calibri" w:eastAsia="Calibri"/>
        </w:rPr>
        <w:t>TP</w:t>
      </w:r>
      <w:r>
        <w:rPr>
          <w:rFonts w:ascii="Calibri" w:eastAsia="Calibri"/>
          <w:spacing w:val="9"/>
        </w:rPr>
        <w:t xml:space="preserve">  </w:t>
      </w:r>
      <w:r>
        <w:rPr>
          <w:spacing w:val="-11"/>
        </w:rPr>
        <w:t xml:space="preserve">的日排放平均值为 </w:t>
      </w:r>
      <w:r>
        <w:rPr>
          <w:rFonts w:ascii="Calibri" w:eastAsia="Calibri"/>
        </w:rPr>
        <w:t xml:space="preserve">0.5mg/L </w:t>
      </w:r>
      <w:r>
        <w:t>左</w:t>
      </w:r>
      <w:r>
        <w:rPr>
          <w:spacing w:val="-10"/>
        </w:rPr>
        <w:t>右， 而</w:t>
      </w:r>
      <w:r>
        <w:rPr>
          <w:rFonts w:ascii="Calibri" w:eastAsia="Calibri"/>
        </w:rPr>
        <w:t>**</w:t>
      </w:r>
      <w:r>
        <w:rPr>
          <w:spacing w:val="-16"/>
        </w:rPr>
        <w:t xml:space="preserve">厂由于进水 </w:t>
      </w:r>
      <w:r>
        <w:rPr>
          <w:rFonts w:ascii="Calibri" w:eastAsia="Calibri"/>
        </w:rPr>
        <w:t xml:space="preserve">TP </w:t>
      </w:r>
      <w:r>
        <w:rPr>
          <w:spacing w:val="5"/>
        </w:rPr>
        <w:t>含量偏高，具有更高的</w:t>
      </w:r>
      <w:r>
        <w:rPr>
          <w:rFonts w:ascii="Calibri" w:eastAsia="Calibri"/>
        </w:rPr>
        <w:t xml:space="preserve">TP </w:t>
      </w:r>
      <w:r>
        <w:t xml:space="preserve">的日排放平均值，因此两厂常有高于国家一级 </w:t>
      </w:r>
      <w:r>
        <w:rPr>
          <w:rFonts w:ascii="Calibri" w:eastAsia="Calibri"/>
        </w:rPr>
        <w:t xml:space="preserve">A </w:t>
      </w:r>
      <w:r>
        <w:t>排放标准</w:t>
      </w:r>
      <w:r>
        <w:rPr>
          <w:spacing w:val="-5"/>
        </w:rPr>
        <w:t>（</w:t>
      </w:r>
      <w:r>
        <w:rPr>
          <w:rFonts w:ascii="Calibri" w:eastAsia="Calibri"/>
          <w:spacing w:val="-5"/>
        </w:rPr>
        <w:t>0.5mg/L</w:t>
      </w:r>
      <w:r>
        <w:rPr>
          <w:spacing w:val="-5"/>
        </w:rPr>
        <w:t>）</w:t>
      </w:r>
      <w:r>
        <w:t>的排放情况出现。同时，从实时的实际出水指标记录也可以</w:t>
      </w:r>
      <w:r>
        <w:rPr>
          <w:spacing w:val="-7"/>
        </w:rPr>
        <w:t xml:space="preserve">看出每两小时的出水 </w:t>
      </w:r>
      <w:r>
        <w:rPr>
          <w:rFonts w:ascii="Calibri" w:eastAsia="Calibri"/>
        </w:rPr>
        <w:t xml:space="preserve">TP </w:t>
      </w:r>
      <w:r>
        <w:rPr>
          <w:spacing w:val="-1"/>
        </w:rPr>
        <w:t xml:space="preserve">也时常有远低于国家一级 </w:t>
      </w:r>
      <w:r>
        <w:rPr>
          <w:rFonts w:ascii="Calibri" w:eastAsia="Calibri"/>
        </w:rPr>
        <w:t xml:space="preserve">A </w:t>
      </w:r>
      <w:r>
        <w:t>排放标准的数据存在。这说明日处理</w:t>
      </w:r>
      <w:r>
        <w:rPr>
          <w:spacing w:val="-8"/>
        </w:rPr>
        <w:t>化学除磷过量加药仍旧存在，有一定的节约空间；超标情况需要借助自动控制手段来抑制。</w:t>
      </w:r>
    </w:p>
    <w:p>
      <w:pPr>
        <w:pStyle w:val="BodyText"/>
        <w:spacing w:before="6"/>
        <w:ind w:left="1192"/>
      </w:pPr>
      <w:r>
        <w:t>除磷加药系统被控对象的主要特点：</w:t>
      </w:r>
    </w:p>
    <w:p>
      <w:pPr>
        <w:pStyle w:val="BodyText"/>
        <w:spacing w:before="240" w:line="364" w:lineRule="auto"/>
        <w:ind w:right="379" w:firstLine="900"/>
        <w:jc w:val="both"/>
      </w:pPr>
      <w:r>
        <w:rPr>
          <w:rFonts w:ascii="Calibri" w:eastAsia="Calibri"/>
        </w:rPr>
        <w:t>1</w:t>
      </w:r>
      <w:r>
        <w:t>）动态复杂性：由于具有生物反应加入，对象特性随时间不断变化，具有时变性和高度的非线性；流入污水的流量、成分及磷的浓度不断变化，使过程一直处于复杂外部环</w:t>
      </w:r>
      <w:r>
        <w:rPr>
          <w:spacing w:val="2"/>
        </w:rPr>
        <w:t xml:space="preserve">境的动态扰动之中； </w:t>
      </w:r>
      <w:r>
        <w:rPr>
          <w:rFonts w:ascii="Calibri" w:eastAsia="Calibri"/>
        </w:rPr>
        <w:t>2</w:t>
      </w:r>
      <w:r>
        <w:t>）时滞性：污水处理系统是一个惯性大、滞后长、变量和参数多的系统，若仅靠检测出水的总磷对加药进行闭环反馈控制则很难选择合适的控制算法以达到</w:t>
      </w:r>
      <w:r>
        <w:rPr>
          <w:spacing w:val="2"/>
        </w:rPr>
        <w:t xml:space="preserve">预期的效果。 </w:t>
      </w:r>
      <w:r>
        <w:rPr>
          <w:rFonts w:ascii="Calibri" w:eastAsia="Calibri"/>
        </w:rPr>
        <w:t>3</w:t>
      </w:r>
      <w:r>
        <w:t>）在线实施测量困难：磷在线检测设备比较昂贵，测量滞后大，测量间隔</w:t>
      </w:r>
      <w:r>
        <w:rPr>
          <w:spacing w:val="-2"/>
        </w:rPr>
        <w:t xml:space="preserve">大，单纯依赖磷在线检测仪的控制方案同样难以实施精确控制。 因为进水的 </w:t>
      </w:r>
      <w:r>
        <w:rPr>
          <w:rFonts w:ascii="Calibri" w:eastAsia="Calibri"/>
        </w:rPr>
        <w:t xml:space="preserve">TP </w:t>
      </w:r>
      <w:r>
        <w:rPr>
          <w:spacing w:val="-4"/>
        </w:rPr>
        <w:t>含量、环</w:t>
      </w:r>
      <w:r>
        <w:t>境温度、曝气池中的污泥浓度等都会影响生物除磷的效率，化学除磷所需的药量往往不是</w:t>
      </w:r>
      <w:r>
        <w:rPr>
          <w:spacing w:val="-13"/>
        </w:rPr>
        <w:t xml:space="preserve">固定的。目前的人工加药方式不仅存在加料过量的浪费，而且不能保证出口 </w:t>
      </w:r>
      <w:r>
        <w:rPr>
          <w:rFonts w:ascii="Calibri" w:eastAsia="Calibri"/>
        </w:rPr>
        <w:t xml:space="preserve">TP </w:t>
      </w:r>
      <w:r>
        <w:rPr>
          <w:spacing w:val="-3"/>
        </w:rPr>
        <w:t>水平始终达</w:t>
      </w:r>
      <w:r>
        <w:rPr>
          <w:spacing w:val="-15"/>
        </w:rPr>
        <w:t xml:space="preserve">到国家一级 </w:t>
      </w:r>
      <w:r>
        <w:rPr>
          <w:rFonts w:ascii="Calibri" w:eastAsia="Calibri"/>
        </w:rPr>
        <w:t xml:space="preserve">A </w:t>
      </w:r>
      <w:r>
        <w:t>排放标准。因此需要采用在线实时控制进行精确的自动加药。</w:t>
      </w:r>
    </w:p>
    <w:p>
      <w:pPr>
        <w:pStyle w:val="BodyText"/>
        <w:spacing w:before="8"/>
        <w:ind w:left="0"/>
        <w:rPr>
          <w:sz w:val="33"/>
        </w:rPr>
      </w:pPr>
    </w:p>
    <w:p>
      <w:pPr>
        <w:pStyle w:val="Heading1"/>
        <w:tabs>
          <w:tab w:val="left" w:pos="1307"/>
        </w:tabs>
      </w:pPr>
      <w:r>
        <w:rPr>
          <w:rFonts w:ascii="Cambria" w:eastAsia="Cambria"/>
        </w:rPr>
        <w:t>(</w:t>
      </w:r>
      <w:r>
        <w:rPr>
          <w:spacing w:val="3"/>
        </w:rPr>
        <w:t>二</w:t>
      </w:r>
      <w:r>
        <w:rPr>
          <w:rFonts w:ascii="Cambria" w:eastAsia="Cambria"/>
        </w:rPr>
        <w:t>)</w:t>
        <w:tab/>
      </w:r>
      <w:r>
        <w:t>改造方案</w:t>
      </w:r>
    </w:p>
    <w:p>
      <w:pPr>
        <w:pStyle w:val="BodyText"/>
        <w:spacing w:before="11"/>
        <w:ind w:left="0"/>
        <w:rPr>
          <w:rFonts w:ascii="华文中宋"/>
          <w:b/>
          <w:sz w:val="45"/>
        </w:rPr>
      </w:pPr>
    </w:p>
    <w:p>
      <w:pPr>
        <w:pStyle w:val="BodyText"/>
        <w:tabs>
          <w:tab w:val="left" w:pos="3543"/>
          <w:tab w:val="left" w:pos="5142"/>
          <w:tab w:val="left" w:pos="9013"/>
        </w:tabs>
        <w:spacing w:line="364" w:lineRule="auto"/>
        <w:ind w:right="288" w:firstLine="720"/>
      </w:pPr>
      <w:r>
        <w:rPr>
          <w:rFonts w:ascii="Calibri" w:eastAsia="Calibri"/>
        </w:rPr>
        <w:t>**</w:t>
      </w:r>
      <w:r>
        <w:t>厂和</w:t>
      </w:r>
      <w:r>
        <w:rPr>
          <w:rFonts w:ascii="Calibri" w:eastAsia="Calibri"/>
        </w:rPr>
        <w:t>**</w:t>
      </w:r>
      <w:r>
        <w:t>厂的污水处理工艺和处理能力设计上相同，</w:t>
      </w:r>
      <w:r>
        <w:rPr>
          <w:spacing w:val="-3"/>
        </w:rPr>
        <w:t xml:space="preserve"> </w:t>
      </w:r>
      <w:r>
        <w:t>总体设计采用了三级控制系统</w:t>
      </w:r>
      <w:r>
        <w:rPr>
          <w:spacing w:val="-14"/>
        </w:rPr>
        <w:t xml:space="preserve">， </w:t>
      </w:r>
      <w:r>
        <w:t>实现污水磷处理工艺流程的监测以及相关工艺设备的运行状态的监控：第一级：现场手动控制。在各电气站点设置就地控制箱，可单独启停各操控设备及各执行机构（目前两厂均已具备条件）。第二级：</w:t>
      </w:r>
      <w:r>
        <w:rPr>
          <w:rFonts w:ascii="Calibri" w:eastAsia="Calibri"/>
        </w:rPr>
        <w:t>PLC</w:t>
        <w:tab/>
      </w:r>
      <w:r>
        <w:t>逻辑联动控制。由</w:t>
      </w:r>
      <w:r>
        <w:rPr>
          <w:spacing w:val="-80"/>
        </w:rPr>
        <w:t xml:space="preserve"> </w:t>
      </w:r>
      <w:r>
        <w:rPr>
          <w:rFonts w:ascii="Calibri" w:eastAsia="Calibri"/>
        </w:rPr>
        <w:t>PLC</w:t>
        <w:tab/>
      </w:r>
      <w:r>
        <w:t>根据现场各测试设备采集的数据及系统设备运行逻辑关系，自动控制各站点内的电气设备运行状态。第三级：中央控制计算机监测、修改</w:t>
      </w:r>
      <w:r>
        <w:rPr>
          <w:spacing w:val="17"/>
        </w:rPr>
        <w:t xml:space="preserve"> </w:t>
      </w:r>
      <w:r>
        <w:rPr>
          <w:rFonts w:ascii="Calibri" w:eastAsia="Calibri"/>
        </w:rPr>
        <w:t>PLC</w:t>
        <w:tab/>
      </w:r>
      <w:r>
        <w:t>控制参数、上位机点动控制，实现实时监控。手动控制及自动控制可</w:t>
      </w:r>
    </w:p>
    <w:p>
      <w:pPr>
        <w:spacing w:after="0" w:line="364" w:lineRule="auto"/>
        <w:sectPr>
          <w:pgSz w:w="17860" w:h="25260"/>
          <w:pgMar w:top="1640" w:right="1480" w:bottom="280" w:left="1580" w:header="708" w:footer="708"/>
          <w:pgNumType w:start="2"/>
          <w:cols w:space="708"/>
        </w:sectPr>
      </w:pPr>
    </w:p>
    <w:p>
      <w:pPr>
        <w:pStyle w:val="BodyText"/>
        <w:spacing w:before="24" w:line="364" w:lineRule="auto"/>
        <w:ind w:right="465"/>
      </w:pPr>
      <w:r>
        <w:t>以分别通过中央控制室的“手自动转换开关”进行切换。这样的控制方式能最大限度地保证污水处理装置安全操作的需要。其中，自动控制系统的结构图如下：</w:t>
      </w:r>
    </w:p>
    <w:p>
      <w:pPr>
        <w:pStyle w:val="BodyText"/>
        <w:spacing w:before="2"/>
        <w:ind w:left="5686"/>
      </w:pPr>
      <w:r>
        <w:t xml:space="preserve">图 </w:t>
      </w:r>
      <w:r>
        <w:rPr>
          <w:rFonts w:ascii="Calibri" w:eastAsia="Calibri"/>
        </w:rPr>
        <w:t xml:space="preserve">1 </w:t>
      </w:r>
      <w:r>
        <w:t>污水处理系统结构图</w:t>
      </w:r>
    </w:p>
    <w:p>
      <w:pPr>
        <w:pStyle w:val="BodyText"/>
        <w:spacing w:before="241" w:line="364" w:lineRule="auto"/>
        <w:ind w:right="454" w:firstLine="900"/>
        <w:jc w:val="both"/>
      </w:pPr>
      <w:r>
        <w:t xml:space="preserve">图 </w:t>
      </w:r>
      <w:r>
        <w:rPr>
          <w:rFonts w:ascii="Calibri" w:eastAsia="Calibri"/>
        </w:rPr>
        <w:t xml:space="preserve">1 </w:t>
      </w:r>
      <w:r>
        <w:t>中的专家系统是控制策略的生成部分，也是系统结构的上层部分，为整个监控的主环。系统可分为四个级别：本地控制级，数据级，分布式知识级和监控级。专家系统基于已有的科学知识和实际系统操作经验来系统化关于过程的知识。因此不仅要设计大量的在线测量得到的历史数据，而且还要涉及操作人员积累起来的大量知识。该部分通过后续磷含量的测量，适当调整前序工段的控制器的给定值。并利用大量专家经验和知识来进行控制器的改进。</w:t>
      </w:r>
    </w:p>
    <w:p>
      <w:pPr>
        <w:pStyle w:val="BodyText"/>
        <w:spacing w:before="10"/>
        <w:ind w:left="0"/>
        <w:rPr>
          <w:sz w:val="31"/>
        </w:rPr>
      </w:pPr>
    </w:p>
    <w:p>
      <w:pPr>
        <w:pStyle w:val="Heading1"/>
        <w:numPr>
          <w:ilvl w:val="0"/>
          <w:numId w:val="14"/>
        </w:numPr>
        <w:tabs>
          <w:tab w:val="left" w:pos="877"/>
        </w:tabs>
        <w:spacing w:before="0" w:after="0" w:line="240" w:lineRule="auto"/>
        <w:ind w:left="877" w:right="0" w:hanging="586"/>
        <w:jc w:val="left"/>
        <w:rPr>
          <w:sz w:val="34"/>
        </w:rPr>
      </w:pPr>
      <w:r>
        <w:rPr>
          <w:rFonts w:ascii="幼圆" w:eastAsia="幼圆" w:hint="eastAsia"/>
        </w:rPr>
        <w:t>除磷加药系统的在线测定系统</w:t>
      </w:r>
    </w:p>
    <w:p>
      <w:pPr>
        <w:pStyle w:val="BodyText"/>
        <w:spacing w:before="11"/>
        <w:ind w:left="0"/>
        <w:rPr>
          <w:rFonts w:ascii="幼圆"/>
          <w:b/>
          <w:sz w:val="57"/>
        </w:rPr>
      </w:pPr>
    </w:p>
    <w:p>
      <w:pPr>
        <w:pStyle w:val="BodyText"/>
        <w:spacing w:line="364" w:lineRule="auto"/>
        <w:ind w:right="99" w:firstLine="720"/>
      </w:pPr>
      <w:r>
        <w:t>除磷加药系统所需要的在线测量参数包括提升泵处的进水流量，生物池后方的 TP 含量，以及出口 TP 含量。其中，目前的进水流量检测装置和出口 TP 检测设备均已具备。但目前两厂的进水磷含量检测仪表采样间隔（2 小时）过大，不足以满足在线控制的需要， 因此需重新安装一台 TP 浓度分析仪。综合考虑后置加药的工艺和成本，可将其同样安装在生物池后二沉池前。</w:t>
      </w:r>
    </w:p>
    <w:p>
      <w:pPr>
        <w:pStyle w:val="BodyText"/>
        <w:spacing w:before="55" w:line="343" w:lineRule="auto"/>
        <w:ind w:right="380" w:firstLine="720"/>
        <w:jc w:val="both"/>
      </w:pPr>
      <w:r>
        <w:t>监控内容为磷处理过程中的各因素，包括进口磷的含量，出口磷的含量，加药量，加</w:t>
      </w:r>
      <w:r>
        <w:rPr>
          <w:spacing w:val="2"/>
        </w:rPr>
        <w:t xml:space="preserve">药罐液位，污水进口流量，还有用于控制加药罐液位的状态，用于实施加药量控制的 </w:t>
      </w:r>
      <w:r>
        <w:rPr>
          <w:rFonts w:ascii="Calibri" w:eastAsia="Calibri"/>
          <w:spacing w:val="-6"/>
        </w:rPr>
        <w:t xml:space="preserve">PLC </w:t>
      </w:r>
      <w:r>
        <w:t>的状态等，并实时的显示在监控画面上。</w:t>
      </w:r>
    </w:p>
    <w:p>
      <w:pPr>
        <w:pStyle w:val="BodyText"/>
        <w:spacing w:before="2"/>
        <w:ind w:left="1012"/>
      </w:pPr>
      <w:r>
        <w:t>上位机在系统中实现的主要功能有：</w:t>
      </w:r>
    </w:p>
    <w:p>
      <w:pPr>
        <w:pStyle w:val="ListParagraph"/>
        <w:numPr>
          <w:ilvl w:val="0"/>
          <w:numId w:val="13"/>
        </w:numPr>
        <w:tabs>
          <w:tab w:val="left" w:pos="747"/>
        </w:tabs>
        <w:spacing w:before="201" w:after="0" w:line="343" w:lineRule="auto"/>
        <w:ind w:left="291" w:right="371" w:firstLine="0"/>
        <w:jc w:val="left"/>
        <w:rPr>
          <w:sz w:val="36"/>
        </w:rPr>
      </w:pPr>
      <w:r>
        <w:rPr>
          <w:spacing w:val="-1"/>
          <w:sz w:val="36"/>
        </w:rPr>
        <w:t>显示：以强大的数字、文本、图像格式为用户显示主要设备的运行状态、主要测量参数</w:t>
      </w:r>
      <w:r>
        <w:rPr>
          <w:sz w:val="36"/>
        </w:rPr>
        <w:t>的实时值以及报警记录，提供整个生产过程的系统工艺图和历史趋势图。</w:t>
      </w:r>
    </w:p>
    <w:p>
      <w:pPr>
        <w:pStyle w:val="ListParagraph"/>
        <w:numPr>
          <w:ilvl w:val="0"/>
          <w:numId w:val="13"/>
        </w:numPr>
        <w:tabs>
          <w:tab w:val="left" w:pos="747"/>
        </w:tabs>
        <w:spacing w:before="0" w:after="0" w:line="345" w:lineRule="auto"/>
        <w:ind w:left="291" w:right="371" w:firstLine="0"/>
        <w:jc w:val="left"/>
        <w:rPr>
          <w:sz w:val="36"/>
        </w:rPr>
      </w:pPr>
      <w:r>
        <w:rPr>
          <w:spacing w:val="-1"/>
          <w:sz w:val="36"/>
        </w:rPr>
        <w:t>监控：根据生产情况要求，操作员可以直接从计算机上通过键盘、鼠标修改设定值和调</w:t>
      </w:r>
      <w:r>
        <w:rPr>
          <w:sz w:val="36"/>
        </w:rPr>
        <w:t>整过程控制参数并控制电机的启停。</w:t>
      </w:r>
    </w:p>
    <w:p>
      <w:pPr>
        <w:pStyle w:val="ListParagraph"/>
        <w:numPr>
          <w:ilvl w:val="0"/>
          <w:numId w:val="13"/>
        </w:numPr>
        <w:tabs>
          <w:tab w:val="left" w:pos="747"/>
        </w:tabs>
        <w:spacing w:before="0" w:after="0" w:line="343" w:lineRule="auto"/>
        <w:ind w:left="291" w:right="206" w:firstLine="0"/>
        <w:jc w:val="left"/>
        <w:rPr>
          <w:sz w:val="36"/>
        </w:rPr>
      </w:pPr>
      <w:r>
        <w:rPr>
          <w:sz w:val="36"/>
        </w:rPr>
        <w:t>报警：过程报警事件发生在自动过程中，例如过程信号超出极限。操作报警在操作过程</w:t>
      </w:r>
      <w:r>
        <w:rPr>
          <w:spacing w:val="-10"/>
          <w:sz w:val="36"/>
        </w:rPr>
        <w:t xml:space="preserve">变量时产生，例如当改变一个闭环控制器的模式时，如果使用了库中所提供的操作员显示， </w:t>
      </w:r>
      <w:r>
        <w:rPr>
          <w:sz w:val="36"/>
        </w:rPr>
        <w:t>操作报警就会自动产生。提供在生产过程中出现的故障，这些故障信息通过声音报警、画面显示的形式提醒操作人员。</w:t>
      </w:r>
    </w:p>
    <w:p>
      <w:pPr>
        <w:pStyle w:val="ListParagraph"/>
        <w:numPr>
          <w:ilvl w:val="0"/>
          <w:numId w:val="13"/>
        </w:numPr>
        <w:tabs>
          <w:tab w:val="left" w:pos="1467"/>
        </w:tabs>
        <w:spacing w:before="0" w:after="0" w:line="411" w:lineRule="exact"/>
        <w:ind w:left="1466" w:right="0" w:hanging="455"/>
        <w:jc w:val="left"/>
        <w:rPr>
          <w:sz w:val="36"/>
        </w:rPr>
      </w:pPr>
      <w:r>
        <w:rPr>
          <w:sz w:val="36"/>
        </w:rPr>
        <w:t>报表：监控系统提供了一套集成的报表系统，数据库里的所有过程点都可以打印输</w:t>
      </w:r>
    </w:p>
    <w:p>
      <w:pPr>
        <w:pStyle w:val="BodyText"/>
        <w:spacing w:before="232" w:line="364" w:lineRule="auto"/>
        <w:ind w:right="465"/>
      </w:pPr>
      <w:r>
        <w:t>出。它可以将在过程中录入的数据按以下方式输出，输出的页面格式是自由的，用户自定义的：信息顺序记录、信息归档报表、操作者记录报表、系统信息报表、用户报表、硬拷</w:t>
      </w:r>
    </w:p>
    <w:p>
      <w:pPr>
        <w:spacing w:after="0" w:line="364" w:lineRule="auto"/>
        <w:sectPr>
          <w:pgSz w:w="17860" w:h="25260"/>
          <w:pgMar w:top="1640" w:right="1480" w:bottom="280" w:left="1580" w:header="708" w:footer="708"/>
          <w:pgNumType w:start="3"/>
          <w:cols w:space="708"/>
        </w:sectPr>
      </w:pPr>
    </w:p>
    <w:p>
      <w:pPr>
        <w:pStyle w:val="BodyText"/>
        <w:spacing w:before="24"/>
      </w:pPr>
      <w:r>
        <w:t>贝根据实际需要创建重要工艺参数及产量的电子表格，并可以打印。</w:t>
      </w:r>
    </w:p>
    <w:p>
      <w:pPr>
        <w:pStyle w:val="BodyText"/>
        <w:spacing w:before="2"/>
        <w:ind w:left="0"/>
        <w:rPr>
          <w:sz w:val="50"/>
        </w:rPr>
      </w:pPr>
    </w:p>
    <w:p>
      <w:pPr>
        <w:pStyle w:val="Heading1"/>
        <w:numPr>
          <w:ilvl w:val="0"/>
          <w:numId w:val="14"/>
        </w:numPr>
        <w:tabs>
          <w:tab w:val="left" w:pos="877"/>
        </w:tabs>
        <w:spacing w:before="0" w:after="0" w:line="240" w:lineRule="auto"/>
        <w:ind w:left="877" w:right="0" w:hanging="586"/>
        <w:jc w:val="left"/>
        <w:rPr>
          <w:sz w:val="34"/>
        </w:rPr>
      </w:pPr>
      <w:r>
        <w:rPr>
          <w:rFonts w:ascii="幼圆" w:eastAsia="幼圆" w:hint="eastAsia"/>
        </w:rPr>
        <w:t>加药控制</w:t>
      </w:r>
    </w:p>
    <w:p>
      <w:pPr>
        <w:pStyle w:val="BodyText"/>
        <w:spacing w:before="10"/>
        <w:ind w:left="0"/>
        <w:rPr>
          <w:rFonts w:ascii="幼圆"/>
          <w:b/>
          <w:sz w:val="57"/>
        </w:rPr>
      </w:pPr>
    </w:p>
    <w:p>
      <w:pPr>
        <w:pStyle w:val="BodyText"/>
        <w:spacing w:line="364" w:lineRule="auto"/>
        <w:ind w:right="462" w:firstLine="720"/>
        <w:jc w:val="both"/>
      </w:pPr>
      <w:r>
        <w:t>加药控制是为了保证化学除磷中的反应药剂供给，并且在保证出口污水磷含量不超标的情况下，尽量节省药剂的投放量，以节约成本和避免二次污染。加药的控制系统需要考虑的因素很多，复杂程度也高。由于分析仪时滞的存在，直接的反馈变得没有意义，即使是单纯的前馈，也存在着几十分钟的时滞，这会使得控制性能大大减低，这样的过程必然会产生明显的超调和较长的调节时间。综合各方面考虑，采用前馈-反馈+专家系统的控制方案，其控制系统方块图如下：</w:t>
      </w:r>
    </w:p>
    <w:p>
      <w:pPr>
        <w:pStyle w:val="BodyText"/>
        <w:ind w:left="0"/>
        <w:rPr>
          <w:sz w:val="20"/>
        </w:rPr>
      </w:pPr>
    </w:p>
    <w:p>
      <w:pPr>
        <w:pStyle w:val="BodyText"/>
        <w:spacing w:before="3"/>
        <w:ind w:left="0"/>
        <w:rPr>
          <w:sz w:val="13"/>
        </w:rPr>
      </w:pPr>
      <w:r>
        <w:drawing>
          <wp:anchor distT="0" distB="0" distL="0" distR="0" simplePos="0" relativeHeight="251659264" behindDoc="0" locked="0" layoutInCell="1" allowOverlap="1">
            <wp:simplePos x="0" y="0"/>
            <wp:positionH relativeFrom="page">
              <wp:posOffset>1434316</wp:posOffset>
            </wp:positionH>
            <wp:positionV relativeFrom="paragraph">
              <wp:posOffset>132849</wp:posOffset>
            </wp:positionV>
            <wp:extent cx="7287200" cy="3704844"/>
            <wp:effectExtent l="0" t="0" r="0" b="0"/>
            <wp:wrapTopAndBottom/>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eg"/>
                    <pic:cNvPicPr/>
                  </pic:nvPicPr>
                  <pic:blipFill>
                    <a:blip xmlns:r="http://schemas.openxmlformats.org/officeDocument/2006/relationships" r:embed="rId5" cstate="print"/>
                    <a:stretch>
                      <a:fillRect/>
                    </a:stretch>
                  </pic:blipFill>
                  <pic:spPr>
                    <a:xfrm>
                      <a:off x="0" y="0"/>
                      <a:ext cx="7287200" cy="3704844"/>
                    </a:xfrm>
                    <a:prstGeom prst="rect">
                      <a:avLst/>
                    </a:prstGeom>
                  </pic:spPr>
                </pic:pic>
              </a:graphicData>
            </a:graphic>
          </wp:anchor>
        </w:drawing>
      </w:r>
    </w:p>
    <w:p>
      <w:pPr>
        <w:pStyle w:val="BodyText"/>
        <w:spacing w:before="230" w:line="364" w:lineRule="auto"/>
        <w:ind w:right="464" w:firstLine="720"/>
      </w:pPr>
      <w:r>
        <w:t>现有方案固定加药量，没有任何自动控制。若已知进水中的总磷量，就可以计算出需要采用化学法除磷的量，也就可以计算出所需要的化学药剂量。</w:t>
      </w:r>
    </w:p>
    <w:p>
      <w:pPr>
        <w:pStyle w:val="BodyText"/>
        <w:spacing w:before="2" w:line="364" w:lineRule="auto"/>
        <w:ind w:right="385" w:firstLine="900"/>
        <w:jc w:val="both"/>
      </w:pPr>
      <w:r>
        <w:rPr>
          <w:spacing w:val="-6"/>
        </w:rPr>
        <w:t>以上面预测的磷含量为据构件污水流量、含磷量与添加剂的比值控制系统，把当前加</w:t>
      </w:r>
      <w:r>
        <w:t>药泵出口流量作为反馈进行闭环反馈控制。选取参数合适，则系统的调节速度和准确性都能满足要求，从而实现自动加药控制。</w:t>
      </w:r>
    </w:p>
    <w:p>
      <w:pPr>
        <w:pStyle w:val="BodyText"/>
        <w:spacing w:before="4" w:line="364" w:lineRule="auto"/>
        <w:ind w:right="204" w:firstLine="900"/>
      </w:pPr>
      <w:r>
        <w:t xml:space="preserve">同时，由于加药点设置在生物池后二沉池前，该处没有流量计，即无法得到加药点处的实际水流量 </w:t>
      </w:r>
      <w:r>
        <w:rPr>
          <w:spacing w:val="-17"/>
        </w:rPr>
        <w:t>F2</w:t>
      </w:r>
      <w:r>
        <w:rPr>
          <w:spacing w:val="-4"/>
        </w:rPr>
        <w:t xml:space="preserve">，只能采用提升泵后的流量计读数值 </w:t>
      </w:r>
      <w:r>
        <w:t>F1</w:t>
      </w:r>
      <w:r>
        <w:rPr>
          <w:spacing w:val="-9"/>
        </w:rPr>
        <w:t xml:space="preserve">。结合该厂的生物池采用推流式， </w:t>
      </w:r>
      <w:r>
        <w:rPr>
          <w:spacing w:val="-23"/>
        </w:rPr>
        <w:t xml:space="preserve">为了将 </w:t>
      </w:r>
      <w:r>
        <w:t>F1</w:t>
      </w:r>
      <w:r>
        <w:rPr>
          <w:spacing w:val="-11"/>
        </w:rPr>
        <w:t xml:space="preserve"> 与加药点处的流量 </w:t>
      </w:r>
      <w:r>
        <w:t>F2 等效，可以认为 F2</w:t>
      </w:r>
      <w:r>
        <w:rPr>
          <w:spacing w:val="-60"/>
        </w:rPr>
        <w:t xml:space="preserve"> 是 </w:t>
      </w:r>
      <w:r>
        <w:t>F1</w:t>
      </w:r>
      <w:r>
        <w:rPr>
          <w:spacing w:val="-10"/>
        </w:rPr>
        <w:t xml:space="preserve"> 的滞后一定时间的数值，即F2(t)=F1(t-?), ?值可以根据水流的流速 </w:t>
      </w:r>
      <w:r>
        <w:t>V</w:t>
      </w:r>
      <w:r>
        <w:rPr>
          <w:spacing w:val="-6"/>
        </w:rPr>
        <w:t xml:space="preserve"> 和从流量计位置到加药点位置的水流行程</w:t>
      </w:r>
      <w:r>
        <w:t>S 估计出来(?=S/V</w:t>
      </w:r>
      <w:r>
        <w:rPr>
          <w:spacing w:val="-18"/>
        </w:rPr>
        <w:t xml:space="preserve">)，如图 </w:t>
      </w:r>
      <w:r>
        <w:t>4</w:t>
      </w:r>
      <w:r>
        <w:rPr>
          <w:spacing w:val="-24"/>
        </w:rPr>
        <w:t xml:space="preserve"> 所示。</w:t>
      </w:r>
    </w:p>
    <w:p>
      <w:pPr>
        <w:pStyle w:val="BodyText"/>
        <w:spacing w:before="4" w:line="364" w:lineRule="auto"/>
        <w:ind w:right="380" w:firstLine="720"/>
      </w:pPr>
      <w:r>
        <w:rPr>
          <w:spacing w:val="-1"/>
        </w:rPr>
        <w:t xml:space="preserve">在污水处理过程控制中，简单的加药过程的在线控制可采用 </w:t>
      </w:r>
      <w:r>
        <w:t>PID</w:t>
      </w:r>
      <w:r>
        <w:rPr>
          <w:spacing w:val="-13"/>
        </w:rPr>
        <w:t xml:space="preserve"> 控制。这种控制器被</w:t>
      </w:r>
      <w:r>
        <w:t>广泛应用的主要原因是其结构简单，鲁棒性强，在实际过程中容易实现和掌握。PID</w:t>
      </w:r>
      <w:r>
        <w:rPr>
          <w:spacing w:val="-30"/>
        </w:rPr>
        <w:t xml:space="preserve"> 参数</w:t>
      </w:r>
    </w:p>
    <w:p>
      <w:pPr>
        <w:spacing w:after="0" w:line="364" w:lineRule="auto"/>
        <w:sectPr>
          <w:pgSz w:w="17860" w:h="25260"/>
          <w:pgMar w:top="1640" w:right="1480" w:bottom="280" w:left="1580" w:header="708" w:footer="708"/>
          <w:pgNumType w:start="4"/>
          <w:cols w:space="708"/>
        </w:sectPr>
      </w:pPr>
    </w:p>
    <w:p>
      <w:pPr>
        <w:pStyle w:val="BodyText"/>
        <w:spacing w:before="24" w:line="364" w:lineRule="auto"/>
        <w:ind w:right="465"/>
        <w:jc w:val="both"/>
      </w:pPr>
      <w:r>
        <w:t>的整定一般需要经验丰富的工程技术人员来完成，既耗时又费力，加之实际系统时变性、滞后、非线性等因素，使 PID 参数的整定有一定的难度，致使许多 PID 控制器没能整定得很好，这样控制系统自然无法工作在令人满意的状态。</w:t>
      </w:r>
    </w:p>
    <w:p>
      <w:pPr>
        <w:pStyle w:val="BodyText"/>
        <w:spacing w:before="3" w:line="364" w:lineRule="auto"/>
        <w:ind w:right="383" w:firstLine="720"/>
        <w:jc w:val="both"/>
      </w:pPr>
      <w:r>
        <w:rPr>
          <w:spacing w:val="-5"/>
        </w:rPr>
        <w:t xml:space="preserve">建议采用基于除磷加药模型的前馈的方法和常规 </w:t>
      </w:r>
      <w:r>
        <w:t>PID</w:t>
      </w:r>
      <w:r>
        <w:rPr>
          <w:spacing w:val="-10"/>
        </w:rPr>
        <w:t xml:space="preserve"> 控制串级的形式进行加药控制， 通过对 P</w:t>
      </w:r>
      <w:r>
        <w:rPr>
          <w:spacing w:val="-18"/>
        </w:rPr>
        <w:t xml:space="preserve"> 含量的有效预测，基于此构成基于 </w:t>
      </w:r>
      <w:r>
        <w:t>P</w:t>
      </w:r>
      <w:r>
        <w:rPr>
          <w:spacing w:val="-16"/>
        </w:rPr>
        <w:t xml:space="preserve"> 含量的添加剂流量控制回路。副环用 </w:t>
      </w:r>
      <w:r>
        <w:t>PID</w:t>
      </w:r>
      <w:r>
        <w:rPr>
          <w:spacing w:val="-7"/>
        </w:rPr>
        <w:t xml:space="preserve"> 控</w:t>
      </w:r>
      <w:r>
        <w:t>制器保证控制的可靠性。</w:t>
      </w:r>
    </w:p>
    <w:p>
      <w:pPr>
        <w:pStyle w:val="BodyText"/>
        <w:spacing w:before="3" w:line="364" w:lineRule="auto"/>
        <w:ind w:right="464" w:firstLine="720"/>
      </w:pPr>
      <w:r>
        <w:t>最后在出口进行磷含量的测量，利用专家系统构成整个系统的闭环控制。根据整个控制效果，适当调整控制量。</w:t>
      </w:r>
    </w:p>
    <w:p>
      <w:pPr>
        <w:pStyle w:val="BodyText"/>
        <w:spacing w:before="2" w:line="364" w:lineRule="auto"/>
        <w:ind w:right="377" w:firstLine="720"/>
        <w:jc w:val="both"/>
      </w:pPr>
      <w:r>
        <w:rPr>
          <w:spacing w:val="-1"/>
        </w:rPr>
        <w:t xml:space="preserve">采用国际领先的对象建模软件、内模及预测 </w:t>
      </w:r>
      <w:r>
        <w:t>PID</w:t>
      </w:r>
      <w:r>
        <w:rPr>
          <w:spacing w:val="-11"/>
        </w:rPr>
        <w:t xml:space="preserve"> 参数整定与优化软件，使用过程模型</w:t>
      </w:r>
      <w:r>
        <w:rPr>
          <w:spacing w:val="-1"/>
        </w:rPr>
        <w:t xml:space="preserve">和最优化方法，可以对以上 </w:t>
      </w:r>
      <w:r>
        <w:t>4</w:t>
      </w:r>
      <w:r>
        <w:rPr>
          <w:spacing w:val="-11"/>
        </w:rPr>
        <w:t xml:space="preserve"> 个装置进行控制器形式的优化、控制器参数的整定，使目前</w:t>
      </w:r>
      <w:r>
        <w:t>处于手动控制状态的控制回路投自动，处于自动控制状态的回路达到控制平稳、波动小、基本最优。实施该项后，预期控制效果会大幅上升，基本不用操作工干预的情况下实现高质量运转。</w:t>
      </w:r>
    </w:p>
    <w:p>
      <w:pPr>
        <w:pStyle w:val="Heading1"/>
        <w:numPr>
          <w:ilvl w:val="0"/>
          <w:numId w:val="15"/>
        </w:numPr>
        <w:tabs>
          <w:tab w:val="left" w:pos="1561"/>
        </w:tabs>
        <w:spacing w:before="5" w:after="0" w:line="240" w:lineRule="auto"/>
        <w:ind w:left="1561" w:right="0" w:hanging="545"/>
        <w:jc w:val="left"/>
        <w:rPr>
          <w:rFonts w:ascii="Calibri" w:eastAsia="Calibri"/>
          <w:sz w:val="34"/>
        </w:rPr>
      </w:pPr>
      <w:r>
        <w:rPr>
          <w:rFonts w:ascii="宋体" w:eastAsia="宋体" w:hint="eastAsia"/>
        </w:rPr>
        <w:t>分析系统</w:t>
      </w:r>
    </w:p>
    <w:p>
      <w:pPr>
        <w:pStyle w:val="BodyText"/>
        <w:spacing w:before="291"/>
        <w:ind w:left="1012"/>
      </w:pPr>
      <w:r>
        <w:t>分析系统是保证控制系统长期可靠和稳定运行的重要部分。</w:t>
      </w:r>
    </w:p>
    <w:p>
      <w:pPr>
        <w:pStyle w:val="BodyText"/>
        <w:spacing w:before="198" w:line="343" w:lineRule="auto"/>
        <w:ind w:right="464" w:firstLine="720"/>
      </w:pPr>
      <w:r>
        <w:t>分析系统接收仪器采集的实时数据，并且保存有一定数量的历史数据，通过对分析历史和实时的数据，为专家系统提供判断的依据。</w:t>
      </w:r>
    </w:p>
    <w:p>
      <w:pPr>
        <w:pStyle w:val="BodyText"/>
        <w:spacing w:before="2"/>
        <w:ind w:left="0"/>
        <w:rPr>
          <w:sz w:val="29"/>
        </w:rPr>
      </w:pPr>
    </w:p>
    <w:p>
      <w:pPr>
        <w:pStyle w:val="Heading1"/>
        <w:tabs>
          <w:tab w:val="left" w:pos="1307"/>
        </w:tabs>
      </w:pPr>
      <w:r>
        <w:rPr>
          <w:rFonts w:ascii="Cambria" w:eastAsia="Cambria"/>
        </w:rPr>
        <w:t>(</w:t>
      </w:r>
      <w:r>
        <w:rPr>
          <w:spacing w:val="3"/>
        </w:rPr>
        <w:t>三</w:t>
      </w:r>
      <w:r>
        <w:rPr>
          <w:rFonts w:ascii="Cambria" w:eastAsia="Cambria"/>
        </w:rPr>
        <w:t>)</w:t>
        <w:tab/>
      </w:r>
      <w:r>
        <w:t>专家系统构成</w:t>
      </w:r>
    </w:p>
    <w:p>
      <w:pPr>
        <w:pStyle w:val="BodyText"/>
        <w:spacing w:before="3"/>
        <w:ind w:left="0"/>
        <w:rPr>
          <w:rFonts w:ascii="华文中宋"/>
          <w:b/>
          <w:sz w:val="46"/>
        </w:rPr>
      </w:pPr>
    </w:p>
    <w:p>
      <w:pPr>
        <w:pStyle w:val="ListParagraph"/>
        <w:numPr>
          <w:ilvl w:val="0"/>
          <w:numId w:val="12"/>
        </w:numPr>
        <w:tabs>
          <w:tab w:val="left" w:pos="877"/>
        </w:tabs>
        <w:spacing w:before="0" w:after="0" w:line="240" w:lineRule="auto"/>
        <w:ind w:left="877" w:right="0" w:hanging="586"/>
        <w:jc w:val="left"/>
        <w:rPr>
          <w:rFonts w:ascii="华文中宋" w:eastAsia="华文中宋" w:hint="eastAsia"/>
          <w:b/>
          <w:sz w:val="36"/>
        </w:rPr>
      </w:pPr>
      <w:r>
        <w:rPr>
          <w:rFonts w:ascii="华文中宋" w:eastAsia="华文中宋" w:hint="eastAsia"/>
          <w:b/>
          <w:sz w:val="36"/>
        </w:rPr>
        <w:t>化学法除磷的影响因素</w:t>
      </w:r>
    </w:p>
    <w:p>
      <w:pPr>
        <w:pStyle w:val="BodyText"/>
        <w:spacing w:before="14"/>
        <w:ind w:left="0"/>
        <w:rPr>
          <w:rFonts w:ascii="华文中宋"/>
          <w:b/>
          <w:sz w:val="46"/>
        </w:rPr>
      </w:pPr>
    </w:p>
    <w:p>
      <w:pPr>
        <w:pStyle w:val="ListParagraph"/>
        <w:numPr>
          <w:ilvl w:val="0"/>
          <w:numId w:val="11"/>
        </w:numPr>
        <w:tabs>
          <w:tab w:val="left" w:pos="1011"/>
          <w:tab w:val="left" w:pos="1012"/>
        </w:tabs>
        <w:spacing w:before="0" w:after="0" w:line="364" w:lineRule="auto"/>
        <w:ind w:left="291" w:right="463" w:firstLine="0"/>
        <w:jc w:val="left"/>
        <w:rPr>
          <w:sz w:val="36"/>
        </w:rPr>
      </w:pPr>
      <w:r>
        <w:rPr>
          <w:sz w:val="36"/>
        </w:rPr>
        <w:t>PH</w:t>
      </w:r>
      <w:r>
        <w:rPr>
          <w:spacing w:val="-14"/>
          <w:sz w:val="36"/>
        </w:rPr>
        <w:t xml:space="preserve"> 值和搅拌时间：对化学沉淀法除磷影响最大的是 </w:t>
      </w:r>
      <w:r>
        <w:rPr>
          <w:sz w:val="36"/>
        </w:rPr>
        <w:t>pH</w:t>
      </w:r>
      <w:r>
        <w:rPr>
          <w:spacing w:val="-2"/>
          <w:sz w:val="36"/>
        </w:rPr>
        <w:t xml:space="preserve"> 值的大小。不同的金属离子的</w:t>
      </w:r>
      <w:r>
        <w:rPr>
          <w:spacing w:val="-9"/>
          <w:sz w:val="36"/>
        </w:rPr>
        <w:t xml:space="preserve">化合物有不同适宜的 </w:t>
      </w:r>
      <w:r>
        <w:rPr>
          <w:sz w:val="36"/>
        </w:rPr>
        <w:t>pH 值的沉淀范围。</w:t>
      </w:r>
    </w:p>
    <w:p>
      <w:pPr>
        <w:pStyle w:val="ListParagraph"/>
        <w:numPr>
          <w:ilvl w:val="0"/>
          <w:numId w:val="11"/>
        </w:numPr>
        <w:tabs>
          <w:tab w:val="left" w:pos="833"/>
          <w:tab w:val="left" w:pos="6233"/>
        </w:tabs>
        <w:spacing w:before="2" w:after="0" w:line="364" w:lineRule="auto"/>
        <w:ind w:left="291" w:right="284" w:firstLine="0"/>
        <w:jc w:val="left"/>
        <w:rPr>
          <w:sz w:val="36"/>
        </w:rPr>
      </w:pPr>
      <w:r>
        <w:rPr>
          <w:sz w:val="36"/>
        </w:rPr>
        <w:t>药剂的添加量：从化学反应的观点来看，药剂的投加量取决于磷的存在量。但一般情</w:t>
      </w:r>
      <w:r>
        <w:rPr>
          <w:spacing w:val="-16"/>
          <w:sz w:val="36"/>
        </w:rPr>
        <w:t>况</w:t>
      </w:r>
      <w:r>
        <w:rPr>
          <w:sz w:val="36"/>
        </w:rPr>
        <w:t>下，实际中化学药剂的投加量都是大于根据化学计量关系式计算的投加量，这是因为污水中的氢氧根离子和金属离子生成了氢氧化物的沉淀而耗去了一定数量的金属离子，虽然氢氧化物的沉淀也能吸附一部分的磷,</w:t>
        <w:tab/>
        <w:t>但是不能去除废水中溶解的磷。</w:t>
      </w:r>
    </w:p>
    <w:p>
      <w:pPr>
        <w:pStyle w:val="ListParagraph"/>
        <w:numPr>
          <w:ilvl w:val="0"/>
          <w:numId w:val="11"/>
        </w:numPr>
        <w:tabs>
          <w:tab w:val="left" w:pos="833"/>
        </w:tabs>
        <w:spacing w:before="5" w:after="0" w:line="364" w:lineRule="auto"/>
        <w:ind w:left="291" w:right="385" w:firstLine="0"/>
        <w:jc w:val="left"/>
        <w:rPr>
          <w:sz w:val="36"/>
        </w:rPr>
      </w:pPr>
      <w:r>
        <w:rPr>
          <w:spacing w:val="-9"/>
          <w:sz w:val="36"/>
        </w:rPr>
        <w:t>污水池中的污水温度：温度是影响化学反应的重要因素之一，在污水池中反应时间一定</w:t>
      </w:r>
      <w:r>
        <w:rPr>
          <w:sz w:val="36"/>
        </w:rPr>
        <w:t>的前提下，污水温度的差异会影响反应的程度。</w:t>
      </w:r>
    </w:p>
    <w:p>
      <w:pPr>
        <w:spacing w:after="0" w:line="364" w:lineRule="auto"/>
        <w:jc w:val="left"/>
        <w:rPr>
          <w:sz w:val="36"/>
        </w:rPr>
        <w:sectPr>
          <w:pgSz w:w="17860" w:h="25260"/>
          <w:pgMar w:top="1640" w:right="1480" w:bottom="280" w:left="1580" w:header="708" w:footer="708"/>
          <w:pgNumType w:start="5"/>
          <w:cols w:space="708"/>
        </w:sectPr>
      </w:pPr>
    </w:p>
    <w:p>
      <w:pPr>
        <w:pStyle w:val="Heading1"/>
        <w:numPr>
          <w:ilvl w:val="0"/>
          <w:numId w:val="12"/>
        </w:numPr>
        <w:tabs>
          <w:tab w:val="left" w:pos="1056"/>
        </w:tabs>
        <w:spacing w:before="33" w:after="0" w:line="240" w:lineRule="auto"/>
        <w:ind w:left="1056" w:right="0" w:hanging="765"/>
        <w:jc w:val="left"/>
      </w:pPr>
      <w:r>
        <w:t>控制影响因素</w:t>
      </w:r>
    </w:p>
    <w:p>
      <w:pPr>
        <w:pStyle w:val="BodyText"/>
        <w:spacing w:before="15"/>
        <w:ind w:left="0"/>
        <w:rPr>
          <w:rFonts w:ascii="华文中宋"/>
          <w:b/>
          <w:sz w:val="46"/>
        </w:rPr>
      </w:pPr>
    </w:p>
    <w:p>
      <w:pPr>
        <w:pStyle w:val="BodyText"/>
        <w:spacing w:line="364" w:lineRule="auto"/>
        <w:ind w:right="464" w:firstLine="720"/>
      </w:pPr>
      <w:r>
        <w:t>除了工艺本身的影响因素之外，对于控制而言，还有其它的影响因素，有些因素直接制约着控制的实施，必须认真考虑。</w:t>
      </w:r>
    </w:p>
    <w:p>
      <w:pPr>
        <w:pStyle w:val="ListParagraph"/>
        <w:numPr>
          <w:ilvl w:val="0"/>
          <w:numId w:val="10"/>
        </w:numPr>
        <w:tabs>
          <w:tab w:val="left" w:pos="833"/>
        </w:tabs>
        <w:spacing w:before="2" w:after="0" w:line="364" w:lineRule="auto"/>
        <w:ind w:left="291" w:right="284" w:firstLine="0"/>
        <w:jc w:val="left"/>
        <w:rPr>
          <w:sz w:val="36"/>
        </w:rPr>
      </w:pPr>
      <w:r>
        <w:rPr>
          <w:spacing w:val="-1"/>
          <w:sz w:val="36"/>
        </w:rPr>
        <w:t>采样时间：在该项目的控制过程中，采样时间是最大也是最重要的影响因素，由于出入</w:t>
      </w:r>
      <w:r>
        <w:rPr>
          <w:sz w:val="36"/>
        </w:rPr>
        <w:t>口被控变量不能及时的检测出来，严重影响控制策略的实施，这也是引入专家系统的直接因素。</w:t>
      </w:r>
    </w:p>
    <w:p>
      <w:pPr>
        <w:pStyle w:val="ListParagraph"/>
        <w:numPr>
          <w:ilvl w:val="0"/>
          <w:numId w:val="10"/>
        </w:numPr>
        <w:tabs>
          <w:tab w:val="left" w:pos="833"/>
        </w:tabs>
        <w:spacing w:before="2" w:after="0" w:line="364" w:lineRule="auto"/>
        <w:ind w:left="291" w:right="284" w:firstLine="0"/>
        <w:jc w:val="left"/>
        <w:rPr>
          <w:sz w:val="36"/>
        </w:rPr>
      </w:pPr>
      <w:r>
        <w:rPr>
          <w:spacing w:val="-1"/>
          <w:sz w:val="36"/>
        </w:rPr>
        <w:t>历史数据：由于以前的磷检测采用的是分时采样，综合检验的方法，所以对于控制来说</w:t>
      </w:r>
      <w:r>
        <w:rPr>
          <w:sz w:val="36"/>
        </w:rPr>
        <w:t>数据粗糙，对于构建专家系统来说，可能会影响知识库的完备性。</w:t>
      </w:r>
    </w:p>
    <w:p>
      <w:pPr>
        <w:pStyle w:val="ListParagraph"/>
        <w:numPr>
          <w:ilvl w:val="0"/>
          <w:numId w:val="10"/>
        </w:numPr>
        <w:tabs>
          <w:tab w:val="left" w:pos="833"/>
        </w:tabs>
        <w:spacing w:before="3" w:after="0" w:line="364" w:lineRule="auto"/>
        <w:ind w:left="291" w:right="284" w:firstLine="0"/>
        <w:jc w:val="left"/>
        <w:rPr>
          <w:sz w:val="36"/>
        </w:rPr>
      </w:pPr>
      <w:r>
        <w:rPr>
          <w:spacing w:val="-1"/>
          <w:sz w:val="36"/>
        </w:rPr>
        <w:t>其他因素：对于本过程来说，影响因素还包括季节性影响的磷成分的构成，以及磷含量</w:t>
      </w:r>
      <w:r>
        <w:rPr>
          <w:sz w:val="36"/>
        </w:rPr>
        <w:t>的随节假日生活和成产变化而突增的情况。</w:t>
      </w:r>
    </w:p>
    <w:p>
      <w:pPr>
        <w:pStyle w:val="BodyText"/>
        <w:spacing w:before="6"/>
        <w:ind w:left="0"/>
        <w:rPr>
          <w:sz w:val="31"/>
        </w:rPr>
      </w:pPr>
    </w:p>
    <w:p>
      <w:pPr>
        <w:pStyle w:val="Heading1"/>
        <w:numPr>
          <w:ilvl w:val="0"/>
          <w:numId w:val="12"/>
        </w:numPr>
        <w:tabs>
          <w:tab w:val="left" w:pos="1056"/>
        </w:tabs>
        <w:spacing w:before="0" w:after="0" w:line="240" w:lineRule="auto"/>
        <w:ind w:left="1056" w:right="0" w:hanging="765"/>
        <w:jc w:val="left"/>
      </w:pPr>
      <w:r>
        <w:t>专家推理机制</w:t>
      </w:r>
    </w:p>
    <w:p>
      <w:pPr>
        <w:pStyle w:val="BodyText"/>
        <w:spacing w:before="14"/>
        <w:ind w:left="0"/>
        <w:rPr>
          <w:rFonts w:ascii="华文中宋"/>
          <w:b/>
          <w:sz w:val="46"/>
        </w:rPr>
      </w:pPr>
    </w:p>
    <w:p>
      <w:pPr>
        <w:pStyle w:val="BodyText"/>
        <w:spacing w:line="364" w:lineRule="auto"/>
        <w:ind w:right="384" w:firstLine="720"/>
        <w:jc w:val="both"/>
      </w:pPr>
      <w:r>
        <w:t>按照控制器在整个专家控制系统中的作用，可以将专家控制系统分为两类：直接专家</w:t>
      </w:r>
      <w:r>
        <w:rPr>
          <w:spacing w:val="-7"/>
        </w:rPr>
        <w:t>控制系统和间接专家控制系统。 由于直接专家控制系统缺乏一些分析控制性能的方法，并</w:t>
      </w:r>
      <w:r>
        <w:t>且势必会使得调节过于频繁，不符合控制器操作要求，所以我们采用系统底层为模糊控制算法的间接专家控制系统， 我们设计的专家系统推理结构如下：</w:t>
      </w:r>
    </w:p>
    <w:p>
      <w:pPr>
        <w:pStyle w:val="BodyText"/>
        <w:spacing w:before="5" w:line="364" w:lineRule="auto"/>
        <w:ind w:right="284" w:firstLine="540"/>
      </w:pPr>
      <w:r>
        <w:t>系统将采集到的数据分两路，一路进入分析处理模块，另外一路进入自学习模块。进入分析处理模块的数据，首先判断出口磷的含量是否超标，若超标，则输出专家控制给定的控制调节量，并报警；若出口磷含量并未超标，则进入下一环节，判断入口磷的含量。根据入口磷到的含量，将按给定的划分将其划分为五种情况，每种情况对应不同的操作：</w:t>
      </w:r>
    </w:p>
    <w:p>
      <w:pPr>
        <w:pStyle w:val="BodyText"/>
        <w:spacing w:before="3"/>
        <w:ind w:left="7036"/>
      </w:pPr>
      <w:r>
        <w:pict>
          <v:group id="_x0000_s1031" style="width:725.75pt;height:277.9pt;margin-top:29.18pt;margin-left:84.25pt;mso-position-horizontal-relative:page;mso-wrap-distance-left:0;mso-wrap-distance-right:0;position:absolute;z-index:-251656192" coordorigin="1685,584" coordsize="14515,5558">
            <v:shape id="_x0000_s1032" type="#_x0000_t75" style="width:14515;height:5558;left:1685;position:absolute;top:583" stroked="f">
              <v:imagedata r:id="rId6" o:title=""/>
            </v:shape>
            <v:shape id="_x0000_s1033" type="#_x0000_t202" style="width:1216;height:299;left:2466;position:absolute;top:1026" filled="f" stroked="f">
              <v:textbox inset="0,0,0,0">
                <w:txbxContent>
                  <w:p>
                    <w:pPr>
                      <w:spacing w:before="0" w:line="299" w:lineRule="exact"/>
                      <w:ind w:left="0" w:right="0" w:firstLine="0"/>
                      <w:jc w:val="left"/>
                      <w:rPr>
                        <w:sz w:val="30"/>
                      </w:rPr>
                    </w:pPr>
                    <w:r>
                      <w:rPr>
                        <w:sz w:val="30"/>
                      </w:rPr>
                      <w:t>分类名称</w:t>
                    </w:r>
                  </w:p>
                </w:txbxContent>
              </v:textbox>
            </v:shape>
            <v:shape id="_x0000_s1034" type="#_x0000_t202" style="width:1216;height:299;left:7165;position:absolute;top:1026" filled="f" stroked="f">
              <v:textbox inset="0,0,0,0">
                <w:txbxContent>
                  <w:p>
                    <w:pPr>
                      <w:spacing w:before="0" w:line="299" w:lineRule="exact"/>
                      <w:ind w:left="0" w:right="0" w:firstLine="0"/>
                      <w:jc w:val="left"/>
                      <w:rPr>
                        <w:sz w:val="30"/>
                      </w:rPr>
                    </w:pPr>
                    <w:r>
                      <w:rPr>
                        <w:sz w:val="30"/>
                      </w:rPr>
                      <w:t>划分依据</w:t>
                    </w:r>
                  </w:p>
                </w:txbxContent>
              </v:textbox>
            </v:shape>
            <v:shape id="_x0000_s1035" type="#_x0000_t202" style="width:1216;height:299;left:13030;position:absolute;top:1026" filled="f" stroked="f">
              <v:textbox inset="0,0,0,0">
                <w:txbxContent>
                  <w:p>
                    <w:pPr>
                      <w:spacing w:before="0" w:line="299" w:lineRule="exact"/>
                      <w:ind w:left="0" w:right="0" w:firstLine="0"/>
                      <w:jc w:val="left"/>
                      <w:rPr>
                        <w:sz w:val="30"/>
                      </w:rPr>
                    </w:pPr>
                    <w:r>
                      <w:rPr>
                        <w:sz w:val="30"/>
                      </w:rPr>
                      <w:t>对应处理</w:t>
                    </w:r>
                  </w:p>
                </w:txbxContent>
              </v:textbox>
            </v:shape>
            <v:shape id="_x0000_s1036" type="#_x0000_t202" style="width:618;height:299;left:2765;position:absolute;top:1988" filled="f" stroked="f">
              <v:textbox inset="0,0,0,0">
                <w:txbxContent>
                  <w:p>
                    <w:pPr>
                      <w:spacing w:before="0" w:line="299" w:lineRule="exact"/>
                      <w:ind w:left="0" w:right="0" w:firstLine="0"/>
                      <w:jc w:val="left"/>
                      <w:rPr>
                        <w:sz w:val="30"/>
                      </w:rPr>
                    </w:pPr>
                    <w:r>
                      <w:rPr>
                        <w:sz w:val="30"/>
                      </w:rPr>
                      <w:t>超低</w:t>
                    </w:r>
                  </w:p>
                </w:txbxContent>
              </v:textbox>
            </v:shape>
            <v:shape id="_x0000_s1037" type="#_x0000_t202" style="width:4204;height:299;left:5663;position:absolute;top:1988" filled="f" stroked="f">
              <v:textbox inset="0,0,0,0">
                <w:txbxContent>
                  <w:p>
                    <w:pPr>
                      <w:spacing w:before="0" w:line="299" w:lineRule="exact"/>
                      <w:ind w:left="0" w:right="0" w:firstLine="0"/>
                      <w:jc w:val="left"/>
                      <w:rPr>
                        <w:sz w:val="30"/>
                      </w:rPr>
                    </w:pPr>
                    <w:r>
                      <w:rPr>
                        <w:w w:val="95"/>
                        <w:sz w:val="30"/>
                      </w:rPr>
                      <w:t>磷含量很低，超出自动调节范围</w:t>
                    </w:r>
                  </w:p>
                </w:txbxContent>
              </v:textbox>
            </v:shape>
            <v:shape id="_x0000_s1038" type="#_x0000_t202" style="width:3307;height:299;left:11979;position:absolute;top:1988" filled="f" stroked="f">
              <v:textbox inset="0,0,0,0">
                <w:txbxContent>
                  <w:p>
                    <w:pPr>
                      <w:spacing w:before="0" w:line="299" w:lineRule="exact"/>
                      <w:ind w:left="0" w:right="0" w:firstLine="0"/>
                      <w:jc w:val="left"/>
                      <w:rPr>
                        <w:sz w:val="30"/>
                      </w:rPr>
                    </w:pPr>
                    <w:r>
                      <w:rPr>
                        <w:sz w:val="30"/>
                      </w:rPr>
                      <w:t>调节值处于最低，并报警</w:t>
                    </w:r>
                  </w:p>
                </w:txbxContent>
              </v:textbox>
            </v:shape>
            <v:shape id="_x0000_s1039" type="#_x0000_t202" style="width:618;height:299;left:2765;position:absolute;top:2834" filled="f" stroked="f">
              <v:textbox inset="0,0,0,0">
                <w:txbxContent>
                  <w:p>
                    <w:pPr>
                      <w:spacing w:before="0" w:line="299" w:lineRule="exact"/>
                      <w:ind w:left="0" w:right="0" w:firstLine="0"/>
                      <w:jc w:val="left"/>
                      <w:rPr>
                        <w:sz w:val="30"/>
                      </w:rPr>
                    </w:pPr>
                    <w:r>
                      <w:rPr>
                        <w:sz w:val="30"/>
                      </w:rPr>
                      <w:t>偏低</w:t>
                    </w:r>
                  </w:p>
                </w:txbxContent>
              </v:textbox>
            </v:shape>
            <v:shape id="_x0000_s1040" type="#_x0000_t202" style="width:3905;height:299;left:5815;position:absolute;top:2834" filled="f" stroked="f">
              <v:textbox inset="0,0,0,0">
                <w:txbxContent>
                  <w:p>
                    <w:pPr>
                      <w:spacing w:before="0" w:line="299" w:lineRule="exact"/>
                      <w:ind w:left="0" w:right="0" w:firstLine="0"/>
                      <w:jc w:val="left"/>
                      <w:rPr>
                        <w:sz w:val="30"/>
                      </w:rPr>
                    </w:pPr>
                    <w:r>
                      <w:rPr>
                        <w:w w:val="95"/>
                        <w:sz w:val="30"/>
                      </w:rPr>
                      <w:t>磷含量较低，但在可调范围内</w:t>
                    </w:r>
                  </w:p>
                </w:txbxContent>
              </v:textbox>
            </v:shape>
            <v:shape id="_x0000_s1041" type="#_x0000_t202" style="width:2411;height:299;left:12429;position:absolute;top:2834" filled="f" stroked="f">
              <v:textbox inset="0,0,0,0">
                <w:txbxContent>
                  <w:p>
                    <w:pPr>
                      <w:spacing w:before="0" w:line="299" w:lineRule="exact"/>
                      <w:ind w:left="0" w:right="0" w:firstLine="0"/>
                      <w:jc w:val="left"/>
                      <w:rPr>
                        <w:sz w:val="30"/>
                      </w:rPr>
                    </w:pPr>
                    <w:r>
                      <w:rPr>
                        <w:sz w:val="30"/>
                      </w:rPr>
                      <w:t>输出特定的较低值</w:t>
                    </w:r>
                  </w:p>
                </w:txbxContent>
              </v:textbox>
            </v:shape>
            <v:shape id="_x0000_s1042" type="#_x0000_t202" style="width:618;height:299;left:2765;position:absolute;top:3669" filled="f" stroked="f">
              <v:textbox inset="0,0,0,0">
                <w:txbxContent>
                  <w:p>
                    <w:pPr>
                      <w:spacing w:before="0" w:line="299" w:lineRule="exact"/>
                      <w:ind w:left="0" w:right="0" w:firstLine="0"/>
                      <w:jc w:val="left"/>
                      <w:rPr>
                        <w:sz w:val="30"/>
                      </w:rPr>
                    </w:pPr>
                    <w:r>
                      <w:rPr>
                        <w:sz w:val="30"/>
                      </w:rPr>
                      <w:t>正常</w:t>
                    </w:r>
                  </w:p>
                </w:txbxContent>
              </v:textbox>
            </v:shape>
            <v:shape id="_x0000_s1043" type="#_x0000_t202" style="width:3307;height:299;left:6114;position:absolute;top:3669" filled="f" stroked="f">
              <v:textbox inset="0,0,0,0">
                <w:txbxContent>
                  <w:p>
                    <w:pPr>
                      <w:spacing w:before="0" w:line="299" w:lineRule="exact"/>
                      <w:ind w:left="0" w:right="0" w:firstLine="0"/>
                      <w:jc w:val="left"/>
                      <w:rPr>
                        <w:sz w:val="30"/>
                      </w:rPr>
                    </w:pPr>
                    <w:r>
                      <w:rPr>
                        <w:sz w:val="30"/>
                      </w:rPr>
                      <w:t>磷含量在自动调节范围内</w:t>
                    </w:r>
                  </w:p>
                </w:txbxContent>
              </v:textbox>
            </v:shape>
            <v:shape id="_x0000_s1044" type="#_x0000_t202" style="width:3606;height:299;left:11828;position:absolute;top:3669" filled="f" stroked="f">
              <v:textbox inset="0,0,0,0">
                <w:txbxContent>
                  <w:p>
                    <w:pPr>
                      <w:spacing w:before="0" w:line="299" w:lineRule="exact"/>
                      <w:ind w:left="0" w:right="0" w:firstLine="0"/>
                      <w:jc w:val="left"/>
                      <w:rPr>
                        <w:sz w:val="30"/>
                      </w:rPr>
                    </w:pPr>
                    <w:r>
                      <w:rPr>
                        <w:w w:val="95"/>
                        <w:sz w:val="30"/>
                      </w:rPr>
                      <w:t>按模糊区间划分，对应处理</w:t>
                    </w:r>
                  </w:p>
                </w:txbxContent>
              </v:textbox>
            </v:shape>
            <v:shape id="_x0000_s1045" type="#_x0000_t202" style="width:618;height:299;left:2765;position:absolute;top:4530" filled="f" stroked="f">
              <v:textbox inset="0,0,0,0">
                <w:txbxContent>
                  <w:p>
                    <w:pPr>
                      <w:spacing w:before="0" w:line="299" w:lineRule="exact"/>
                      <w:ind w:left="0" w:right="0" w:firstLine="0"/>
                      <w:jc w:val="left"/>
                      <w:rPr>
                        <w:sz w:val="30"/>
                      </w:rPr>
                    </w:pPr>
                    <w:r>
                      <w:rPr>
                        <w:sz w:val="30"/>
                      </w:rPr>
                      <w:t>偏高</w:t>
                    </w:r>
                  </w:p>
                </w:txbxContent>
              </v:textbox>
            </v:shape>
            <v:shape id="_x0000_s1046" type="#_x0000_t202" style="width:3905;height:299;left:5815;position:absolute;top:4530" filled="f" stroked="f">
              <v:textbox inset="0,0,0,0">
                <w:txbxContent>
                  <w:p>
                    <w:pPr>
                      <w:spacing w:before="0" w:line="299" w:lineRule="exact"/>
                      <w:ind w:left="0" w:right="0" w:firstLine="0"/>
                      <w:jc w:val="left"/>
                      <w:rPr>
                        <w:sz w:val="30"/>
                      </w:rPr>
                    </w:pPr>
                    <w:r>
                      <w:rPr>
                        <w:w w:val="95"/>
                        <w:sz w:val="30"/>
                      </w:rPr>
                      <w:t>磷含量较高，但在可调范围内</w:t>
                    </w:r>
                  </w:p>
                </w:txbxContent>
              </v:textbox>
            </v:shape>
            <v:shape id="_x0000_s1047" type="#_x0000_t202" style="width:2411;height:299;left:12429;position:absolute;top:4530" filled="f" stroked="f">
              <v:textbox inset="0,0,0,0">
                <w:txbxContent>
                  <w:p>
                    <w:pPr>
                      <w:spacing w:before="0" w:line="299" w:lineRule="exact"/>
                      <w:ind w:left="0" w:right="0" w:firstLine="0"/>
                      <w:jc w:val="left"/>
                      <w:rPr>
                        <w:sz w:val="30"/>
                      </w:rPr>
                    </w:pPr>
                    <w:r>
                      <w:rPr>
                        <w:sz w:val="30"/>
                      </w:rPr>
                      <w:t>输出特定的较低值</w:t>
                    </w:r>
                  </w:p>
                </w:txbxContent>
              </v:textbox>
            </v:shape>
            <v:shape id="_x0000_s1048" type="#_x0000_t202" style="width:618;height:299;left:2765;position:absolute;top:5494" filled="f" stroked="f">
              <v:textbox inset="0,0,0,0">
                <w:txbxContent>
                  <w:p>
                    <w:pPr>
                      <w:spacing w:before="0" w:line="299" w:lineRule="exact"/>
                      <w:ind w:left="0" w:right="0" w:firstLine="0"/>
                      <w:jc w:val="left"/>
                      <w:rPr>
                        <w:sz w:val="30"/>
                      </w:rPr>
                    </w:pPr>
                    <w:r>
                      <w:rPr>
                        <w:sz w:val="30"/>
                      </w:rPr>
                      <w:t>超高</w:t>
                    </w:r>
                  </w:p>
                </w:txbxContent>
              </v:textbox>
            </v:shape>
            <v:shape id="_x0000_s1049" type="#_x0000_t202" style="width:4204;height:299;left:5663;position:absolute;top:5494" filled="f" stroked="f">
              <v:textbox inset="0,0,0,0">
                <w:txbxContent>
                  <w:p>
                    <w:pPr>
                      <w:spacing w:before="0" w:line="299" w:lineRule="exact"/>
                      <w:ind w:left="0" w:right="0" w:firstLine="0"/>
                      <w:jc w:val="left"/>
                      <w:rPr>
                        <w:sz w:val="30"/>
                      </w:rPr>
                    </w:pPr>
                    <w:r>
                      <w:rPr>
                        <w:w w:val="95"/>
                        <w:sz w:val="30"/>
                      </w:rPr>
                      <w:t>磷含量很高，超出自动调节范围</w:t>
                    </w:r>
                  </w:p>
                </w:txbxContent>
              </v:textbox>
            </v:shape>
            <v:shape id="_x0000_s1050" type="#_x0000_t202" style="width:3307;height:299;left:11979;position:absolute;top:5494" filled="f" stroked="f">
              <v:textbox inset="0,0,0,0">
                <w:txbxContent>
                  <w:p>
                    <w:pPr>
                      <w:spacing w:before="0" w:line="299" w:lineRule="exact"/>
                      <w:ind w:left="0" w:right="0" w:firstLine="0"/>
                      <w:jc w:val="left"/>
                      <w:rPr>
                        <w:sz w:val="30"/>
                      </w:rPr>
                    </w:pPr>
                    <w:r>
                      <w:rPr>
                        <w:sz w:val="30"/>
                      </w:rPr>
                      <w:t>调节值处于最高，并报警</w:t>
                    </w:r>
                  </w:p>
                </w:txbxContent>
              </v:textbox>
            </v:shape>
            <w10:wrap type="topAndBottom"/>
          </v:group>
        </w:pict>
      </w:r>
      <w:r>
        <w:t>表 1</w:t>
      </w:r>
    </w:p>
    <w:p>
      <w:pPr>
        <w:spacing w:after="0"/>
        <w:sectPr>
          <w:pgSz w:w="17860" w:h="25260"/>
          <w:pgMar w:top="1640" w:right="1480" w:bottom="280" w:left="1580" w:header="708" w:footer="708"/>
          <w:pgNumType w:start="6"/>
          <w:cols w:space="708"/>
        </w:sectPr>
      </w:pPr>
    </w:p>
    <w:p>
      <w:pPr>
        <w:pStyle w:val="BodyText"/>
        <w:spacing w:before="24" w:line="364" w:lineRule="auto"/>
        <w:ind w:right="464" w:firstLine="720"/>
        <w:jc w:val="both"/>
      </w:pPr>
      <w:r>
        <w:t>当入口磷处于正常的情况下时，将其按照模糊分类的方法分为若干种处理方法（具体划分区间待定），然后按照给定的模糊对应关系，得到输出，含磷量与对应的调节量输出的关系。</w:t>
      </w:r>
    </w:p>
    <w:p>
      <w:pPr>
        <w:pStyle w:val="BodyText"/>
        <w:spacing w:before="3" w:line="364" w:lineRule="auto"/>
        <w:ind w:right="464" w:firstLine="720"/>
        <w:jc w:val="both"/>
      </w:pPr>
      <w:r>
        <w:rPr>
          <w:spacing w:val="-1"/>
        </w:rPr>
        <w:t>另外，由于考虑到前馈仍然有的延迟，所以若本次测得的含磷量比上次的含磷量有较大的变化，这种变化可能在几十分钟以前已经发生，这就使得按照上述关系进行的调节不</w:t>
      </w:r>
      <w:r>
        <w:t>能够做得很好。考虑难道这种情况，我们引入一定的阈值</w:t>
      </w:r>
      <w:r>
        <w:rPr>
          <w:rFonts w:ascii="Arial" w:eastAsia="Arial" w:hAnsi="Arial"/>
        </w:rPr>
        <w:t>α</w:t>
      </w:r>
      <w:r>
        <w:rPr>
          <w:rFonts w:ascii="Arial" w:eastAsia="Arial" w:hAnsi="Arial"/>
          <w:spacing w:val="51"/>
        </w:rPr>
        <w:t xml:space="preserve"> </w:t>
      </w:r>
      <w:r>
        <w:t>和变化量△X</w:t>
      </w:r>
    </w:p>
    <w:p>
      <w:pPr>
        <w:pStyle w:val="BodyText"/>
        <w:spacing w:before="3"/>
        <w:ind w:left="3825" w:right="3203"/>
        <w:jc w:val="center"/>
      </w:pPr>
      <w:r>
        <w:drawing>
          <wp:anchor distT="0" distB="0" distL="0" distR="0" simplePos="0" relativeHeight="251661312" behindDoc="1" locked="0" layoutInCell="1" allowOverlap="1">
            <wp:simplePos x="0" y="0"/>
            <wp:positionH relativeFrom="page">
              <wp:posOffset>1600200</wp:posOffset>
            </wp:positionH>
            <wp:positionV relativeFrom="paragraph">
              <wp:posOffset>373887</wp:posOffset>
            </wp:positionV>
            <wp:extent cx="8133016" cy="1836896"/>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png"/>
                    <pic:cNvPicPr/>
                  </pic:nvPicPr>
                  <pic:blipFill>
                    <a:blip xmlns:r="http://schemas.openxmlformats.org/officeDocument/2006/relationships" r:embed="rId7" cstate="print"/>
                    <a:stretch>
                      <a:fillRect/>
                    </a:stretch>
                  </pic:blipFill>
                  <pic:spPr>
                    <a:xfrm>
                      <a:off x="0" y="0"/>
                      <a:ext cx="8133016" cy="1836896"/>
                    </a:xfrm>
                    <a:prstGeom prst="rect">
                      <a:avLst/>
                    </a:prstGeom>
                  </pic:spPr>
                </pic:pic>
              </a:graphicData>
            </a:graphic>
          </wp:anchor>
        </w:drawing>
      </w:r>
      <w:r>
        <w:t>表 2</w:t>
      </w:r>
    </w:p>
    <w:p>
      <w:pPr>
        <w:pStyle w:val="BodyText"/>
        <w:ind w:left="0"/>
        <w:rPr>
          <w:sz w:val="20"/>
        </w:rPr>
      </w:pPr>
    </w:p>
    <w:p>
      <w:pPr>
        <w:pStyle w:val="BodyText"/>
        <w:spacing w:before="5"/>
        <w:ind w:left="0"/>
        <w:rPr>
          <w:sz w:val="10"/>
        </w:rPr>
      </w:pPr>
    </w:p>
    <w:tbl>
      <w:tblPr>
        <w:tblStyle w:val="TableNormal0"/>
        <w:tblW w:w="0" w:type="auto"/>
        <w:jc w:val="left"/>
        <w:tblInd w:w="1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21"/>
        <w:gridCol w:w="4708"/>
        <w:gridCol w:w="3645"/>
      </w:tblGrid>
      <w:tr>
        <w:tblPrEx>
          <w:tblW w:w="0" w:type="auto"/>
          <w:jc w:val="left"/>
          <w:tblInd w:w="1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00"/>
          <w:jc w:val="left"/>
        </w:trPr>
        <w:tc>
          <w:tcPr>
            <w:tcW w:w="2421" w:type="dxa"/>
          </w:tcPr>
          <w:p>
            <w:pPr>
              <w:pStyle w:val="TableParagraph"/>
              <w:spacing w:before="0" w:line="341" w:lineRule="exact"/>
              <w:ind w:left="29" w:right="1152"/>
              <w:jc w:val="center"/>
              <w:rPr>
                <w:sz w:val="30"/>
              </w:rPr>
            </w:pPr>
            <w:r>
              <w:rPr>
                <w:sz w:val="30"/>
              </w:rPr>
              <w:t>分类名称</w:t>
            </w:r>
          </w:p>
        </w:tc>
        <w:tc>
          <w:tcPr>
            <w:tcW w:w="4708" w:type="dxa"/>
          </w:tcPr>
          <w:p>
            <w:pPr>
              <w:pStyle w:val="TableParagraph"/>
              <w:spacing w:before="0" w:line="341" w:lineRule="exact"/>
              <w:ind w:left="1536"/>
              <w:rPr>
                <w:sz w:val="30"/>
              </w:rPr>
            </w:pPr>
            <w:r>
              <w:rPr>
                <w:sz w:val="30"/>
              </w:rPr>
              <w:t>划分依据</w:t>
            </w:r>
          </w:p>
        </w:tc>
        <w:tc>
          <w:tcPr>
            <w:tcW w:w="3645" w:type="dxa"/>
          </w:tcPr>
          <w:p>
            <w:pPr>
              <w:pStyle w:val="TableParagraph"/>
              <w:spacing w:before="0" w:line="341" w:lineRule="exact"/>
              <w:ind w:left="1520" w:right="25"/>
              <w:jc w:val="center"/>
              <w:rPr>
                <w:sz w:val="30"/>
              </w:rPr>
            </w:pPr>
            <w:r>
              <w:rPr>
                <w:sz w:val="30"/>
              </w:rPr>
              <w:t>对应处理</w:t>
            </w:r>
          </w:p>
        </w:tc>
      </w:tr>
      <w:tr>
        <w:tblPrEx>
          <w:tblW w:w="0" w:type="auto"/>
          <w:jc w:val="left"/>
          <w:tblInd w:w="1567" w:type="dxa"/>
          <w:tblLayout w:type="fixed"/>
          <w:tblCellMar>
            <w:top w:w="0" w:type="dxa"/>
            <w:left w:w="0" w:type="dxa"/>
            <w:bottom w:w="0" w:type="dxa"/>
            <w:right w:w="0" w:type="dxa"/>
          </w:tblCellMar>
          <w:tblLook w:val="01E0"/>
        </w:tblPrEx>
        <w:trPr>
          <w:trHeight w:val="726"/>
          <w:jc w:val="left"/>
        </w:trPr>
        <w:tc>
          <w:tcPr>
            <w:tcW w:w="2421" w:type="dxa"/>
          </w:tcPr>
          <w:p>
            <w:pPr>
              <w:pStyle w:val="TableParagraph"/>
              <w:spacing w:before="183"/>
              <w:ind w:right="1123"/>
              <w:jc w:val="center"/>
              <w:rPr>
                <w:rFonts w:ascii="Calibri"/>
                <w:sz w:val="30"/>
              </w:rPr>
            </w:pPr>
            <w:r>
              <w:rPr>
                <w:rFonts w:ascii="Calibri"/>
                <w:w w:val="99"/>
                <w:sz w:val="30"/>
              </w:rPr>
              <w:t>1</w:t>
            </w:r>
          </w:p>
        </w:tc>
        <w:tc>
          <w:tcPr>
            <w:tcW w:w="4708" w:type="dxa"/>
          </w:tcPr>
          <w:p>
            <w:pPr>
              <w:pStyle w:val="TableParagraph"/>
              <w:spacing w:before="186"/>
              <w:ind w:left="1176"/>
              <w:rPr>
                <w:rFonts w:ascii="Arial" w:hAnsi="Arial"/>
                <w:sz w:val="30"/>
              </w:rPr>
            </w:pPr>
            <w:r>
              <w:rPr>
                <w:rFonts w:ascii="Calibri" w:hAnsi="Calibri"/>
                <w:sz w:val="30"/>
              </w:rPr>
              <w:t xml:space="preserve">X(n)-X(n-1)&gt; </w:t>
            </w:r>
            <w:r>
              <w:rPr>
                <w:rFonts w:ascii="Arial" w:hAnsi="Arial"/>
                <w:sz w:val="30"/>
              </w:rPr>
              <w:t>α</w:t>
            </w:r>
          </w:p>
        </w:tc>
        <w:tc>
          <w:tcPr>
            <w:tcW w:w="3645" w:type="dxa"/>
          </w:tcPr>
          <w:p>
            <w:pPr>
              <w:pStyle w:val="TableParagraph"/>
              <w:spacing w:before="172"/>
              <w:ind w:left="1520" w:right="30"/>
              <w:jc w:val="center"/>
              <w:rPr>
                <w:rFonts w:ascii="Calibri" w:hAnsi="Calibri"/>
                <w:sz w:val="30"/>
              </w:rPr>
            </w:pPr>
            <w:r>
              <w:rPr>
                <w:rFonts w:ascii="Calibri" w:hAnsi="Calibri"/>
                <w:sz w:val="30"/>
              </w:rPr>
              <w:t>Y=f(X+</w:t>
            </w:r>
            <w:r>
              <w:rPr>
                <w:sz w:val="30"/>
              </w:rPr>
              <w:t>△</w:t>
            </w:r>
            <w:r>
              <w:rPr>
                <w:rFonts w:ascii="Calibri" w:hAnsi="Calibri"/>
                <w:sz w:val="30"/>
              </w:rPr>
              <w:t>X)</w:t>
            </w:r>
          </w:p>
        </w:tc>
      </w:tr>
      <w:tr>
        <w:tblPrEx>
          <w:tblW w:w="0" w:type="auto"/>
          <w:jc w:val="left"/>
          <w:tblInd w:w="1567" w:type="dxa"/>
          <w:tblLayout w:type="fixed"/>
          <w:tblCellMar>
            <w:top w:w="0" w:type="dxa"/>
            <w:left w:w="0" w:type="dxa"/>
            <w:bottom w:w="0" w:type="dxa"/>
            <w:right w:w="0" w:type="dxa"/>
          </w:tblCellMar>
          <w:tblLook w:val="01E0"/>
        </w:tblPrEx>
        <w:trPr>
          <w:trHeight w:val="730"/>
          <w:jc w:val="left"/>
        </w:trPr>
        <w:tc>
          <w:tcPr>
            <w:tcW w:w="2421" w:type="dxa"/>
          </w:tcPr>
          <w:p>
            <w:pPr>
              <w:pStyle w:val="TableParagraph"/>
              <w:spacing w:before="174"/>
              <w:ind w:right="1123"/>
              <w:jc w:val="center"/>
              <w:rPr>
                <w:rFonts w:ascii="Calibri"/>
                <w:sz w:val="30"/>
              </w:rPr>
            </w:pPr>
            <w:r>
              <w:rPr>
                <w:rFonts w:ascii="Calibri"/>
                <w:w w:val="99"/>
                <w:sz w:val="30"/>
              </w:rPr>
              <w:t>2</w:t>
            </w:r>
          </w:p>
        </w:tc>
        <w:tc>
          <w:tcPr>
            <w:tcW w:w="4708" w:type="dxa"/>
          </w:tcPr>
          <w:p>
            <w:pPr>
              <w:pStyle w:val="TableParagraph"/>
              <w:spacing w:before="163"/>
              <w:ind w:left="124"/>
              <w:rPr>
                <w:rFonts w:ascii="Cambria Math" w:hAnsi="Cambria Math"/>
                <w:sz w:val="30"/>
              </w:rPr>
            </w:pPr>
            <w:r>
              <w:rPr>
                <w:rFonts w:ascii="Calibri" w:hAnsi="Calibri"/>
                <w:sz w:val="30"/>
              </w:rPr>
              <w:t>?</w:t>
            </w:r>
            <w:r>
              <w:rPr>
                <w:rFonts w:ascii="Cambria Math" w:hAnsi="Cambria Math"/>
                <w:sz w:val="30"/>
              </w:rPr>
              <w:t xml:space="preserve">?? </w:t>
            </w:r>
            <w:r>
              <w:rPr>
                <w:sz w:val="30"/>
              </w:rPr>
              <w:t xml:space="preserve">≤ </w:t>
            </w:r>
            <w:r>
              <w:rPr>
                <w:rFonts w:ascii="Cambria Math" w:hAnsi="Cambria Math"/>
                <w:sz w:val="30"/>
              </w:rPr>
              <w:t>??</w:t>
            </w:r>
            <w:r>
              <w:rPr>
                <w:rFonts w:ascii="Calibri" w:hAnsi="Calibri"/>
                <w:sz w:val="30"/>
              </w:rPr>
              <w:t>(</w:t>
            </w:r>
            <w:r>
              <w:rPr>
                <w:rFonts w:ascii="Cambria Math" w:hAnsi="Cambria Math"/>
                <w:sz w:val="30"/>
              </w:rPr>
              <w:t>??</w:t>
            </w:r>
            <w:r>
              <w:rPr>
                <w:rFonts w:ascii="Calibri" w:hAnsi="Calibri"/>
                <w:sz w:val="30"/>
              </w:rPr>
              <w:t xml:space="preserve">) ? </w:t>
            </w:r>
            <w:r>
              <w:rPr>
                <w:rFonts w:ascii="Cambria Math" w:hAnsi="Cambria Math"/>
                <w:sz w:val="30"/>
              </w:rPr>
              <w:t>??</w:t>
            </w:r>
            <w:r>
              <w:rPr>
                <w:rFonts w:ascii="Calibri" w:hAnsi="Calibri"/>
                <w:sz w:val="30"/>
              </w:rPr>
              <w:t>(</w:t>
            </w:r>
            <w:r>
              <w:rPr>
                <w:rFonts w:ascii="Cambria Math" w:hAnsi="Cambria Math"/>
                <w:sz w:val="30"/>
              </w:rPr>
              <w:t xml:space="preserve">?? </w:t>
            </w:r>
            <w:r>
              <w:rPr>
                <w:rFonts w:ascii="Calibri" w:hAnsi="Calibri"/>
                <w:sz w:val="30"/>
              </w:rPr>
              <w:t xml:space="preserve">? </w:t>
            </w:r>
            <w:r>
              <w:rPr>
                <w:rFonts w:ascii="Cambria Math" w:hAnsi="Cambria Math"/>
                <w:sz w:val="30"/>
              </w:rPr>
              <w:t>??</w:t>
            </w:r>
            <w:r>
              <w:rPr>
                <w:rFonts w:ascii="Calibri" w:hAnsi="Calibri"/>
                <w:sz w:val="30"/>
              </w:rPr>
              <w:t xml:space="preserve">) </w:t>
            </w:r>
            <w:r>
              <w:rPr>
                <w:sz w:val="30"/>
              </w:rPr>
              <w:t xml:space="preserve">≤ </w:t>
            </w:r>
            <w:r>
              <w:rPr>
                <w:rFonts w:ascii="Cambria Math" w:hAnsi="Cambria Math"/>
                <w:sz w:val="30"/>
              </w:rPr>
              <w:t>??</w:t>
            </w:r>
          </w:p>
        </w:tc>
        <w:tc>
          <w:tcPr>
            <w:tcW w:w="3645" w:type="dxa"/>
          </w:tcPr>
          <w:p>
            <w:pPr>
              <w:pStyle w:val="TableParagraph"/>
              <w:spacing w:before="174"/>
              <w:ind w:left="1519" w:right="30"/>
              <w:jc w:val="center"/>
              <w:rPr>
                <w:rFonts w:ascii="Calibri"/>
                <w:sz w:val="30"/>
              </w:rPr>
            </w:pPr>
            <w:r>
              <w:rPr>
                <w:rFonts w:ascii="Calibri"/>
                <w:sz w:val="30"/>
              </w:rPr>
              <w:t>Y=f(X)</w:t>
            </w:r>
          </w:p>
        </w:tc>
      </w:tr>
      <w:tr>
        <w:tblPrEx>
          <w:tblW w:w="0" w:type="auto"/>
          <w:jc w:val="left"/>
          <w:tblInd w:w="1567" w:type="dxa"/>
          <w:tblLayout w:type="fixed"/>
          <w:tblCellMar>
            <w:top w:w="0" w:type="dxa"/>
            <w:left w:w="0" w:type="dxa"/>
            <w:bottom w:w="0" w:type="dxa"/>
            <w:right w:w="0" w:type="dxa"/>
          </w:tblCellMar>
          <w:tblLook w:val="01E0"/>
        </w:tblPrEx>
        <w:trPr>
          <w:trHeight w:val="523"/>
          <w:jc w:val="left"/>
        </w:trPr>
        <w:tc>
          <w:tcPr>
            <w:tcW w:w="2421" w:type="dxa"/>
          </w:tcPr>
          <w:p>
            <w:pPr>
              <w:pStyle w:val="TableParagraph"/>
              <w:spacing w:before="160" w:line="344" w:lineRule="exact"/>
              <w:ind w:right="1123"/>
              <w:jc w:val="center"/>
              <w:rPr>
                <w:rFonts w:ascii="Calibri"/>
                <w:sz w:val="30"/>
              </w:rPr>
            </w:pPr>
            <w:r>
              <w:rPr>
                <w:rFonts w:ascii="Calibri"/>
                <w:w w:val="99"/>
                <w:sz w:val="30"/>
              </w:rPr>
              <w:t>3</w:t>
            </w:r>
          </w:p>
        </w:tc>
        <w:tc>
          <w:tcPr>
            <w:tcW w:w="4708" w:type="dxa"/>
          </w:tcPr>
          <w:p>
            <w:pPr>
              <w:pStyle w:val="TableParagraph"/>
              <w:spacing w:before="145" w:line="358" w:lineRule="exact"/>
              <w:ind w:left="1233"/>
              <w:rPr>
                <w:rFonts w:ascii="幼圆" w:hAnsi="幼圆"/>
                <w:sz w:val="30"/>
              </w:rPr>
            </w:pPr>
            <w:r>
              <w:rPr>
                <w:rFonts w:ascii="Calibri" w:hAnsi="Calibri"/>
                <w:sz w:val="30"/>
              </w:rPr>
              <w:t xml:space="preserve">X(n)-X(n-1)&lt;- </w:t>
            </w:r>
            <w:r>
              <w:rPr>
                <w:rFonts w:ascii="幼圆" w:hAnsi="幼圆"/>
                <w:sz w:val="30"/>
              </w:rPr>
              <w:t>α</w:t>
            </w:r>
          </w:p>
        </w:tc>
        <w:tc>
          <w:tcPr>
            <w:tcW w:w="3645" w:type="dxa"/>
          </w:tcPr>
          <w:p>
            <w:pPr>
              <w:pStyle w:val="TableParagraph"/>
              <w:spacing w:before="149" w:line="355" w:lineRule="exact"/>
              <w:ind w:left="1520" w:right="30"/>
              <w:jc w:val="center"/>
              <w:rPr>
                <w:rFonts w:ascii="Calibri" w:eastAsia="Calibri" w:hAnsi="Calibri"/>
                <w:sz w:val="30"/>
              </w:rPr>
            </w:pPr>
            <w:r>
              <w:rPr>
                <w:rFonts w:ascii="Calibri" w:eastAsia="Calibri" w:hAnsi="Calibri"/>
                <w:sz w:val="30"/>
              </w:rPr>
              <w:t>Y=f(X-</w:t>
            </w:r>
            <w:r>
              <w:rPr>
                <w:sz w:val="30"/>
              </w:rPr>
              <w:t>△</w:t>
            </w:r>
            <w:r>
              <w:rPr>
                <w:rFonts w:ascii="Calibri" w:eastAsia="Calibri" w:hAnsi="Calibri"/>
                <w:sz w:val="30"/>
              </w:rPr>
              <w:t>X)(</w:t>
            </w:r>
            <w:r>
              <w:rPr>
                <w:sz w:val="30"/>
              </w:rPr>
              <w:t>待定</w:t>
            </w:r>
            <w:r>
              <w:rPr>
                <w:rFonts w:ascii="Calibri" w:eastAsia="Calibri" w:hAnsi="Calibri"/>
                <w:sz w:val="30"/>
              </w:rPr>
              <w:t>)</w:t>
            </w:r>
          </w:p>
        </w:tc>
      </w:tr>
    </w:tbl>
    <w:p>
      <w:pPr>
        <w:pStyle w:val="BodyText"/>
        <w:spacing w:before="250" w:line="364" w:lineRule="auto"/>
        <w:ind w:right="2804"/>
      </w:pPr>
      <w:r>
        <w:t>其中，X(n)为本次测得的磷含量数据， X(n-1)为上次测得的磷含量数据； 结构如下：</w:t>
      </w:r>
    </w:p>
    <w:p>
      <w:pPr>
        <w:pStyle w:val="BodyText"/>
        <w:spacing w:before="2"/>
      </w:pPr>
      <w:r>
        <w:t>自学习模块：</w:t>
      </w:r>
    </w:p>
    <w:p>
      <w:pPr>
        <w:pStyle w:val="BodyText"/>
        <w:spacing w:before="241" w:line="364" w:lineRule="auto"/>
        <w:ind w:right="385" w:firstLine="900"/>
      </w:pPr>
      <w:r>
        <w:rPr>
          <w:spacing w:val="-6"/>
        </w:rPr>
        <w:t>由于历史数据不够健全和其他因素的影响，控制作用减弱或出现偏差，因此引入自学</w:t>
      </w:r>
      <w:r>
        <w:t>习模块，以便校正知识库中的不足。</w:t>
      </w:r>
    </w:p>
    <w:p>
      <w:pPr>
        <w:pStyle w:val="BodyText"/>
        <w:spacing w:before="2" w:line="364" w:lineRule="auto"/>
        <w:ind w:right="464" w:firstLine="720"/>
        <w:jc w:val="both"/>
      </w:pPr>
      <w:r>
        <w:t>对于进入自学习模块的数据，通过计算获取匹配的输入输出数据，即入口处磷含量， 加药数据与相应的处理后的污水磷含量数据，通过筛选出含磷量较高和较低的数据，找出对应的入口磷含量和加药量，按照专家系统调节量的分类标准进行分类。</w:t>
      </w:r>
    </w:p>
    <w:p>
      <w:pPr>
        <w:pStyle w:val="BodyText"/>
        <w:spacing w:before="3" w:line="364" w:lineRule="auto"/>
        <w:ind w:right="464" w:firstLine="720"/>
        <w:jc w:val="both"/>
      </w:pPr>
      <w:r>
        <w:t>数据总数不变，由新数据冲刷掉旧数据，在数据范围内，若某一区间的出口磷含量高于或低于相应的设定值，表明对应于该入口含磷量的污水欠加药或过加药，此时，修改模糊分类时的调节函数规则，如下：</w:t>
      </w:r>
    </w:p>
    <w:p>
      <w:pPr>
        <w:pStyle w:val="BodyText"/>
        <w:spacing w:before="3"/>
        <w:ind w:left="3819" w:right="3914"/>
        <w:jc w:val="center"/>
      </w:pPr>
      <w:r>
        <w:pict>
          <v:group id="_x0000_s1051" style="width:725.75pt;height:128pt;margin-top:29.17pt;margin-left:84.25pt;mso-position-horizontal-relative:page;mso-wrap-distance-left:0;mso-wrap-distance-right:0;position:absolute;z-index:-251654144" coordorigin="1685,583" coordsize="14515,2560">
            <v:shape id="_x0000_s1052" type="#_x0000_t75" style="width:14515;height:2560;left:1685;position:absolute;top:583" stroked="f">
              <v:imagedata r:id="rId8" o:title=""/>
            </v:shape>
            <v:shape id="_x0000_s1053" type="#_x0000_t202" style="width:1460;height:360;left:2762;position:absolute;top:773" filled="f" stroked="f">
              <v:textbox inset="0,0,0,0">
                <w:txbxContent>
                  <w:p>
                    <w:pPr>
                      <w:spacing w:before="0" w:line="360" w:lineRule="exact"/>
                      <w:ind w:left="0" w:right="0" w:firstLine="0"/>
                      <w:jc w:val="left"/>
                      <w:rPr>
                        <w:sz w:val="36"/>
                      </w:rPr>
                    </w:pPr>
                    <w:r>
                      <w:rPr>
                        <w:sz w:val="36"/>
                      </w:rPr>
                      <w:t>分类名称</w:t>
                    </w:r>
                  </w:p>
                </w:txbxContent>
              </v:textbox>
            </v:shape>
            <v:shape id="_x0000_s1054" type="#_x0000_t202" style="width:1460;height:360;left:7061;position:absolute;top:773" filled="f" stroked="f">
              <v:textbox inset="0,0,0,0">
                <w:txbxContent>
                  <w:p>
                    <w:pPr>
                      <w:spacing w:before="0" w:line="360" w:lineRule="exact"/>
                      <w:ind w:left="0" w:right="0" w:firstLine="0"/>
                      <w:jc w:val="left"/>
                      <w:rPr>
                        <w:sz w:val="36"/>
                      </w:rPr>
                    </w:pPr>
                    <w:r>
                      <w:rPr>
                        <w:sz w:val="36"/>
                      </w:rPr>
                      <w:t>划分依据</w:t>
                    </w:r>
                  </w:p>
                </w:txbxContent>
              </v:textbox>
            </v:shape>
            <v:shape id="_x0000_s1055" type="#_x0000_t202" style="width:1460;height:360;left:12508;position:absolute;top:773" filled="f" stroked="f">
              <v:textbox inset="0,0,0,0">
                <w:txbxContent>
                  <w:p>
                    <w:pPr>
                      <w:spacing w:before="0" w:line="360" w:lineRule="exact"/>
                      <w:ind w:left="0" w:right="0" w:firstLine="0"/>
                      <w:jc w:val="left"/>
                      <w:rPr>
                        <w:sz w:val="36"/>
                      </w:rPr>
                    </w:pPr>
                    <w:r>
                      <w:rPr>
                        <w:sz w:val="36"/>
                      </w:rPr>
                      <w:t>对应处理</w:t>
                    </w:r>
                  </w:p>
                </w:txbxContent>
              </v:textbox>
            </v:shape>
            <v:shape id="_x0000_s1056" type="#_x0000_t202" style="width:1100;height:360;left:2942;position:absolute;top:1660" filled="f" stroked="f">
              <v:textbox inset="0,0,0,0">
                <w:txbxContent>
                  <w:p>
                    <w:pPr>
                      <w:spacing w:before="0" w:line="360" w:lineRule="exact"/>
                      <w:ind w:left="0" w:right="0" w:firstLine="0"/>
                      <w:jc w:val="left"/>
                      <w:rPr>
                        <w:sz w:val="36"/>
                      </w:rPr>
                    </w:pPr>
                    <w:r>
                      <w:rPr>
                        <w:sz w:val="36"/>
                      </w:rPr>
                      <w:t>过加药</w:t>
                    </w:r>
                  </w:p>
                </w:txbxContent>
              </v:textbox>
            </v:shape>
            <v:shape id="_x0000_s1057" type="#_x0000_t202" style="width:1554;height:360;left:7014;position:absolute;top:1692" filled="f" stroked="f">
              <v:textbox inset="0,0,0,0">
                <w:txbxContent>
                  <w:p>
                    <w:pPr>
                      <w:spacing w:before="0" w:line="360" w:lineRule="exact"/>
                      <w:ind w:left="0" w:right="0" w:firstLine="0"/>
                      <w:jc w:val="left"/>
                      <w:rPr>
                        <w:rFonts w:ascii="Calibri"/>
                        <w:sz w:val="36"/>
                      </w:rPr>
                    </w:pPr>
                    <w:r>
                      <w:rPr>
                        <w:rFonts w:ascii="Calibri"/>
                        <w:sz w:val="36"/>
                      </w:rPr>
                      <w:t>Pi &gt; P_min</w:t>
                    </w:r>
                  </w:p>
                </w:txbxContent>
              </v:textbox>
            </v:shape>
            <v:shape id="_x0000_s1058" type="#_x0000_t202" style="width:1244;height:360;left:12616;position:absolute;top:1692" filled="f" stroked="f">
              <v:textbox inset="0,0,0,0">
                <w:txbxContent>
                  <w:p>
                    <w:pPr>
                      <w:spacing w:before="0" w:line="360" w:lineRule="exact"/>
                      <w:ind w:left="0" w:right="0" w:firstLine="0"/>
                      <w:jc w:val="left"/>
                      <w:rPr>
                        <w:rFonts w:ascii="Calibri"/>
                        <w:sz w:val="36"/>
                      </w:rPr>
                    </w:pPr>
                    <w:r>
                      <w:rPr>
                        <w:rFonts w:ascii="Calibri"/>
                        <w:sz w:val="36"/>
                      </w:rPr>
                      <w:t>Y=f(X)+T</w:t>
                    </w:r>
                  </w:p>
                </w:txbxContent>
              </v:textbox>
            </v:shape>
            <v:shape id="_x0000_s1059" type="#_x0000_t202" style="width:1100;height:360;left:2942;position:absolute;top:2473" filled="f" stroked="f">
              <v:textbox inset="0,0,0,0">
                <w:txbxContent>
                  <w:p>
                    <w:pPr>
                      <w:spacing w:before="0" w:line="360" w:lineRule="exact"/>
                      <w:ind w:left="0" w:right="0" w:firstLine="0"/>
                      <w:jc w:val="left"/>
                      <w:rPr>
                        <w:sz w:val="36"/>
                      </w:rPr>
                    </w:pPr>
                    <w:r>
                      <w:rPr>
                        <w:sz w:val="36"/>
                      </w:rPr>
                      <w:t>欠加药</w:t>
                    </w:r>
                  </w:p>
                </w:txbxContent>
              </v:textbox>
            </v:shape>
            <v:shape id="_x0000_s1060" type="#_x0000_t202" style="width:1642;height:360;left:6967;position:absolute;top:2506" filled="f" stroked="f">
              <v:textbox inset="0,0,0,0">
                <w:txbxContent>
                  <w:p>
                    <w:pPr>
                      <w:spacing w:before="0" w:line="360" w:lineRule="exact"/>
                      <w:ind w:left="0" w:right="0" w:firstLine="0"/>
                      <w:jc w:val="left"/>
                      <w:rPr>
                        <w:rFonts w:ascii="Calibri"/>
                        <w:sz w:val="36"/>
                      </w:rPr>
                    </w:pPr>
                    <w:r>
                      <w:rPr>
                        <w:rFonts w:ascii="Calibri"/>
                        <w:sz w:val="36"/>
                      </w:rPr>
                      <w:t>Qi &gt;Q_max</w:t>
                    </w:r>
                  </w:p>
                </w:txbxContent>
              </v:textbox>
            </v:shape>
            <v:shape id="_x0000_s1061" type="#_x0000_t202" style="width:1175;height:360;left:12652;position:absolute;top:2506" filled="f" stroked="f">
              <v:textbox inset="0,0,0,0">
                <w:txbxContent>
                  <w:p>
                    <w:pPr>
                      <w:spacing w:before="0" w:line="360" w:lineRule="exact"/>
                      <w:ind w:left="0" w:right="0" w:firstLine="0"/>
                      <w:jc w:val="left"/>
                      <w:rPr>
                        <w:rFonts w:ascii="Calibri"/>
                        <w:sz w:val="36"/>
                      </w:rPr>
                    </w:pPr>
                    <w:r>
                      <w:rPr>
                        <w:rFonts w:ascii="Calibri"/>
                        <w:sz w:val="36"/>
                      </w:rPr>
                      <w:t>Y=f(X)-T</w:t>
                    </w:r>
                  </w:p>
                </w:txbxContent>
              </v:textbox>
            </v:shape>
            <w10:wrap type="topAndBottom"/>
          </v:group>
        </w:pict>
      </w:r>
      <w:r>
        <w:t>表 3</w:t>
      </w:r>
    </w:p>
    <w:p>
      <w:pPr>
        <w:pStyle w:val="BodyText"/>
        <w:tabs>
          <w:tab w:val="left" w:pos="2362"/>
        </w:tabs>
        <w:spacing w:before="76" w:line="364" w:lineRule="auto"/>
        <w:ind w:right="463" w:firstLine="540"/>
      </w:pPr>
      <w:r>
        <w:t>其中</w:t>
      </w:r>
      <w:r>
        <w:rPr>
          <w:spacing w:val="-91"/>
        </w:rPr>
        <w:t xml:space="preserve"> </w:t>
      </w:r>
      <w:r>
        <w:t>Pi</w:t>
        <w:tab/>
        <w:t>为第</w:t>
      </w:r>
      <w:r>
        <w:rPr>
          <w:spacing w:val="-90"/>
        </w:rPr>
        <w:t xml:space="preserve"> </w:t>
      </w:r>
      <w:r>
        <w:t>i</w:t>
      </w:r>
      <w:r>
        <w:rPr>
          <w:spacing w:val="-90"/>
        </w:rPr>
        <w:t xml:space="preserve"> </w:t>
      </w:r>
      <w:r>
        <w:t>个区间的过加药数据的累计数量，Qi</w:t>
      </w:r>
      <w:r>
        <w:rPr>
          <w:spacing w:val="-90"/>
        </w:rPr>
        <w:t xml:space="preserve"> </w:t>
      </w:r>
      <w:r>
        <w:t>为第</w:t>
      </w:r>
      <w:r>
        <w:rPr>
          <w:spacing w:val="-89"/>
        </w:rPr>
        <w:t xml:space="preserve"> </w:t>
      </w:r>
      <w:r>
        <w:t>i</w:t>
      </w:r>
      <w:r>
        <w:rPr>
          <w:spacing w:val="-90"/>
        </w:rPr>
        <w:t xml:space="preserve"> </w:t>
      </w:r>
      <w:r>
        <w:t>个区间的欠加药数据的</w:t>
      </w:r>
      <w:r>
        <w:rPr>
          <w:spacing w:val="-17"/>
        </w:rPr>
        <w:t>累</w:t>
      </w:r>
      <w:r>
        <w:t>计数量，P_min，Q_max</w:t>
      </w:r>
      <w:r>
        <w:rPr>
          <w:spacing w:val="-90"/>
        </w:rPr>
        <w:t xml:space="preserve"> </w:t>
      </w:r>
      <w:r>
        <w:t>分别为对应的给定值，T</w:t>
      </w:r>
      <w:r>
        <w:rPr>
          <w:spacing w:val="-90"/>
        </w:rPr>
        <w:t xml:space="preserve"> </w:t>
      </w:r>
      <w:r>
        <w:t>为函数规则的修改量。</w:t>
      </w:r>
    </w:p>
    <w:p>
      <w:pPr>
        <w:spacing w:after="0" w:line="364" w:lineRule="auto"/>
        <w:sectPr>
          <w:pgSz w:w="17860" w:h="25260"/>
          <w:pgMar w:top="1640" w:right="1480" w:bottom="280" w:left="1580" w:header="708" w:footer="708"/>
          <w:pgNumType w:start="7"/>
          <w:cols w:space="708"/>
        </w:sectPr>
      </w:pPr>
    </w:p>
    <w:p>
      <w:pPr>
        <w:pStyle w:val="Heading1"/>
        <w:tabs>
          <w:tab w:val="left" w:pos="1232"/>
        </w:tabs>
        <w:spacing w:before="33"/>
      </w:pPr>
      <w:r>
        <w:t>(四)</w:t>
        <w:tab/>
        <w:t>除磷系统监控方案</w:t>
      </w:r>
    </w:p>
    <w:p>
      <w:pPr>
        <w:pStyle w:val="BodyText"/>
        <w:spacing w:before="8"/>
        <w:ind w:left="0"/>
        <w:rPr>
          <w:rFonts w:ascii="华文中宋"/>
          <w:b/>
          <w:sz w:val="53"/>
        </w:rPr>
      </w:pPr>
    </w:p>
    <w:p>
      <w:pPr>
        <w:pStyle w:val="BodyText"/>
        <w:spacing w:line="364" w:lineRule="auto"/>
        <w:ind w:right="206" w:firstLine="720"/>
      </w:pPr>
      <w:r>
        <w:t>污水处理厂除磷系统监控是污水处理监控的一部分，主要是解决除磷过程中的控制滞</w:t>
      </w:r>
      <w:r>
        <w:rPr>
          <w:spacing w:val="-11"/>
        </w:rPr>
        <w:t xml:space="preserve">后，以及由此引发的原料浪费和再度污染的问题，并对整个过程中的各参数进行实时监视， </w:t>
      </w:r>
      <w:r>
        <w:t>当设备故障、参数超标等情况下发出报警。</w:t>
      </w:r>
    </w:p>
    <w:p>
      <w:pPr>
        <w:pStyle w:val="BodyText"/>
        <w:spacing w:before="2"/>
        <w:ind w:left="0"/>
        <w:rPr>
          <w:sz w:val="33"/>
        </w:rPr>
      </w:pPr>
    </w:p>
    <w:p>
      <w:pPr>
        <w:pStyle w:val="Heading1"/>
      </w:pPr>
      <w:r>
        <w:rPr>
          <w:rFonts w:ascii="Cambria" w:eastAsia="Cambria"/>
        </w:rPr>
        <w:t>1</w:t>
      </w:r>
      <w:r>
        <w:t>）系统构成：</w:t>
      </w:r>
    </w:p>
    <w:p>
      <w:pPr>
        <w:pStyle w:val="BodyText"/>
        <w:spacing w:before="9"/>
        <w:ind w:left="0"/>
        <w:rPr>
          <w:rFonts w:ascii="华文中宋"/>
          <w:b/>
          <w:sz w:val="45"/>
        </w:rPr>
      </w:pPr>
    </w:p>
    <w:p>
      <w:pPr>
        <w:pStyle w:val="BodyText"/>
        <w:spacing w:before="1" w:line="364" w:lineRule="auto"/>
        <w:ind w:right="464" w:firstLine="720"/>
      </w:pPr>
      <w:r>
        <w:t>为了保证系统的稳定性和可靠性，设计中采用了两级控制方案对整套污水处理系统进行监控，上位机选用工业控制计算机，下位机为 PLC。</w:t>
      </w:r>
    </w:p>
    <w:p>
      <w:pPr>
        <w:pStyle w:val="BodyText"/>
        <w:spacing w:before="2" w:line="364" w:lineRule="auto"/>
        <w:ind w:right="384" w:firstLine="720"/>
      </w:pPr>
      <w:r>
        <w:rPr>
          <w:spacing w:val="-1"/>
        </w:rPr>
        <w:t xml:space="preserve">上位机的作用是提供一个人机交互界面，使操作人员可以通过 </w:t>
      </w:r>
      <w:r>
        <w:t>CRT</w:t>
      </w:r>
      <w:r>
        <w:rPr>
          <w:spacing w:val="-14"/>
        </w:rPr>
        <w:t xml:space="preserve"> 和模拟屏直观的了</w:t>
      </w:r>
      <w:r>
        <w:t>解现场各工艺参数及故障报警，根据生产需要发出相应的控制指令。另外可以使用大容量存储器记录历史数据，为提高生产效率制定新的生产方案提供可靠的依据。控制核心采用PLC，</w:t>
      </w:r>
      <w:r>
        <w:rPr>
          <w:spacing w:val="-5"/>
        </w:rPr>
        <w:t xml:space="preserve">其特点是体积小、功能多、可靠性高。编程后的 </w:t>
      </w:r>
      <w:r>
        <w:t>PLC 能够按照内部程序对系统进行实时监控，程序启停现场设备。</w:t>
      </w:r>
    </w:p>
    <w:p>
      <w:pPr>
        <w:pStyle w:val="BodyText"/>
        <w:spacing w:before="5" w:line="364" w:lineRule="auto"/>
        <w:ind w:right="373" w:firstLine="720"/>
        <w:jc w:val="both"/>
      </w:pPr>
      <w:r>
        <w:t>操作人员通过上位机向 PLC 发出相应的控制指令后，由 PLC 对现场进行直接控制。此时即便上位机出现故障（如死机、掉电等），也不会影响系统的正常工作，这样做大大提高了系统的安全稳定性。PLC 与上位机的通讯采用 RS485</w:t>
      </w:r>
      <w:r>
        <w:rPr>
          <w:spacing w:val="-11"/>
        </w:rPr>
        <w:t xml:space="preserve"> 方式，这种方式传输距离远， </w:t>
      </w:r>
      <w:r>
        <w:t>技术可靠。</w:t>
      </w:r>
    </w:p>
    <w:p>
      <w:pPr>
        <w:pStyle w:val="BodyText"/>
        <w:spacing w:before="3"/>
        <w:ind w:left="0"/>
        <w:rPr>
          <w:sz w:val="33"/>
        </w:rPr>
      </w:pPr>
    </w:p>
    <w:p>
      <w:pPr>
        <w:pStyle w:val="Heading1"/>
        <w:ind w:left="472"/>
      </w:pPr>
      <w:r>
        <w:rPr>
          <w:rFonts w:ascii="Cambria" w:eastAsia="Cambria"/>
        </w:rPr>
        <w:t>2</w:t>
      </w:r>
      <w:r>
        <w:t>）测控方式：</w:t>
      </w:r>
    </w:p>
    <w:p>
      <w:pPr>
        <w:pStyle w:val="BodyText"/>
        <w:spacing w:before="6"/>
        <w:ind w:left="0"/>
        <w:rPr>
          <w:rFonts w:ascii="华文中宋"/>
          <w:b/>
          <w:sz w:val="45"/>
        </w:rPr>
      </w:pPr>
    </w:p>
    <w:p>
      <w:pPr>
        <w:pStyle w:val="BodyText"/>
        <w:spacing w:line="364" w:lineRule="auto"/>
        <w:ind w:right="379" w:firstLine="720"/>
        <w:jc w:val="both"/>
      </w:pPr>
      <w:r>
        <w:t>各模拟量参数通过相应的变送器输出 4~20ma</w:t>
      </w:r>
      <w:r>
        <w:rPr>
          <w:spacing w:val="-15"/>
        </w:rPr>
        <w:t xml:space="preserve"> 的标准信号，通过屏蔽电缆接至 </w:t>
      </w:r>
      <w:r>
        <w:t>PLC 的AI</w:t>
      </w:r>
      <w:r>
        <w:rPr>
          <w:spacing w:val="-10"/>
        </w:rPr>
        <w:t xml:space="preserve"> 模块。各模拟量输出控制信号是以 </w:t>
      </w:r>
      <w:r>
        <w:t>4~20ma</w:t>
      </w:r>
      <w:r>
        <w:rPr>
          <w:spacing w:val="-12"/>
        </w:rPr>
        <w:t xml:space="preserve"> 的标准信号，从 </w:t>
      </w:r>
      <w:r>
        <w:t>PLC</w:t>
      </w:r>
      <w:r>
        <w:rPr>
          <w:spacing w:val="-30"/>
        </w:rPr>
        <w:t xml:space="preserve"> 的 </w:t>
      </w:r>
      <w:r>
        <w:t>AO</w:t>
      </w:r>
      <w:r>
        <w:rPr>
          <w:spacing w:val="-13"/>
        </w:rPr>
        <w:t xml:space="preserve"> 模块通过屏蔽电</w:t>
      </w:r>
      <w:r>
        <w:rPr>
          <w:spacing w:val="-16"/>
        </w:rPr>
        <w:t xml:space="preserve">缆接至相应设备。这些设备包括变频器、启闭阀门。数字输入信号为 </w:t>
      </w:r>
      <w:r>
        <w:t>24V</w:t>
      </w:r>
      <w:r>
        <w:rPr>
          <w:spacing w:val="-13"/>
        </w:rPr>
        <w:t xml:space="preserve"> 直流电信号，通过电缆接至 PLC</w:t>
      </w:r>
      <w:r>
        <w:rPr>
          <w:spacing w:val="-39"/>
        </w:rPr>
        <w:t xml:space="preserve"> 的 </w:t>
      </w:r>
      <w:r>
        <w:t>DI</w:t>
      </w:r>
      <w:r>
        <w:rPr>
          <w:spacing w:val="-16"/>
        </w:rPr>
        <w:t xml:space="preserve"> 模块。数字输出控制信号为 </w:t>
      </w:r>
      <w:r>
        <w:t>24V</w:t>
      </w:r>
      <w:r>
        <w:rPr>
          <w:spacing w:val="-12"/>
        </w:rPr>
        <w:t xml:space="preserve"> 直流电信号，从 </w:t>
      </w:r>
      <w:r>
        <w:t>PLC</w:t>
      </w:r>
      <w:r>
        <w:rPr>
          <w:spacing w:val="-30"/>
        </w:rPr>
        <w:t xml:space="preserve"> 的 </w:t>
      </w:r>
      <w:r>
        <w:t>DO</w:t>
      </w:r>
      <w:r>
        <w:rPr>
          <w:spacing w:val="-23"/>
        </w:rPr>
        <w:t xml:space="preserve"> 模块通过电缆接至现场设备。每台现场设备原则在其相应现地箱上输出有三个状态信号：故障、运行/</w:t>
      </w:r>
      <w:r>
        <w:rPr>
          <w:spacing w:val="-24"/>
        </w:rPr>
        <w:t>停止、手动</w:t>
      </w:r>
      <w:r>
        <w:t>/</w:t>
      </w:r>
      <w:r>
        <w:rPr>
          <w:spacing w:val="-3"/>
        </w:rPr>
        <w:t xml:space="preserve">自动；和一个启动信号。为了使现场与 </w:t>
      </w:r>
      <w:r>
        <w:t>PLC</w:t>
      </w:r>
      <w:r>
        <w:rPr>
          <w:spacing w:val="-2"/>
        </w:rPr>
        <w:t xml:space="preserve"> 完全隔离，</w:t>
      </w:r>
      <w:r>
        <w:rPr>
          <w:spacing w:val="-7"/>
        </w:rPr>
        <w:t>PLC</w:t>
      </w:r>
      <w:r>
        <w:rPr>
          <w:spacing w:val="-2"/>
        </w:rPr>
        <w:t xml:space="preserve"> 所有数字量</w:t>
      </w:r>
      <w:r>
        <w:t>模块与现地箱中间必须加辅助继电器。所有输出信号（包括模拟量和数字量）</w:t>
      </w:r>
      <w:r>
        <w:rPr>
          <w:spacing w:val="-48"/>
        </w:rPr>
        <w:t xml:space="preserve">由 </w:t>
      </w:r>
      <w:r>
        <w:t>PLC</w:t>
      </w:r>
      <w:r>
        <w:rPr>
          <w:spacing w:val="-6"/>
        </w:rPr>
        <w:t xml:space="preserve"> 内部</w:t>
      </w:r>
      <w:r>
        <w:t>程序或上位机指令控制。</w:t>
      </w:r>
    </w:p>
    <w:p>
      <w:pPr>
        <w:spacing w:after="0" w:line="364" w:lineRule="auto"/>
        <w:jc w:val="both"/>
        <w:sectPr>
          <w:pgSz w:w="17860" w:h="25260"/>
          <w:pgMar w:top="1640" w:right="1480" w:bottom="280" w:left="1580" w:header="708" w:footer="708"/>
          <w:pgNumType w:start="8"/>
          <w:cols w:space="708"/>
        </w:sectPr>
      </w:pPr>
    </w:p>
    <w:p>
      <w:pPr>
        <w:pStyle w:val="BodyText"/>
        <w:spacing w:before="24" w:line="364" w:lineRule="auto"/>
        <w:ind w:right="383" w:firstLine="720"/>
        <w:jc w:val="both"/>
        <w:rPr>
          <w:rFonts w:ascii="幼圆" w:eastAsia="幼圆" w:hint="eastAsia"/>
        </w:rPr>
      </w:pPr>
      <w:r>
        <w:rPr>
          <w:rFonts w:ascii="幼圆" w:eastAsia="幼圆" w:hint="eastAsia"/>
          <w:spacing w:val="-10"/>
        </w:rPr>
        <w:t xml:space="preserve">现场的仪器仪表、机电设备的运行数据采用 </w:t>
      </w:r>
      <w:r>
        <w:rPr>
          <w:rFonts w:ascii="幼圆" w:eastAsia="幼圆" w:hint="eastAsia"/>
        </w:rPr>
        <w:t>GPRS/CDMA</w:t>
      </w:r>
      <w:r>
        <w:rPr>
          <w:rFonts w:ascii="幼圆" w:eastAsia="幼圆" w:hint="eastAsia"/>
          <w:spacing w:val="-17"/>
        </w:rPr>
        <w:t xml:space="preserve"> 无线网络、工业以太网、</w:t>
      </w:r>
      <w:r>
        <w:rPr>
          <w:rFonts w:ascii="幼圆" w:eastAsia="幼圆" w:hint="eastAsia"/>
          <w:spacing w:val="-3"/>
        </w:rPr>
        <w:t xml:space="preserve">RS485 </w:t>
      </w:r>
      <w:r>
        <w:rPr>
          <w:rFonts w:ascii="幼圆" w:eastAsia="幼圆" w:hint="eastAsia"/>
        </w:rPr>
        <w:t>总线等通讯方式经由 I/O Server 实现设备的实时数据快速采集。</w:t>
      </w:r>
    </w:p>
    <w:p>
      <w:pPr>
        <w:pStyle w:val="BodyText"/>
        <w:spacing w:before="12"/>
        <w:ind w:left="0"/>
        <w:rPr>
          <w:rFonts w:ascii="幼圆"/>
        </w:rPr>
      </w:pPr>
    </w:p>
    <w:p>
      <w:pPr>
        <w:pStyle w:val="Heading1"/>
        <w:rPr>
          <w:rFonts w:ascii="幼圆" w:eastAsia="幼圆" w:hint="eastAsia"/>
        </w:rPr>
      </w:pPr>
      <w:r>
        <w:rPr>
          <w:rFonts w:ascii="幼圆" w:eastAsia="幼圆" w:hint="eastAsia"/>
        </w:rPr>
        <w:t>3</w:t>
      </w:r>
      <w:r>
        <w:rPr>
          <w:rFonts w:ascii="幼圆" w:eastAsia="幼圆" w:hint="eastAsia"/>
          <w:spacing w:val="-150"/>
        </w:rPr>
        <w:t xml:space="preserve"> </w:t>
      </w:r>
      <w:r>
        <w:rPr>
          <w:rFonts w:ascii="幼圆" w:eastAsia="幼圆" w:hint="eastAsia"/>
        </w:rPr>
        <w:t>）软件设计：</w:t>
      </w:r>
    </w:p>
    <w:p>
      <w:pPr>
        <w:pStyle w:val="BodyText"/>
        <w:ind w:left="0"/>
        <w:rPr>
          <w:rFonts w:ascii="幼圆"/>
          <w:b/>
        </w:rPr>
      </w:pPr>
    </w:p>
    <w:p>
      <w:pPr>
        <w:pStyle w:val="BodyText"/>
        <w:spacing w:before="320" w:line="364" w:lineRule="auto"/>
        <w:ind w:right="383" w:firstLine="720"/>
        <w:jc w:val="both"/>
        <w:rPr>
          <w:rFonts w:ascii="幼圆" w:eastAsia="幼圆" w:hint="eastAsia"/>
        </w:rPr>
      </w:pPr>
      <w:r>
        <w:rPr>
          <w:rFonts w:ascii="幼圆" w:eastAsia="幼圆" w:hint="eastAsia"/>
          <w:spacing w:val="-8"/>
        </w:rPr>
        <w:t xml:space="preserve">上位机软件可采用西门子的 </w:t>
      </w:r>
      <w:r>
        <w:rPr>
          <w:rFonts w:ascii="幼圆" w:eastAsia="幼圆" w:hint="eastAsia"/>
        </w:rPr>
        <w:t>SIMATIC</w:t>
      </w:r>
      <w:r>
        <w:rPr>
          <w:rFonts w:ascii="幼圆" w:eastAsia="幼圆" w:hint="eastAsia"/>
          <w:spacing w:val="-91"/>
        </w:rPr>
        <w:t xml:space="preserve"> </w:t>
      </w:r>
      <w:r>
        <w:rPr>
          <w:rFonts w:ascii="幼圆" w:eastAsia="幼圆" w:hint="eastAsia"/>
        </w:rPr>
        <w:t>WinCC</w:t>
      </w:r>
      <w:r>
        <w:rPr>
          <w:rFonts w:ascii="幼圆" w:eastAsia="幼圆" w:hint="eastAsia"/>
          <w:spacing w:val="-14"/>
        </w:rPr>
        <w:t xml:space="preserve"> 作为监控平台，</w:t>
      </w:r>
      <w:r>
        <w:rPr>
          <w:rFonts w:ascii="幼圆" w:eastAsia="幼圆" w:hint="eastAsia"/>
        </w:rPr>
        <w:t>WinCC</w:t>
      </w:r>
      <w:r>
        <w:rPr>
          <w:rFonts w:ascii="幼圆" w:eastAsia="幼圆" w:hint="eastAsia"/>
          <w:spacing w:val="17"/>
        </w:rPr>
        <w:t xml:space="preserve"> 是一个集成的人机</w:t>
      </w:r>
      <w:r>
        <w:rPr>
          <w:rFonts w:ascii="幼圆" w:eastAsia="幼圆" w:hint="eastAsia"/>
        </w:rPr>
        <w:t>界面(HMI)系统和监控管理系统，是视窗控制中心(Windows</w:t>
      </w:r>
      <w:r>
        <w:rPr>
          <w:rFonts w:ascii="幼圆" w:eastAsia="幼圆" w:hint="eastAsia"/>
          <w:spacing w:val="-51"/>
        </w:rPr>
        <w:t xml:space="preserve"> </w:t>
      </w:r>
      <w:r>
        <w:rPr>
          <w:rFonts w:ascii="幼圆" w:eastAsia="幼圆" w:hint="eastAsia"/>
        </w:rPr>
        <w:t>Control</w:t>
      </w:r>
      <w:r>
        <w:rPr>
          <w:rFonts w:ascii="幼圆" w:eastAsia="幼圆" w:hint="eastAsia"/>
          <w:spacing w:val="-50"/>
        </w:rPr>
        <w:t xml:space="preserve"> </w:t>
      </w:r>
      <w:r>
        <w:rPr>
          <w:rFonts w:ascii="幼圆" w:eastAsia="幼圆" w:hint="eastAsia"/>
        </w:rPr>
        <w:t>Center</w:t>
      </w:r>
      <w:r>
        <w:rPr>
          <w:rFonts w:ascii="幼圆" w:eastAsia="幼圆" w:hint="eastAsia"/>
          <w:spacing w:val="-2"/>
        </w:rPr>
        <w:t>)的简称。它包</w:t>
      </w:r>
      <w:r>
        <w:rPr>
          <w:rFonts w:ascii="幼圆" w:eastAsia="幼圆" w:hint="eastAsia"/>
        </w:rPr>
        <w:t>括变量管理、结构变量、图形编辑器、报警记录、变量记录、全局脚本、文本库、用户管理等功能，使其具有高性能的过程耦合、快速的画面更新、以及可靠的数据管理功能。在大量的实践中，WINCC 已得到了广泛的应用。</w:t>
      </w:r>
    </w:p>
    <w:p>
      <w:pPr>
        <w:pStyle w:val="BodyText"/>
        <w:spacing w:before="5" w:line="364" w:lineRule="auto"/>
        <w:ind w:right="379" w:firstLine="720"/>
        <w:jc w:val="both"/>
        <w:rPr>
          <w:rFonts w:ascii="幼圆" w:eastAsia="幼圆" w:hint="eastAsia"/>
        </w:rPr>
      </w:pPr>
      <w:r>
        <w:rPr>
          <w:rFonts w:ascii="幼圆" w:eastAsia="幼圆" w:hint="eastAsia"/>
        </w:rPr>
        <w:t>监控内容为磷处理过程中的各因素，包括进口磷的含量，出口磷的含量，加药量，加</w:t>
      </w:r>
      <w:r>
        <w:rPr>
          <w:rFonts w:ascii="幼圆" w:eastAsia="幼圆" w:hint="eastAsia"/>
          <w:spacing w:val="-23"/>
        </w:rPr>
        <w:t xml:space="preserve">药罐液位，污水进口流量，还有用于控制加药罐液位的状态，用于实施加药量控制的 </w:t>
      </w:r>
      <w:r>
        <w:rPr>
          <w:rFonts w:ascii="幼圆" w:eastAsia="幼圆" w:hint="eastAsia"/>
        </w:rPr>
        <w:t>PLC</w:t>
      </w:r>
      <w:r>
        <w:rPr>
          <w:rFonts w:ascii="幼圆" w:eastAsia="幼圆" w:hint="eastAsia"/>
          <w:spacing w:val="-8"/>
        </w:rPr>
        <w:t xml:space="preserve"> 的</w:t>
      </w:r>
      <w:r>
        <w:rPr>
          <w:rFonts w:ascii="幼圆" w:eastAsia="幼圆" w:hint="eastAsia"/>
        </w:rPr>
        <w:t>状态等，并实时的显示在监控画面上。</w:t>
      </w:r>
    </w:p>
    <w:p>
      <w:pPr>
        <w:pStyle w:val="BodyText"/>
        <w:spacing w:before="3" w:line="364" w:lineRule="auto"/>
        <w:ind w:right="464" w:firstLine="720"/>
        <w:jc w:val="both"/>
        <w:rPr>
          <w:rFonts w:ascii="幼圆" w:eastAsia="幼圆" w:hint="eastAsia"/>
        </w:rPr>
      </w:pPr>
      <w:r>
        <w:rPr>
          <w:rFonts w:ascii="幼圆" w:eastAsia="幼圆" w:hint="eastAsia"/>
        </w:rPr>
        <w:t>整套系统建设有多幅实时监控画面。在电机运行方式为手动时，用鼠标点击画面下排电机启动按钮可远程启动现场设备。传感器的瞬时值依据实际安装位置被分别标注到不同的分布工艺流程图中，其实时数据和历史数据被做成相应分布图的子画面，可在分布工艺流程图中直接点击按钮进入。整个软件界面呈树状排列，查阅、操作简便。数据库是上位机监控软件的核心所在，因此必须依据实际需要首先将其建设好，然后将各功能模块进行恰当的组合。实际编程过程中在定义变量时，记录可设定为不计录、数据变化时记录和定时记录，要根据实际情况选择相应的设置，从而节省存储空间。报表分为实时报表和历史报表 2 种。</w:t>
      </w:r>
    </w:p>
    <w:p>
      <w:pPr>
        <w:pStyle w:val="BodyText"/>
        <w:spacing w:before="8" w:line="364" w:lineRule="auto"/>
        <w:ind w:right="465" w:firstLine="720"/>
        <w:jc w:val="both"/>
        <w:rPr>
          <w:rFonts w:ascii="幼圆" w:eastAsia="幼圆" w:hint="eastAsia"/>
        </w:rPr>
      </w:pPr>
      <w:r>
        <w:rPr>
          <w:rFonts w:ascii="幼圆" w:eastAsia="幼圆" w:hint="eastAsia"/>
        </w:rPr>
        <w:t>现场数据的采集及监控画面的展示由 SCADA</w:t>
      </w:r>
      <w:r>
        <w:rPr>
          <w:rFonts w:ascii="幼圆" w:eastAsia="幼圆" w:hint="eastAsia"/>
          <w:spacing w:val="-10"/>
        </w:rPr>
        <w:t xml:space="preserve"> 监控软件完成。 报警分为四种方式：断线报警（包括设备故障报警）</w:t>
      </w:r>
      <w:r>
        <w:rPr>
          <w:rFonts w:ascii="幼圆" w:eastAsia="幼圆" w:hint="eastAsia"/>
          <w:spacing w:val="-11"/>
        </w:rPr>
        <w:t>、超标报警、开关设备报警和异常情况报警。可以灵活设定</w:t>
      </w:r>
      <w:r>
        <w:rPr>
          <w:rFonts w:ascii="幼圆" w:eastAsia="幼圆" w:hint="eastAsia"/>
          <w:spacing w:val="-1"/>
        </w:rPr>
        <w:t>报警条件，并和现场人员的手机、短信绑定，在满足报警条件时，自动发送报警信息。系统实时监测到远程设备的启停、工作状态，远程设备的报警信息可迅速的反馈到中心控制</w:t>
      </w:r>
      <w:r>
        <w:rPr>
          <w:rFonts w:ascii="幼圆" w:eastAsia="幼圆" w:hint="eastAsia"/>
        </w:rPr>
        <w:t>室。</w:t>
      </w:r>
    </w:p>
    <w:p>
      <w:pPr>
        <w:pStyle w:val="BodyText"/>
        <w:spacing w:before="5" w:line="364" w:lineRule="auto"/>
        <w:ind w:right="105" w:firstLine="720"/>
        <w:rPr>
          <w:rFonts w:ascii="幼圆" w:eastAsia="幼圆" w:hint="eastAsia"/>
        </w:rPr>
      </w:pPr>
      <w:r>
        <w:rPr>
          <w:rFonts w:ascii="幼圆" w:eastAsia="幼圆" w:hint="eastAsia"/>
        </w:rPr>
        <w:t xml:space="preserve">该系统能实现实时监控，故障报警，历史数据的存储与查询，报表的查询与打印等多 </w:t>
      </w:r>
      <w:r>
        <w:rPr>
          <w:rFonts w:ascii="幼圆" w:eastAsia="幼圆" w:hint="eastAsia"/>
          <w:spacing w:val="-1"/>
        </w:rPr>
        <w:t>项功能，用户界面简单清晰，易于操作人员学习管理，大大降低了劳动强度提高管理水平。</w:t>
      </w:r>
    </w:p>
    <w:p>
      <w:pPr>
        <w:pStyle w:val="Heading1"/>
        <w:spacing w:before="2"/>
        <w:ind w:left="652"/>
        <w:rPr>
          <w:rFonts w:ascii="幼圆" w:eastAsia="幼圆" w:hint="eastAsia"/>
        </w:rPr>
      </w:pPr>
      <w:r>
        <w:rPr>
          <w:rFonts w:ascii="幼圆" w:eastAsia="幼圆" w:hint="eastAsia"/>
        </w:rPr>
        <w:t>4）专家控制设计：</w:t>
      </w:r>
    </w:p>
    <w:p>
      <w:pPr>
        <w:pStyle w:val="BodyText"/>
        <w:spacing w:before="291" w:line="345" w:lineRule="auto"/>
        <w:ind w:right="464" w:firstLine="720"/>
        <w:rPr>
          <w:rFonts w:ascii="幼圆" w:eastAsia="幼圆" w:hint="eastAsia"/>
        </w:rPr>
      </w:pPr>
      <w:r>
        <w:rPr>
          <w:rFonts w:ascii="幼圆" w:eastAsia="幼圆" w:hint="eastAsia"/>
        </w:rPr>
        <w:t>专家系统包括：总体趋势图、实时监控数据、系统当前状态、系统当前控制策略、当前日期时间、报警信息。</w:t>
      </w:r>
    </w:p>
    <w:p>
      <w:pPr>
        <w:spacing w:after="0" w:line="345" w:lineRule="auto"/>
        <w:rPr>
          <w:rFonts w:ascii="幼圆" w:eastAsia="幼圆" w:hint="eastAsia"/>
        </w:rPr>
      </w:pPr>
      <w:r>
        <w:rPr>
          <w:rFonts w:ascii="幼圆" w:eastAsia="幼圆" w:hint="eastAsia"/>
        </w:rPr>
        <w:br/>
      </w:r>
      <w:r>
        <w:rPr>
          <w:rFonts w:ascii="幼圆" w:eastAsia="幼圆" w:hint="eastAsia"/>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9" w:history="1">
        <w:r>
          <w:rPr>
            <w:rFonts w:ascii="SimSun" w:eastAsia="SimSun" w:hAnsi="SimSun" w:cs="SimSun"/>
            <w:b/>
            <w:bCs/>
            <w:color w:val="0000EE"/>
            <w:sz w:val="30"/>
            <w:szCs w:val="30"/>
            <w:u w:val="single" w:color="0000EE"/>
          </w:rPr>
          <w:t>https://d.book118.com/267006023054006046</w:t>
        </w:r>
      </w:hyperlink>
    </w:p>
    <w:p>
      <w:pPr>
        <w:spacing w:after="0" w:line="345" w:lineRule="auto"/>
        <w:rPr>
          <w:rFonts w:ascii="幼圆" w:eastAsia="幼圆" w:hint="eastAsia"/>
        </w:rPr>
      </w:pPr>
    </w:p>
    <w:sectPr>
      <w:pgSz w:w="17860" w:h="25260"/>
      <w:pgMar w:top="1640" w:right="1480" w:bottom="280" w:left="1580" w:header="708" w:footer="708"/>
      <w:pgNumType w:start="9"/>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微软雅黑">
    <w:altName w:val="微软雅黑"/>
    <w:charset w:val="86"/>
    <w:family w:val="swiss"/>
    <w:pitch w:val="variable"/>
    <w:sig w:usb0="00000000" w:usb1="00000000" w:usb2="00000000" w:usb3="00000000" w:csb0="00040000" w:csb1="00000000"/>
  </w:font>
  <w:font w:name="Symbol">
    <w:altName w:val="Symbol"/>
    <w:charset w:val="02"/>
    <w:family w:val="roman"/>
    <w:pitch w:val="variable"/>
    <w:sig w:usb0="00000000" w:usb1="00000000" w:usb2="00000000" w:usb3="00000000" w:csb0="80000000" w:csb1="00000000"/>
  </w:font>
  <w:font w:name="幼圆">
    <w:altName w:val="幼圆"/>
    <w:charset w:val="86"/>
    <w:family w:val="modern"/>
    <w:pitch w:val="fixed"/>
    <w:sig w:usb0="00000000" w:usb1="00000000" w:usb2="00000000" w:usb3="00000000" w:csb0="00040000" w:csb1="00000000"/>
  </w:font>
  <w:font w:name="华文中宋">
    <w:altName w:val="华文中宋"/>
    <w:charset w:val="86"/>
    <w:family w:val="auto"/>
    <w:pitch w:val="variable"/>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Calibri">
    <w:altName w:val="Calibri"/>
    <w:charset w:val="00"/>
    <w:family w:val="swiss"/>
    <w:pitch w:val="variable"/>
    <w:sig w:usb0="00000000" w:usb1="00000000" w:usb2="00000000" w:usb3="00000000" w:csb0="00000001" w:csb1="00000000"/>
  </w:font>
  <w:font w:name="Cambria">
    <w:altName w:val="Cambria"/>
    <w:charset w:val="00"/>
    <w:family w:val="roman"/>
    <w:pitch w:val="variable"/>
    <w:sig w:usb0="00000000" w:usb1="00000000" w:usb2="00000000" w:usb3="00000000" w:csb0="00000001" w:csb1="00000000"/>
  </w:font>
  <w:font w:name="Cambria Math">
    <w:altName w:val="Cambria Math"/>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E8E35"/>
    <w:multiLevelType w:val="hybridMultilevel"/>
    <w:tmpl w:val="00000000"/>
    <w:lvl w:ilvl="0">
      <w:start w:val="1"/>
      <w:numFmt w:val="decimal"/>
      <w:lvlText w:val="%1."/>
      <w:lvlJc w:val="left"/>
      <w:pPr>
        <w:ind w:left="832" w:hanging="541"/>
        <w:jc w:val="left"/>
      </w:pPr>
      <w:rPr>
        <w:rFonts w:ascii="宋体" w:eastAsia="宋体" w:hAnsi="宋体" w:cs="宋体" w:hint="default"/>
        <w:w w:val="100"/>
        <w:sz w:val="36"/>
        <w:szCs w:val="36"/>
      </w:rPr>
    </w:lvl>
    <w:lvl w:ilvl="1">
      <w:start w:val="0"/>
      <w:numFmt w:val="bullet"/>
      <w:lvlText w:val="•"/>
      <w:lvlJc w:val="left"/>
      <w:pPr>
        <w:ind w:left="2235" w:hanging="541"/>
      </w:pPr>
      <w:rPr>
        <w:rFonts w:hint="default"/>
      </w:rPr>
    </w:lvl>
    <w:lvl w:ilvl="2">
      <w:start w:val="0"/>
      <w:numFmt w:val="bullet"/>
      <w:lvlText w:val="•"/>
      <w:lvlJc w:val="left"/>
      <w:pPr>
        <w:ind w:left="3631" w:hanging="541"/>
      </w:pPr>
      <w:rPr>
        <w:rFonts w:hint="default"/>
      </w:rPr>
    </w:lvl>
    <w:lvl w:ilvl="3">
      <w:start w:val="0"/>
      <w:numFmt w:val="bullet"/>
      <w:lvlText w:val="•"/>
      <w:lvlJc w:val="left"/>
      <w:pPr>
        <w:ind w:left="5027" w:hanging="541"/>
      </w:pPr>
      <w:rPr>
        <w:rFonts w:hint="default"/>
      </w:rPr>
    </w:lvl>
    <w:lvl w:ilvl="4">
      <w:start w:val="0"/>
      <w:numFmt w:val="bullet"/>
      <w:lvlText w:val="•"/>
      <w:lvlJc w:val="left"/>
      <w:pPr>
        <w:ind w:left="6423" w:hanging="541"/>
      </w:pPr>
      <w:rPr>
        <w:rFonts w:hint="default"/>
      </w:rPr>
    </w:lvl>
    <w:lvl w:ilvl="5">
      <w:start w:val="0"/>
      <w:numFmt w:val="bullet"/>
      <w:lvlText w:val="•"/>
      <w:lvlJc w:val="left"/>
      <w:pPr>
        <w:ind w:left="7819" w:hanging="541"/>
      </w:pPr>
      <w:rPr>
        <w:rFonts w:hint="default"/>
      </w:rPr>
    </w:lvl>
    <w:lvl w:ilvl="6">
      <w:start w:val="0"/>
      <w:numFmt w:val="bullet"/>
      <w:lvlText w:val="•"/>
      <w:lvlJc w:val="left"/>
      <w:pPr>
        <w:ind w:left="9215" w:hanging="541"/>
      </w:pPr>
      <w:rPr>
        <w:rFonts w:hint="default"/>
      </w:rPr>
    </w:lvl>
    <w:lvl w:ilvl="7">
      <w:start w:val="0"/>
      <w:numFmt w:val="bullet"/>
      <w:lvlText w:val="•"/>
      <w:lvlJc w:val="left"/>
      <w:pPr>
        <w:ind w:left="10611" w:hanging="541"/>
      </w:pPr>
      <w:rPr>
        <w:rFonts w:hint="default"/>
      </w:rPr>
    </w:lvl>
    <w:lvl w:ilvl="8">
      <w:start w:val="0"/>
      <w:numFmt w:val="bullet"/>
      <w:lvlText w:val="•"/>
      <w:lvlJc w:val="left"/>
      <w:pPr>
        <w:ind w:left="12007" w:hanging="541"/>
      </w:pPr>
      <w:rPr>
        <w:rFonts w:hint="default"/>
      </w:rPr>
    </w:lvl>
  </w:abstractNum>
  <w:abstractNum w:abstractNumId="1">
    <w:nsid w:val="106715E5"/>
    <w:multiLevelType w:val="hybridMultilevel"/>
    <w:tmpl w:val="00000000"/>
    <w:lvl w:ilvl="0">
      <w:start w:val="1"/>
      <w:numFmt w:val="decimal"/>
      <w:lvlText w:val="%1."/>
      <w:lvlJc w:val="left"/>
      <w:pPr>
        <w:ind w:left="292" w:hanging="541"/>
        <w:jc w:val="left"/>
      </w:pPr>
      <w:rPr>
        <w:rFonts w:ascii="宋体" w:eastAsia="宋体" w:hAnsi="宋体" w:cs="宋体" w:hint="default"/>
        <w:w w:val="100"/>
        <w:sz w:val="36"/>
        <w:szCs w:val="36"/>
      </w:rPr>
    </w:lvl>
    <w:lvl w:ilvl="1">
      <w:start w:val="0"/>
      <w:numFmt w:val="bullet"/>
      <w:lvlText w:val="•"/>
      <w:lvlJc w:val="left"/>
      <w:pPr>
        <w:ind w:left="1749" w:hanging="541"/>
      </w:pPr>
      <w:rPr>
        <w:rFonts w:hint="default"/>
      </w:rPr>
    </w:lvl>
    <w:lvl w:ilvl="2">
      <w:start w:val="0"/>
      <w:numFmt w:val="bullet"/>
      <w:lvlText w:val="•"/>
      <w:lvlJc w:val="left"/>
      <w:pPr>
        <w:ind w:left="3199" w:hanging="541"/>
      </w:pPr>
      <w:rPr>
        <w:rFonts w:hint="default"/>
      </w:rPr>
    </w:lvl>
    <w:lvl w:ilvl="3">
      <w:start w:val="0"/>
      <w:numFmt w:val="bullet"/>
      <w:lvlText w:val="•"/>
      <w:lvlJc w:val="left"/>
      <w:pPr>
        <w:ind w:left="4649" w:hanging="541"/>
      </w:pPr>
      <w:rPr>
        <w:rFonts w:hint="default"/>
      </w:rPr>
    </w:lvl>
    <w:lvl w:ilvl="4">
      <w:start w:val="0"/>
      <w:numFmt w:val="bullet"/>
      <w:lvlText w:val="•"/>
      <w:lvlJc w:val="left"/>
      <w:pPr>
        <w:ind w:left="6099" w:hanging="541"/>
      </w:pPr>
      <w:rPr>
        <w:rFonts w:hint="default"/>
      </w:rPr>
    </w:lvl>
    <w:lvl w:ilvl="5">
      <w:start w:val="0"/>
      <w:numFmt w:val="bullet"/>
      <w:lvlText w:val="•"/>
      <w:lvlJc w:val="left"/>
      <w:pPr>
        <w:ind w:left="7549" w:hanging="541"/>
      </w:pPr>
      <w:rPr>
        <w:rFonts w:hint="default"/>
      </w:rPr>
    </w:lvl>
    <w:lvl w:ilvl="6">
      <w:start w:val="0"/>
      <w:numFmt w:val="bullet"/>
      <w:lvlText w:val="•"/>
      <w:lvlJc w:val="left"/>
      <w:pPr>
        <w:ind w:left="8999" w:hanging="541"/>
      </w:pPr>
      <w:rPr>
        <w:rFonts w:hint="default"/>
      </w:rPr>
    </w:lvl>
    <w:lvl w:ilvl="7">
      <w:start w:val="0"/>
      <w:numFmt w:val="bullet"/>
      <w:lvlText w:val="•"/>
      <w:lvlJc w:val="left"/>
      <w:pPr>
        <w:ind w:left="10449" w:hanging="541"/>
      </w:pPr>
      <w:rPr>
        <w:rFonts w:hint="default"/>
      </w:rPr>
    </w:lvl>
    <w:lvl w:ilvl="8">
      <w:start w:val="0"/>
      <w:numFmt w:val="bullet"/>
      <w:lvlText w:val="•"/>
      <w:lvlJc w:val="left"/>
      <w:pPr>
        <w:ind w:left="11899" w:hanging="541"/>
      </w:pPr>
      <w:rPr>
        <w:rFonts w:hint="default"/>
      </w:rPr>
    </w:lvl>
  </w:abstractNum>
  <w:abstractNum w:abstractNumId="2">
    <w:nsid w:val="19293EE5"/>
    <w:multiLevelType w:val="hybridMultilevel"/>
    <w:tmpl w:val="00000000"/>
    <w:lvl w:ilvl="0">
      <w:start w:val="1"/>
      <w:numFmt w:val="decimal"/>
      <w:lvlText w:val="(%1)"/>
      <w:lvlJc w:val="left"/>
      <w:pPr>
        <w:ind w:left="292" w:hanging="901"/>
        <w:jc w:val="left"/>
      </w:pPr>
      <w:rPr>
        <w:rFonts w:ascii="宋体" w:eastAsia="宋体" w:hAnsi="宋体" w:cs="宋体" w:hint="default"/>
        <w:w w:val="100"/>
        <w:sz w:val="36"/>
        <w:szCs w:val="36"/>
      </w:rPr>
    </w:lvl>
    <w:lvl w:ilvl="1">
      <w:start w:val="0"/>
      <w:numFmt w:val="bullet"/>
      <w:lvlText w:val="•"/>
      <w:lvlJc w:val="left"/>
      <w:pPr>
        <w:ind w:left="1749" w:hanging="901"/>
      </w:pPr>
      <w:rPr>
        <w:rFonts w:hint="default"/>
      </w:rPr>
    </w:lvl>
    <w:lvl w:ilvl="2">
      <w:start w:val="0"/>
      <w:numFmt w:val="bullet"/>
      <w:lvlText w:val="•"/>
      <w:lvlJc w:val="left"/>
      <w:pPr>
        <w:ind w:left="3199" w:hanging="901"/>
      </w:pPr>
      <w:rPr>
        <w:rFonts w:hint="default"/>
      </w:rPr>
    </w:lvl>
    <w:lvl w:ilvl="3">
      <w:start w:val="0"/>
      <w:numFmt w:val="bullet"/>
      <w:lvlText w:val="•"/>
      <w:lvlJc w:val="left"/>
      <w:pPr>
        <w:ind w:left="4649" w:hanging="901"/>
      </w:pPr>
      <w:rPr>
        <w:rFonts w:hint="default"/>
      </w:rPr>
    </w:lvl>
    <w:lvl w:ilvl="4">
      <w:start w:val="0"/>
      <w:numFmt w:val="bullet"/>
      <w:lvlText w:val="•"/>
      <w:lvlJc w:val="left"/>
      <w:pPr>
        <w:ind w:left="6099" w:hanging="901"/>
      </w:pPr>
      <w:rPr>
        <w:rFonts w:hint="default"/>
      </w:rPr>
    </w:lvl>
    <w:lvl w:ilvl="5">
      <w:start w:val="0"/>
      <w:numFmt w:val="bullet"/>
      <w:lvlText w:val="•"/>
      <w:lvlJc w:val="left"/>
      <w:pPr>
        <w:ind w:left="7549" w:hanging="901"/>
      </w:pPr>
      <w:rPr>
        <w:rFonts w:hint="default"/>
      </w:rPr>
    </w:lvl>
    <w:lvl w:ilvl="6">
      <w:start w:val="0"/>
      <w:numFmt w:val="bullet"/>
      <w:lvlText w:val="•"/>
      <w:lvlJc w:val="left"/>
      <w:pPr>
        <w:ind w:left="8999" w:hanging="901"/>
      </w:pPr>
      <w:rPr>
        <w:rFonts w:hint="default"/>
      </w:rPr>
    </w:lvl>
    <w:lvl w:ilvl="7">
      <w:start w:val="0"/>
      <w:numFmt w:val="bullet"/>
      <w:lvlText w:val="•"/>
      <w:lvlJc w:val="left"/>
      <w:pPr>
        <w:ind w:left="10449" w:hanging="901"/>
      </w:pPr>
      <w:rPr>
        <w:rFonts w:hint="default"/>
      </w:rPr>
    </w:lvl>
    <w:lvl w:ilvl="8">
      <w:start w:val="0"/>
      <w:numFmt w:val="bullet"/>
      <w:lvlText w:val="•"/>
      <w:lvlJc w:val="left"/>
      <w:pPr>
        <w:ind w:left="11899" w:hanging="901"/>
      </w:pPr>
      <w:rPr>
        <w:rFonts w:hint="default"/>
      </w:rPr>
    </w:lvl>
  </w:abstractNum>
  <w:abstractNum w:abstractNumId="3">
    <w:nsid w:val="23B73B2C"/>
    <w:multiLevelType w:val="hybridMultilevel"/>
    <w:tmpl w:val="00000000"/>
    <w:lvl w:ilvl="0">
      <w:start w:val="1"/>
      <w:numFmt w:val="decimal"/>
      <w:lvlText w:val="%1）"/>
      <w:lvlJc w:val="left"/>
      <w:pPr>
        <w:ind w:left="877" w:hanging="585"/>
        <w:jc w:val="left"/>
      </w:pPr>
      <w:rPr>
        <w:rFonts w:ascii="华文中宋" w:eastAsia="华文中宋" w:hAnsi="华文中宋" w:cs="华文中宋" w:hint="default"/>
        <w:b/>
        <w:bCs/>
        <w:w w:val="99"/>
        <w:sz w:val="34"/>
        <w:szCs w:val="34"/>
      </w:rPr>
    </w:lvl>
    <w:lvl w:ilvl="1">
      <w:start w:val="0"/>
      <w:numFmt w:val="bullet"/>
      <w:lvlText w:val="•"/>
      <w:lvlJc w:val="left"/>
      <w:pPr>
        <w:ind w:left="2092" w:hanging="585"/>
      </w:pPr>
      <w:rPr>
        <w:rFonts w:hint="default"/>
      </w:rPr>
    </w:lvl>
    <w:lvl w:ilvl="2">
      <w:start w:val="0"/>
      <w:numFmt w:val="bullet"/>
      <w:lvlText w:val="•"/>
      <w:lvlJc w:val="left"/>
      <w:pPr>
        <w:ind w:left="3304" w:hanging="585"/>
      </w:pPr>
      <w:rPr>
        <w:rFonts w:hint="default"/>
      </w:rPr>
    </w:lvl>
    <w:lvl w:ilvl="3">
      <w:start w:val="0"/>
      <w:numFmt w:val="bullet"/>
      <w:lvlText w:val="•"/>
      <w:lvlJc w:val="left"/>
      <w:pPr>
        <w:ind w:left="4516" w:hanging="585"/>
      </w:pPr>
      <w:rPr>
        <w:rFonts w:hint="default"/>
      </w:rPr>
    </w:lvl>
    <w:lvl w:ilvl="4">
      <w:start w:val="0"/>
      <w:numFmt w:val="bullet"/>
      <w:lvlText w:val="•"/>
      <w:lvlJc w:val="left"/>
      <w:pPr>
        <w:ind w:left="5728" w:hanging="585"/>
      </w:pPr>
      <w:rPr>
        <w:rFonts w:hint="default"/>
      </w:rPr>
    </w:lvl>
    <w:lvl w:ilvl="5">
      <w:start w:val="0"/>
      <w:numFmt w:val="bullet"/>
      <w:lvlText w:val="•"/>
      <w:lvlJc w:val="left"/>
      <w:pPr>
        <w:ind w:left="6940" w:hanging="585"/>
      </w:pPr>
      <w:rPr>
        <w:rFonts w:hint="default"/>
      </w:rPr>
    </w:lvl>
    <w:lvl w:ilvl="6">
      <w:start w:val="0"/>
      <w:numFmt w:val="bullet"/>
      <w:lvlText w:val="•"/>
      <w:lvlJc w:val="left"/>
      <w:pPr>
        <w:ind w:left="8152" w:hanging="585"/>
      </w:pPr>
      <w:rPr>
        <w:rFonts w:hint="default"/>
      </w:rPr>
    </w:lvl>
    <w:lvl w:ilvl="7">
      <w:start w:val="0"/>
      <w:numFmt w:val="bullet"/>
      <w:lvlText w:val="•"/>
      <w:lvlJc w:val="left"/>
      <w:pPr>
        <w:ind w:left="9364" w:hanging="585"/>
      </w:pPr>
      <w:rPr>
        <w:rFonts w:hint="default"/>
      </w:rPr>
    </w:lvl>
    <w:lvl w:ilvl="8">
      <w:start w:val="0"/>
      <w:numFmt w:val="bullet"/>
      <w:lvlText w:val="•"/>
      <w:lvlJc w:val="left"/>
      <w:pPr>
        <w:ind w:left="10576" w:hanging="585"/>
      </w:pPr>
      <w:rPr>
        <w:rFonts w:hint="default"/>
      </w:rPr>
    </w:lvl>
  </w:abstractNum>
  <w:abstractNum w:abstractNumId="4">
    <w:nsid w:val="23E19CA7"/>
    <w:multiLevelType w:val="hybridMultilevel"/>
    <w:tmpl w:val="00000000"/>
    <w:lvl w:ilvl="0">
      <w:start w:val="1"/>
      <w:numFmt w:val="decimal"/>
      <w:lvlText w:val="%1）"/>
      <w:lvlJc w:val="left"/>
      <w:pPr>
        <w:ind w:left="292" w:hanging="542"/>
        <w:jc w:val="left"/>
      </w:pPr>
      <w:rPr>
        <w:rFonts w:ascii="宋体" w:eastAsia="宋体" w:hAnsi="宋体" w:cs="宋体" w:hint="default"/>
        <w:spacing w:val="-51"/>
        <w:w w:val="100"/>
        <w:sz w:val="34"/>
        <w:szCs w:val="34"/>
      </w:rPr>
    </w:lvl>
    <w:lvl w:ilvl="1">
      <w:start w:val="0"/>
      <w:numFmt w:val="bullet"/>
      <w:lvlText w:val="•"/>
      <w:lvlJc w:val="left"/>
      <w:pPr>
        <w:ind w:left="1749" w:hanging="542"/>
      </w:pPr>
      <w:rPr>
        <w:rFonts w:hint="default"/>
      </w:rPr>
    </w:lvl>
    <w:lvl w:ilvl="2">
      <w:start w:val="0"/>
      <w:numFmt w:val="bullet"/>
      <w:lvlText w:val="•"/>
      <w:lvlJc w:val="left"/>
      <w:pPr>
        <w:ind w:left="3199" w:hanging="542"/>
      </w:pPr>
      <w:rPr>
        <w:rFonts w:hint="default"/>
      </w:rPr>
    </w:lvl>
    <w:lvl w:ilvl="3">
      <w:start w:val="0"/>
      <w:numFmt w:val="bullet"/>
      <w:lvlText w:val="•"/>
      <w:lvlJc w:val="left"/>
      <w:pPr>
        <w:ind w:left="4649" w:hanging="542"/>
      </w:pPr>
      <w:rPr>
        <w:rFonts w:hint="default"/>
      </w:rPr>
    </w:lvl>
    <w:lvl w:ilvl="4">
      <w:start w:val="0"/>
      <w:numFmt w:val="bullet"/>
      <w:lvlText w:val="•"/>
      <w:lvlJc w:val="left"/>
      <w:pPr>
        <w:ind w:left="6099" w:hanging="542"/>
      </w:pPr>
      <w:rPr>
        <w:rFonts w:hint="default"/>
      </w:rPr>
    </w:lvl>
    <w:lvl w:ilvl="5">
      <w:start w:val="0"/>
      <w:numFmt w:val="bullet"/>
      <w:lvlText w:val="•"/>
      <w:lvlJc w:val="left"/>
      <w:pPr>
        <w:ind w:left="7549" w:hanging="542"/>
      </w:pPr>
      <w:rPr>
        <w:rFonts w:hint="default"/>
      </w:rPr>
    </w:lvl>
    <w:lvl w:ilvl="6">
      <w:start w:val="0"/>
      <w:numFmt w:val="bullet"/>
      <w:lvlText w:val="•"/>
      <w:lvlJc w:val="left"/>
      <w:pPr>
        <w:ind w:left="8999" w:hanging="542"/>
      </w:pPr>
      <w:rPr>
        <w:rFonts w:hint="default"/>
      </w:rPr>
    </w:lvl>
    <w:lvl w:ilvl="7">
      <w:start w:val="0"/>
      <w:numFmt w:val="bullet"/>
      <w:lvlText w:val="•"/>
      <w:lvlJc w:val="left"/>
      <w:pPr>
        <w:ind w:left="10449" w:hanging="542"/>
      </w:pPr>
      <w:rPr>
        <w:rFonts w:hint="default"/>
      </w:rPr>
    </w:lvl>
    <w:lvl w:ilvl="8">
      <w:start w:val="0"/>
      <w:numFmt w:val="bullet"/>
      <w:lvlText w:val="•"/>
      <w:lvlJc w:val="left"/>
      <w:pPr>
        <w:ind w:left="11899" w:hanging="542"/>
      </w:pPr>
      <w:rPr>
        <w:rFonts w:hint="default"/>
      </w:rPr>
    </w:lvl>
  </w:abstractNum>
  <w:abstractNum w:abstractNumId="5">
    <w:nsid w:val="2915E580"/>
    <w:multiLevelType w:val="hybridMultilevel"/>
    <w:tmpl w:val="00000000"/>
    <w:lvl w:ilvl="0">
      <w:start w:val="1"/>
      <w:numFmt w:val="decimal"/>
      <w:lvlText w:val="（%1）"/>
      <w:lvlJc w:val="left"/>
      <w:pPr>
        <w:ind w:left="1193" w:hanging="902"/>
        <w:jc w:val="left"/>
      </w:pPr>
      <w:rPr>
        <w:rFonts w:ascii="宋体" w:eastAsia="宋体" w:hAnsi="宋体" w:cs="宋体" w:hint="default"/>
        <w:w w:val="100"/>
        <w:sz w:val="34"/>
        <w:szCs w:val="34"/>
      </w:rPr>
    </w:lvl>
    <w:lvl w:ilvl="1">
      <w:start w:val="0"/>
      <w:numFmt w:val="bullet"/>
      <w:lvlText w:val="•"/>
      <w:lvlJc w:val="left"/>
      <w:pPr>
        <w:ind w:left="2559" w:hanging="902"/>
      </w:pPr>
      <w:rPr>
        <w:rFonts w:hint="default"/>
      </w:rPr>
    </w:lvl>
    <w:lvl w:ilvl="2">
      <w:start w:val="0"/>
      <w:numFmt w:val="bullet"/>
      <w:lvlText w:val="•"/>
      <w:lvlJc w:val="left"/>
      <w:pPr>
        <w:ind w:left="3919" w:hanging="902"/>
      </w:pPr>
      <w:rPr>
        <w:rFonts w:hint="default"/>
      </w:rPr>
    </w:lvl>
    <w:lvl w:ilvl="3">
      <w:start w:val="0"/>
      <w:numFmt w:val="bullet"/>
      <w:lvlText w:val="•"/>
      <w:lvlJc w:val="left"/>
      <w:pPr>
        <w:ind w:left="5279" w:hanging="902"/>
      </w:pPr>
      <w:rPr>
        <w:rFonts w:hint="default"/>
      </w:rPr>
    </w:lvl>
    <w:lvl w:ilvl="4">
      <w:start w:val="0"/>
      <w:numFmt w:val="bullet"/>
      <w:lvlText w:val="•"/>
      <w:lvlJc w:val="left"/>
      <w:pPr>
        <w:ind w:left="6639" w:hanging="902"/>
      </w:pPr>
      <w:rPr>
        <w:rFonts w:hint="default"/>
      </w:rPr>
    </w:lvl>
    <w:lvl w:ilvl="5">
      <w:start w:val="0"/>
      <w:numFmt w:val="bullet"/>
      <w:lvlText w:val="•"/>
      <w:lvlJc w:val="left"/>
      <w:pPr>
        <w:ind w:left="7999" w:hanging="902"/>
      </w:pPr>
      <w:rPr>
        <w:rFonts w:hint="default"/>
      </w:rPr>
    </w:lvl>
    <w:lvl w:ilvl="6">
      <w:start w:val="0"/>
      <w:numFmt w:val="bullet"/>
      <w:lvlText w:val="•"/>
      <w:lvlJc w:val="left"/>
      <w:pPr>
        <w:ind w:left="9359" w:hanging="902"/>
      </w:pPr>
      <w:rPr>
        <w:rFonts w:hint="default"/>
      </w:rPr>
    </w:lvl>
    <w:lvl w:ilvl="7">
      <w:start w:val="0"/>
      <w:numFmt w:val="bullet"/>
      <w:lvlText w:val="•"/>
      <w:lvlJc w:val="left"/>
      <w:pPr>
        <w:ind w:left="10719" w:hanging="902"/>
      </w:pPr>
      <w:rPr>
        <w:rFonts w:hint="default"/>
      </w:rPr>
    </w:lvl>
    <w:lvl w:ilvl="8">
      <w:start w:val="0"/>
      <w:numFmt w:val="bullet"/>
      <w:lvlText w:val="•"/>
      <w:lvlJc w:val="left"/>
      <w:pPr>
        <w:ind w:left="12079" w:hanging="902"/>
      </w:pPr>
      <w:rPr>
        <w:rFonts w:hint="default"/>
      </w:rPr>
    </w:lvl>
  </w:abstractNum>
  <w:abstractNum w:abstractNumId="6">
    <w:nsid w:val="2B1BF028"/>
    <w:multiLevelType w:val="hybridMultilevel"/>
    <w:tmpl w:val="00000000"/>
    <w:lvl w:ilvl="0">
      <w:start w:val="1"/>
      <w:numFmt w:val="decimal"/>
      <w:lvlText w:val="%1）"/>
      <w:lvlJc w:val="left"/>
      <w:pPr>
        <w:ind w:left="877" w:hanging="585"/>
        <w:jc w:val="right"/>
      </w:pPr>
      <w:rPr>
        <w:rFonts w:hint="default"/>
        <w:b/>
        <w:bCs/>
        <w:w w:val="99"/>
      </w:rPr>
    </w:lvl>
    <w:lvl w:ilvl="1">
      <w:start w:val="0"/>
      <w:numFmt w:val="bullet"/>
      <w:lvlText w:val="•"/>
      <w:lvlJc w:val="left"/>
      <w:pPr>
        <w:ind w:left="2271" w:hanging="585"/>
      </w:pPr>
      <w:rPr>
        <w:rFonts w:hint="default"/>
      </w:rPr>
    </w:lvl>
    <w:lvl w:ilvl="2">
      <w:start w:val="0"/>
      <w:numFmt w:val="bullet"/>
      <w:lvlText w:val="•"/>
      <w:lvlJc w:val="left"/>
      <w:pPr>
        <w:ind w:left="3663" w:hanging="585"/>
      </w:pPr>
      <w:rPr>
        <w:rFonts w:hint="default"/>
      </w:rPr>
    </w:lvl>
    <w:lvl w:ilvl="3">
      <w:start w:val="0"/>
      <w:numFmt w:val="bullet"/>
      <w:lvlText w:val="•"/>
      <w:lvlJc w:val="left"/>
      <w:pPr>
        <w:ind w:left="5055" w:hanging="585"/>
      </w:pPr>
      <w:rPr>
        <w:rFonts w:hint="default"/>
      </w:rPr>
    </w:lvl>
    <w:lvl w:ilvl="4">
      <w:start w:val="0"/>
      <w:numFmt w:val="bullet"/>
      <w:lvlText w:val="•"/>
      <w:lvlJc w:val="left"/>
      <w:pPr>
        <w:ind w:left="6447" w:hanging="585"/>
      </w:pPr>
      <w:rPr>
        <w:rFonts w:hint="default"/>
      </w:rPr>
    </w:lvl>
    <w:lvl w:ilvl="5">
      <w:start w:val="0"/>
      <w:numFmt w:val="bullet"/>
      <w:lvlText w:val="•"/>
      <w:lvlJc w:val="left"/>
      <w:pPr>
        <w:ind w:left="7839" w:hanging="585"/>
      </w:pPr>
      <w:rPr>
        <w:rFonts w:hint="default"/>
      </w:rPr>
    </w:lvl>
    <w:lvl w:ilvl="6">
      <w:start w:val="0"/>
      <w:numFmt w:val="bullet"/>
      <w:lvlText w:val="•"/>
      <w:lvlJc w:val="left"/>
      <w:pPr>
        <w:ind w:left="9231" w:hanging="585"/>
      </w:pPr>
      <w:rPr>
        <w:rFonts w:hint="default"/>
      </w:rPr>
    </w:lvl>
    <w:lvl w:ilvl="7">
      <w:start w:val="0"/>
      <w:numFmt w:val="bullet"/>
      <w:lvlText w:val="•"/>
      <w:lvlJc w:val="left"/>
      <w:pPr>
        <w:ind w:left="10623" w:hanging="585"/>
      </w:pPr>
      <w:rPr>
        <w:rFonts w:hint="default"/>
      </w:rPr>
    </w:lvl>
    <w:lvl w:ilvl="8">
      <w:start w:val="0"/>
      <w:numFmt w:val="bullet"/>
      <w:lvlText w:val="•"/>
      <w:lvlJc w:val="left"/>
      <w:pPr>
        <w:ind w:left="12015" w:hanging="585"/>
      </w:pPr>
      <w:rPr>
        <w:rFonts w:hint="default"/>
      </w:rPr>
    </w:lvl>
  </w:abstractNum>
  <w:abstractNum w:abstractNumId="7">
    <w:nsid w:val="3FCFA82E"/>
    <w:multiLevelType w:val="hybridMultilevel"/>
    <w:tmpl w:val="00000000"/>
    <w:lvl w:ilvl="0">
      <w:start w:val="1"/>
      <w:numFmt w:val="decimal"/>
      <w:lvlText w:val="（%1）"/>
      <w:lvlJc w:val="left"/>
      <w:pPr>
        <w:ind w:left="292" w:hanging="902"/>
        <w:jc w:val="left"/>
      </w:pPr>
      <w:rPr>
        <w:rFonts w:ascii="宋体" w:eastAsia="宋体" w:hAnsi="宋体" w:cs="宋体" w:hint="default"/>
        <w:w w:val="100"/>
        <w:sz w:val="34"/>
        <w:szCs w:val="34"/>
      </w:rPr>
    </w:lvl>
    <w:lvl w:ilvl="1">
      <w:start w:val="0"/>
      <w:numFmt w:val="bullet"/>
      <w:lvlText w:val="•"/>
      <w:lvlJc w:val="left"/>
      <w:pPr>
        <w:ind w:left="1749" w:hanging="902"/>
      </w:pPr>
      <w:rPr>
        <w:rFonts w:hint="default"/>
      </w:rPr>
    </w:lvl>
    <w:lvl w:ilvl="2">
      <w:start w:val="0"/>
      <w:numFmt w:val="bullet"/>
      <w:lvlText w:val="•"/>
      <w:lvlJc w:val="left"/>
      <w:pPr>
        <w:ind w:left="3199" w:hanging="902"/>
      </w:pPr>
      <w:rPr>
        <w:rFonts w:hint="default"/>
      </w:rPr>
    </w:lvl>
    <w:lvl w:ilvl="3">
      <w:start w:val="0"/>
      <w:numFmt w:val="bullet"/>
      <w:lvlText w:val="•"/>
      <w:lvlJc w:val="left"/>
      <w:pPr>
        <w:ind w:left="4649" w:hanging="902"/>
      </w:pPr>
      <w:rPr>
        <w:rFonts w:hint="default"/>
      </w:rPr>
    </w:lvl>
    <w:lvl w:ilvl="4">
      <w:start w:val="0"/>
      <w:numFmt w:val="bullet"/>
      <w:lvlText w:val="•"/>
      <w:lvlJc w:val="left"/>
      <w:pPr>
        <w:ind w:left="6099" w:hanging="902"/>
      </w:pPr>
      <w:rPr>
        <w:rFonts w:hint="default"/>
      </w:rPr>
    </w:lvl>
    <w:lvl w:ilvl="5">
      <w:start w:val="0"/>
      <w:numFmt w:val="bullet"/>
      <w:lvlText w:val="•"/>
      <w:lvlJc w:val="left"/>
      <w:pPr>
        <w:ind w:left="7549" w:hanging="902"/>
      </w:pPr>
      <w:rPr>
        <w:rFonts w:hint="default"/>
      </w:rPr>
    </w:lvl>
    <w:lvl w:ilvl="6">
      <w:start w:val="0"/>
      <w:numFmt w:val="bullet"/>
      <w:lvlText w:val="•"/>
      <w:lvlJc w:val="left"/>
      <w:pPr>
        <w:ind w:left="8999" w:hanging="902"/>
      </w:pPr>
      <w:rPr>
        <w:rFonts w:hint="default"/>
      </w:rPr>
    </w:lvl>
    <w:lvl w:ilvl="7">
      <w:start w:val="0"/>
      <w:numFmt w:val="bullet"/>
      <w:lvlText w:val="•"/>
      <w:lvlJc w:val="left"/>
      <w:pPr>
        <w:ind w:left="10449" w:hanging="902"/>
      </w:pPr>
      <w:rPr>
        <w:rFonts w:hint="default"/>
      </w:rPr>
    </w:lvl>
    <w:lvl w:ilvl="8">
      <w:start w:val="0"/>
      <w:numFmt w:val="bullet"/>
      <w:lvlText w:val="•"/>
      <w:lvlJc w:val="left"/>
      <w:pPr>
        <w:ind w:left="11899" w:hanging="902"/>
      </w:pPr>
      <w:rPr>
        <w:rFonts w:hint="default"/>
      </w:rPr>
    </w:lvl>
  </w:abstractNum>
  <w:abstractNum w:abstractNumId="8">
    <w:nsid w:val="4565D029"/>
    <w:multiLevelType w:val="hybridMultilevel"/>
    <w:tmpl w:val="00000000"/>
    <w:lvl w:ilvl="0">
      <w:start w:val="1"/>
      <w:numFmt w:val="decimal"/>
      <w:lvlText w:val="%1）"/>
      <w:lvlJc w:val="left"/>
      <w:pPr>
        <w:ind w:left="877" w:hanging="585"/>
        <w:jc w:val="left"/>
      </w:pPr>
      <w:rPr>
        <w:rFonts w:ascii="华文中宋" w:eastAsia="华文中宋" w:hAnsi="华文中宋" w:cs="华文中宋" w:hint="default"/>
        <w:b/>
        <w:bCs/>
        <w:w w:val="99"/>
        <w:sz w:val="34"/>
        <w:szCs w:val="34"/>
      </w:rPr>
    </w:lvl>
    <w:lvl w:ilvl="1">
      <w:start w:val="0"/>
      <w:numFmt w:val="bullet"/>
      <w:lvlText w:val="•"/>
      <w:lvlJc w:val="left"/>
      <w:pPr>
        <w:ind w:left="2271" w:hanging="585"/>
      </w:pPr>
      <w:rPr>
        <w:rFonts w:hint="default"/>
      </w:rPr>
    </w:lvl>
    <w:lvl w:ilvl="2">
      <w:start w:val="0"/>
      <w:numFmt w:val="bullet"/>
      <w:lvlText w:val="•"/>
      <w:lvlJc w:val="left"/>
      <w:pPr>
        <w:ind w:left="3663" w:hanging="585"/>
      </w:pPr>
      <w:rPr>
        <w:rFonts w:hint="default"/>
      </w:rPr>
    </w:lvl>
    <w:lvl w:ilvl="3">
      <w:start w:val="0"/>
      <w:numFmt w:val="bullet"/>
      <w:lvlText w:val="•"/>
      <w:lvlJc w:val="left"/>
      <w:pPr>
        <w:ind w:left="5055" w:hanging="585"/>
      </w:pPr>
      <w:rPr>
        <w:rFonts w:hint="default"/>
      </w:rPr>
    </w:lvl>
    <w:lvl w:ilvl="4">
      <w:start w:val="0"/>
      <w:numFmt w:val="bullet"/>
      <w:lvlText w:val="•"/>
      <w:lvlJc w:val="left"/>
      <w:pPr>
        <w:ind w:left="6447" w:hanging="585"/>
      </w:pPr>
      <w:rPr>
        <w:rFonts w:hint="default"/>
      </w:rPr>
    </w:lvl>
    <w:lvl w:ilvl="5">
      <w:start w:val="0"/>
      <w:numFmt w:val="bullet"/>
      <w:lvlText w:val="•"/>
      <w:lvlJc w:val="left"/>
      <w:pPr>
        <w:ind w:left="7839" w:hanging="585"/>
      </w:pPr>
      <w:rPr>
        <w:rFonts w:hint="default"/>
      </w:rPr>
    </w:lvl>
    <w:lvl w:ilvl="6">
      <w:start w:val="0"/>
      <w:numFmt w:val="bullet"/>
      <w:lvlText w:val="•"/>
      <w:lvlJc w:val="left"/>
      <w:pPr>
        <w:ind w:left="9231" w:hanging="585"/>
      </w:pPr>
      <w:rPr>
        <w:rFonts w:hint="default"/>
      </w:rPr>
    </w:lvl>
    <w:lvl w:ilvl="7">
      <w:start w:val="0"/>
      <w:numFmt w:val="bullet"/>
      <w:lvlText w:val="•"/>
      <w:lvlJc w:val="left"/>
      <w:pPr>
        <w:ind w:left="10623" w:hanging="585"/>
      </w:pPr>
      <w:rPr>
        <w:rFonts w:hint="default"/>
      </w:rPr>
    </w:lvl>
    <w:lvl w:ilvl="8">
      <w:start w:val="0"/>
      <w:numFmt w:val="bullet"/>
      <w:lvlText w:val="•"/>
      <w:lvlJc w:val="left"/>
      <w:pPr>
        <w:ind w:left="12015" w:hanging="585"/>
      </w:pPr>
      <w:rPr>
        <w:rFonts w:hint="default"/>
      </w:rPr>
    </w:lvl>
  </w:abstractNum>
  <w:abstractNum w:abstractNumId="9">
    <w:nsid w:val="56706CA7"/>
    <w:multiLevelType w:val="hybridMultilevel"/>
    <w:tmpl w:val="00000000"/>
    <w:lvl w:ilvl="0">
      <w:start w:val="1"/>
      <w:numFmt w:val="decimal"/>
      <w:lvlText w:val="%1）"/>
      <w:lvlJc w:val="left"/>
      <w:pPr>
        <w:ind w:left="877" w:hanging="585"/>
        <w:jc w:val="left"/>
      </w:pPr>
      <w:rPr>
        <w:rFonts w:ascii="华文中宋" w:eastAsia="华文中宋" w:hAnsi="华文中宋" w:cs="华文中宋" w:hint="default"/>
        <w:b/>
        <w:bCs/>
        <w:w w:val="99"/>
        <w:sz w:val="34"/>
        <w:szCs w:val="34"/>
      </w:rPr>
    </w:lvl>
    <w:lvl w:ilvl="1">
      <w:start w:val="0"/>
      <w:numFmt w:val="bullet"/>
      <w:lvlText w:val="•"/>
      <w:lvlJc w:val="left"/>
      <w:pPr>
        <w:ind w:left="2271" w:hanging="585"/>
      </w:pPr>
      <w:rPr>
        <w:rFonts w:hint="default"/>
      </w:rPr>
    </w:lvl>
    <w:lvl w:ilvl="2">
      <w:start w:val="0"/>
      <w:numFmt w:val="bullet"/>
      <w:lvlText w:val="•"/>
      <w:lvlJc w:val="left"/>
      <w:pPr>
        <w:ind w:left="3663" w:hanging="585"/>
      </w:pPr>
      <w:rPr>
        <w:rFonts w:hint="default"/>
      </w:rPr>
    </w:lvl>
    <w:lvl w:ilvl="3">
      <w:start w:val="0"/>
      <w:numFmt w:val="bullet"/>
      <w:lvlText w:val="•"/>
      <w:lvlJc w:val="left"/>
      <w:pPr>
        <w:ind w:left="5055" w:hanging="585"/>
      </w:pPr>
      <w:rPr>
        <w:rFonts w:hint="default"/>
      </w:rPr>
    </w:lvl>
    <w:lvl w:ilvl="4">
      <w:start w:val="0"/>
      <w:numFmt w:val="bullet"/>
      <w:lvlText w:val="•"/>
      <w:lvlJc w:val="left"/>
      <w:pPr>
        <w:ind w:left="6447" w:hanging="585"/>
      </w:pPr>
      <w:rPr>
        <w:rFonts w:hint="default"/>
      </w:rPr>
    </w:lvl>
    <w:lvl w:ilvl="5">
      <w:start w:val="0"/>
      <w:numFmt w:val="bullet"/>
      <w:lvlText w:val="•"/>
      <w:lvlJc w:val="left"/>
      <w:pPr>
        <w:ind w:left="7839" w:hanging="585"/>
      </w:pPr>
      <w:rPr>
        <w:rFonts w:hint="default"/>
      </w:rPr>
    </w:lvl>
    <w:lvl w:ilvl="6">
      <w:start w:val="0"/>
      <w:numFmt w:val="bullet"/>
      <w:lvlText w:val="•"/>
      <w:lvlJc w:val="left"/>
      <w:pPr>
        <w:ind w:left="9231" w:hanging="585"/>
      </w:pPr>
      <w:rPr>
        <w:rFonts w:hint="default"/>
      </w:rPr>
    </w:lvl>
    <w:lvl w:ilvl="7">
      <w:start w:val="0"/>
      <w:numFmt w:val="bullet"/>
      <w:lvlText w:val="•"/>
      <w:lvlJc w:val="left"/>
      <w:pPr>
        <w:ind w:left="10623" w:hanging="585"/>
      </w:pPr>
      <w:rPr>
        <w:rFonts w:hint="default"/>
      </w:rPr>
    </w:lvl>
    <w:lvl w:ilvl="8">
      <w:start w:val="0"/>
      <w:numFmt w:val="bullet"/>
      <w:lvlText w:val="•"/>
      <w:lvlJc w:val="left"/>
      <w:pPr>
        <w:ind w:left="12015" w:hanging="585"/>
      </w:pPr>
      <w:rPr>
        <w:rFonts w:hint="default"/>
      </w:rPr>
    </w:lvl>
  </w:abstractNum>
  <w:abstractNum w:abstractNumId="10">
    <w:nsid w:val="5897C7F1"/>
    <w:multiLevelType w:val="hybridMultilevel"/>
    <w:tmpl w:val="00000000"/>
    <w:lvl w:ilvl="0">
      <w:start w:val="1"/>
      <w:numFmt w:val="decimal"/>
      <w:lvlText w:val="（%1）"/>
      <w:lvlJc w:val="left"/>
      <w:pPr>
        <w:ind w:left="292" w:hanging="1211"/>
        <w:jc w:val="left"/>
      </w:pPr>
      <w:rPr>
        <w:rFonts w:ascii="宋体" w:eastAsia="宋体" w:hAnsi="宋体" w:cs="宋体" w:hint="default"/>
        <w:w w:val="100"/>
        <w:sz w:val="36"/>
        <w:szCs w:val="36"/>
      </w:rPr>
    </w:lvl>
    <w:lvl w:ilvl="1">
      <w:start w:val="0"/>
      <w:numFmt w:val="bullet"/>
      <w:lvlText w:val="•"/>
      <w:lvlJc w:val="left"/>
      <w:pPr>
        <w:ind w:left="1749" w:hanging="1211"/>
      </w:pPr>
      <w:rPr>
        <w:rFonts w:hint="default"/>
      </w:rPr>
    </w:lvl>
    <w:lvl w:ilvl="2">
      <w:start w:val="0"/>
      <w:numFmt w:val="bullet"/>
      <w:lvlText w:val="•"/>
      <w:lvlJc w:val="left"/>
      <w:pPr>
        <w:ind w:left="3199" w:hanging="1211"/>
      </w:pPr>
      <w:rPr>
        <w:rFonts w:hint="default"/>
      </w:rPr>
    </w:lvl>
    <w:lvl w:ilvl="3">
      <w:start w:val="0"/>
      <w:numFmt w:val="bullet"/>
      <w:lvlText w:val="•"/>
      <w:lvlJc w:val="left"/>
      <w:pPr>
        <w:ind w:left="4649" w:hanging="1211"/>
      </w:pPr>
      <w:rPr>
        <w:rFonts w:hint="default"/>
      </w:rPr>
    </w:lvl>
    <w:lvl w:ilvl="4">
      <w:start w:val="0"/>
      <w:numFmt w:val="bullet"/>
      <w:lvlText w:val="•"/>
      <w:lvlJc w:val="left"/>
      <w:pPr>
        <w:ind w:left="6099" w:hanging="1211"/>
      </w:pPr>
      <w:rPr>
        <w:rFonts w:hint="default"/>
      </w:rPr>
    </w:lvl>
    <w:lvl w:ilvl="5">
      <w:start w:val="0"/>
      <w:numFmt w:val="bullet"/>
      <w:lvlText w:val="•"/>
      <w:lvlJc w:val="left"/>
      <w:pPr>
        <w:ind w:left="7549" w:hanging="1211"/>
      </w:pPr>
      <w:rPr>
        <w:rFonts w:hint="default"/>
      </w:rPr>
    </w:lvl>
    <w:lvl w:ilvl="6">
      <w:start w:val="0"/>
      <w:numFmt w:val="bullet"/>
      <w:lvlText w:val="•"/>
      <w:lvlJc w:val="left"/>
      <w:pPr>
        <w:ind w:left="8999" w:hanging="1211"/>
      </w:pPr>
      <w:rPr>
        <w:rFonts w:hint="default"/>
      </w:rPr>
    </w:lvl>
    <w:lvl w:ilvl="7">
      <w:start w:val="0"/>
      <w:numFmt w:val="bullet"/>
      <w:lvlText w:val="•"/>
      <w:lvlJc w:val="left"/>
      <w:pPr>
        <w:ind w:left="10449" w:hanging="1211"/>
      </w:pPr>
      <w:rPr>
        <w:rFonts w:hint="default"/>
      </w:rPr>
    </w:lvl>
    <w:lvl w:ilvl="8">
      <w:start w:val="0"/>
      <w:numFmt w:val="bullet"/>
      <w:lvlText w:val="•"/>
      <w:lvlJc w:val="left"/>
      <w:pPr>
        <w:ind w:left="11899" w:hanging="1211"/>
      </w:pPr>
      <w:rPr>
        <w:rFonts w:hint="default"/>
      </w:rPr>
    </w:lvl>
  </w:abstractNum>
  <w:abstractNum w:abstractNumId="11">
    <w:nsid w:val="5997780D"/>
    <w:multiLevelType w:val="hybridMultilevel"/>
    <w:tmpl w:val="00000000"/>
    <w:lvl w:ilvl="0">
      <w:start w:val="1"/>
      <w:numFmt w:val="decimal"/>
      <w:lvlText w:val="%1）"/>
      <w:lvlJc w:val="left"/>
      <w:pPr>
        <w:ind w:left="877" w:hanging="585"/>
        <w:jc w:val="left"/>
      </w:pPr>
      <w:rPr>
        <w:rFonts w:ascii="华文中宋" w:eastAsia="华文中宋" w:hAnsi="华文中宋" w:cs="华文中宋" w:hint="default"/>
        <w:b/>
        <w:bCs/>
        <w:w w:val="99"/>
        <w:sz w:val="34"/>
        <w:szCs w:val="34"/>
      </w:rPr>
    </w:lvl>
    <w:lvl w:ilvl="1">
      <w:start w:val="0"/>
      <w:numFmt w:val="bullet"/>
      <w:lvlText w:val="•"/>
      <w:lvlJc w:val="left"/>
      <w:pPr>
        <w:ind w:left="1580" w:hanging="585"/>
      </w:pPr>
      <w:rPr>
        <w:rFonts w:hint="default"/>
      </w:rPr>
    </w:lvl>
    <w:lvl w:ilvl="2">
      <w:start w:val="0"/>
      <w:numFmt w:val="bullet"/>
      <w:lvlText w:val="•"/>
      <w:lvlJc w:val="left"/>
      <w:pPr>
        <w:ind w:left="2400" w:hanging="585"/>
      </w:pPr>
      <w:rPr>
        <w:rFonts w:hint="default"/>
      </w:rPr>
    </w:lvl>
    <w:lvl w:ilvl="3">
      <w:start w:val="0"/>
      <w:numFmt w:val="bullet"/>
      <w:lvlText w:val="•"/>
      <w:lvlJc w:val="left"/>
      <w:pPr>
        <w:ind w:left="3520" w:hanging="585"/>
      </w:pPr>
      <w:rPr>
        <w:rFonts w:hint="default"/>
      </w:rPr>
    </w:lvl>
    <w:lvl w:ilvl="4">
      <w:start w:val="0"/>
      <w:numFmt w:val="bullet"/>
      <w:lvlText w:val="•"/>
      <w:lvlJc w:val="left"/>
      <w:pPr>
        <w:ind w:left="2742" w:hanging="585"/>
      </w:pPr>
      <w:rPr>
        <w:rFonts w:hint="default"/>
      </w:rPr>
    </w:lvl>
    <w:lvl w:ilvl="5">
      <w:start w:val="0"/>
      <w:numFmt w:val="bullet"/>
      <w:lvlText w:val="•"/>
      <w:lvlJc w:val="left"/>
      <w:pPr>
        <w:ind w:left="1965" w:hanging="585"/>
      </w:pPr>
      <w:rPr>
        <w:rFonts w:hint="default"/>
      </w:rPr>
    </w:lvl>
    <w:lvl w:ilvl="6">
      <w:start w:val="0"/>
      <w:numFmt w:val="bullet"/>
      <w:lvlText w:val="•"/>
      <w:lvlJc w:val="left"/>
      <w:pPr>
        <w:ind w:left="1187" w:hanging="585"/>
      </w:pPr>
      <w:rPr>
        <w:rFonts w:hint="default"/>
      </w:rPr>
    </w:lvl>
    <w:lvl w:ilvl="7">
      <w:start w:val="0"/>
      <w:numFmt w:val="bullet"/>
      <w:lvlText w:val="•"/>
      <w:lvlJc w:val="left"/>
      <w:pPr>
        <w:ind w:left="410" w:hanging="585"/>
      </w:pPr>
      <w:rPr>
        <w:rFonts w:hint="default"/>
      </w:rPr>
    </w:lvl>
    <w:lvl w:ilvl="8">
      <w:start w:val="0"/>
      <w:numFmt w:val="bullet"/>
      <w:lvlText w:val="•"/>
      <w:lvlJc w:val="left"/>
      <w:pPr>
        <w:ind w:left="-368" w:hanging="585"/>
      </w:pPr>
      <w:rPr>
        <w:rFonts w:hint="default"/>
      </w:rPr>
    </w:lvl>
  </w:abstractNum>
  <w:abstractNum w:abstractNumId="12">
    <w:nsid w:val="6EFA443F"/>
    <w:multiLevelType w:val="hybridMultilevel"/>
    <w:tmpl w:val="00000000"/>
    <w:lvl w:ilvl="0">
      <w:start w:val="1"/>
      <w:numFmt w:val="decimal"/>
      <w:lvlText w:val="%1）"/>
      <w:lvlJc w:val="left"/>
      <w:pPr>
        <w:ind w:left="877" w:hanging="585"/>
        <w:jc w:val="right"/>
      </w:pPr>
      <w:rPr>
        <w:rFonts w:hint="default"/>
        <w:b/>
        <w:bCs/>
        <w:w w:val="99"/>
      </w:rPr>
    </w:lvl>
    <w:lvl w:ilvl="1">
      <w:start w:val="0"/>
      <w:numFmt w:val="bullet"/>
      <w:lvlText w:val="•"/>
      <w:lvlJc w:val="left"/>
      <w:pPr>
        <w:ind w:left="2271" w:hanging="585"/>
      </w:pPr>
      <w:rPr>
        <w:rFonts w:hint="default"/>
      </w:rPr>
    </w:lvl>
    <w:lvl w:ilvl="2">
      <w:start w:val="0"/>
      <w:numFmt w:val="bullet"/>
      <w:lvlText w:val="•"/>
      <w:lvlJc w:val="left"/>
      <w:pPr>
        <w:ind w:left="3663" w:hanging="585"/>
      </w:pPr>
      <w:rPr>
        <w:rFonts w:hint="default"/>
      </w:rPr>
    </w:lvl>
    <w:lvl w:ilvl="3">
      <w:start w:val="0"/>
      <w:numFmt w:val="bullet"/>
      <w:lvlText w:val="•"/>
      <w:lvlJc w:val="left"/>
      <w:pPr>
        <w:ind w:left="5055" w:hanging="585"/>
      </w:pPr>
      <w:rPr>
        <w:rFonts w:hint="default"/>
      </w:rPr>
    </w:lvl>
    <w:lvl w:ilvl="4">
      <w:start w:val="0"/>
      <w:numFmt w:val="bullet"/>
      <w:lvlText w:val="•"/>
      <w:lvlJc w:val="left"/>
      <w:pPr>
        <w:ind w:left="6447" w:hanging="585"/>
      </w:pPr>
      <w:rPr>
        <w:rFonts w:hint="default"/>
      </w:rPr>
    </w:lvl>
    <w:lvl w:ilvl="5">
      <w:start w:val="0"/>
      <w:numFmt w:val="bullet"/>
      <w:lvlText w:val="•"/>
      <w:lvlJc w:val="left"/>
      <w:pPr>
        <w:ind w:left="7839" w:hanging="585"/>
      </w:pPr>
      <w:rPr>
        <w:rFonts w:hint="default"/>
      </w:rPr>
    </w:lvl>
    <w:lvl w:ilvl="6">
      <w:start w:val="0"/>
      <w:numFmt w:val="bullet"/>
      <w:lvlText w:val="•"/>
      <w:lvlJc w:val="left"/>
      <w:pPr>
        <w:ind w:left="9231" w:hanging="585"/>
      </w:pPr>
      <w:rPr>
        <w:rFonts w:hint="default"/>
      </w:rPr>
    </w:lvl>
    <w:lvl w:ilvl="7">
      <w:start w:val="0"/>
      <w:numFmt w:val="bullet"/>
      <w:lvlText w:val="•"/>
      <w:lvlJc w:val="left"/>
      <w:pPr>
        <w:ind w:left="10623" w:hanging="585"/>
      </w:pPr>
      <w:rPr>
        <w:rFonts w:hint="default"/>
      </w:rPr>
    </w:lvl>
    <w:lvl w:ilvl="8">
      <w:start w:val="0"/>
      <w:numFmt w:val="bullet"/>
      <w:lvlText w:val="•"/>
      <w:lvlJc w:val="left"/>
      <w:pPr>
        <w:ind w:left="12015" w:hanging="585"/>
      </w:pPr>
      <w:rPr>
        <w:rFonts w:hint="default"/>
      </w:rPr>
    </w:lvl>
  </w:abstractNum>
  <w:abstractNum w:abstractNumId="13">
    <w:nsid w:val="774F2294"/>
    <w:multiLevelType w:val="hybridMultilevel"/>
    <w:tmpl w:val="00000000"/>
    <w:lvl w:ilvl="0">
      <w:start w:val="1"/>
      <w:numFmt w:val="decimal"/>
      <w:lvlText w:val="%1."/>
      <w:lvlJc w:val="left"/>
      <w:pPr>
        <w:ind w:left="292" w:hanging="455"/>
        <w:jc w:val="right"/>
      </w:pPr>
      <w:rPr>
        <w:rFonts w:ascii="Calibri" w:eastAsia="Calibri" w:hAnsi="Calibri" w:cs="Calibri" w:hint="default"/>
        <w:spacing w:val="-1"/>
        <w:w w:val="100"/>
        <w:sz w:val="36"/>
        <w:szCs w:val="36"/>
      </w:rPr>
    </w:lvl>
    <w:lvl w:ilvl="1">
      <w:start w:val="0"/>
      <w:numFmt w:val="bullet"/>
      <w:lvlText w:val="•"/>
      <w:lvlJc w:val="left"/>
      <w:pPr>
        <w:ind w:left="1749" w:hanging="455"/>
      </w:pPr>
      <w:rPr>
        <w:rFonts w:hint="default"/>
      </w:rPr>
    </w:lvl>
    <w:lvl w:ilvl="2">
      <w:start w:val="0"/>
      <w:numFmt w:val="bullet"/>
      <w:lvlText w:val="•"/>
      <w:lvlJc w:val="left"/>
      <w:pPr>
        <w:ind w:left="3199" w:hanging="455"/>
      </w:pPr>
      <w:rPr>
        <w:rFonts w:hint="default"/>
      </w:rPr>
    </w:lvl>
    <w:lvl w:ilvl="3">
      <w:start w:val="0"/>
      <w:numFmt w:val="bullet"/>
      <w:lvlText w:val="•"/>
      <w:lvlJc w:val="left"/>
      <w:pPr>
        <w:ind w:left="4649" w:hanging="455"/>
      </w:pPr>
      <w:rPr>
        <w:rFonts w:hint="default"/>
      </w:rPr>
    </w:lvl>
    <w:lvl w:ilvl="4">
      <w:start w:val="0"/>
      <w:numFmt w:val="bullet"/>
      <w:lvlText w:val="•"/>
      <w:lvlJc w:val="left"/>
      <w:pPr>
        <w:ind w:left="6099" w:hanging="455"/>
      </w:pPr>
      <w:rPr>
        <w:rFonts w:hint="default"/>
      </w:rPr>
    </w:lvl>
    <w:lvl w:ilvl="5">
      <w:start w:val="0"/>
      <w:numFmt w:val="bullet"/>
      <w:lvlText w:val="•"/>
      <w:lvlJc w:val="left"/>
      <w:pPr>
        <w:ind w:left="7549" w:hanging="455"/>
      </w:pPr>
      <w:rPr>
        <w:rFonts w:hint="default"/>
      </w:rPr>
    </w:lvl>
    <w:lvl w:ilvl="6">
      <w:start w:val="0"/>
      <w:numFmt w:val="bullet"/>
      <w:lvlText w:val="•"/>
      <w:lvlJc w:val="left"/>
      <w:pPr>
        <w:ind w:left="8999" w:hanging="455"/>
      </w:pPr>
      <w:rPr>
        <w:rFonts w:hint="default"/>
      </w:rPr>
    </w:lvl>
    <w:lvl w:ilvl="7">
      <w:start w:val="0"/>
      <w:numFmt w:val="bullet"/>
      <w:lvlText w:val="•"/>
      <w:lvlJc w:val="left"/>
      <w:pPr>
        <w:ind w:left="10449" w:hanging="455"/>
      </w:pPr>
      <w:rPr>
        <w:rFonts w:hint="default"/>
      </w:rPr>
    </w:lvl>
    <w:lvl w:ilvl="8">
      <w:start w:val="0"/>
      <w:numFmt w:val="bullet"/>
      <w:lvlText w:val="•"/>
      <w:lvlJc w:val="left"/>
      <w:pPr>
        <w:ind w:left="11899" w:hanging="455"/>
      </w:pPr>
      <w:rPr>
        <w:rFonts w:hint="default"/>
      </w:rPr>
    </w:lvl>
  </w:abstractNum>
  <w:abstractNum w:abstractNumId="14">
    <w:nsid w:val="77F466C5"/>
    <w:multiLevelType w:val="hybridMultilevel"/>
    <w:tmpl w:val="00000000"/>
    <w:lvl w:ilvl="0">
      <w:start w:val="1"/>
      <w:numFmt w:val="decimal"/>
      <w:lvlText w:val="%1."/>
      <w:lvlJc w:val="left"/>
      <w:pPr>
        <w:ind w:left="292" w:hanging="720"/>
        <w:jc w:val="left"/>
      </w:pPr>
      <w:rPr>
        <w:rFonts w:ascii="宋体" w:eastAsia="宋体" w:hAnsi="宋体" w:cs="宋体" w:hint="default"/>
        <w:w w:val="100"/>
        <w:sz w:val="36"/>
        <w:szCs w:val="36"/>
      </w:rPr>
    </w:lvl>
    <w:lvl w:ilvl="1">
      <w:start w:val="0"/>
      <w:numFmt w:val="bullet"/>
      <w:lvlText w:val="•"/>
      <w:lvlJc w:val="left"/>
      <w:pPr>
        <w:ind w:left="1749" w:hanging="720"/>
      </w:pPr>
      <w:rPr>
        <w:rFonts w:hint="default"/>
      </w:rPr>
    </w:lvl>
    <w:lvl w:ilvl="2">
      <w:start w:val="0"/>
      <w:numFmt w:val="bullet"/>
      <w:lvlText w:val="•"/>
      <w:lvlJc w:val="left"/>
      <w:pPr>
        <w:ind w:left="3199" w:hanging="720"/>
      </w:pPr>
      <w:rPr>
        <w:rFonts w:hint="default"/>
      </w:rPr>
    </w:lvl>
    <w:lvl w:ilvl="3">
      <w:start w:val="0"/>
      <w:numFmt w:val="bullet"/>
      <w:lvlText w:val="•"/>
      <w:lvlJc w:val="left"/>
      <w:pPr>
        <w:ind w:left="4649" w:hanging="720"/>
      </w:pPr>
      <w:rPr>
        <w:rFonts w:hint="default"/>
      </w:rPr>
    </w:lvl>
    <w:lvl w:ilvl="4">
      <w:start w:val="0"/>
      <w:numFmt w:val="bullet"/>
      <w:lvlText w:val="•"/>
      <w:lvlJc w:val="left"/>
      <w:pPr>
        <w:ind w:left="6099" w:hanging="720"/>
      </w:pPr>
      <w:rPr>
        <w:rFonts w:hint="default"/>
      </w:rPr>
    </w:lvl>
    <w:lvl w:ilvl="5">
      <w:start w:val="0"/>
      <w:numFmt w:val="bullet"/>
      <w:lvlText w:val="•"/>
      <w:lvlJc w:val="left"/>
      <w:pPr>
        <w:ind w:left="7549" w:hanging="720"/>
      </w:pPr>
      <w:rPr>
        <w:rFonts w:hint="default"/>
      </w:rPr>
    </w:lvl>
    <w:lvl w:ilvl="6">
      <w:start w:val="0"/>
      <w:numFmt w:val="bullet"/>
      <w:lvlText w:val="•"/>
      <w:lvlJc w:val="left"/>
      <w:pPr>
        <w:ind w:left="8999" w:hanging="720"/>
      </w:pPr>
      <w:rPr>
        <w:rFonts w:hint="default"/>
      </w:rPr>
    </w:lvl>
    <w:lvl w:ilvl="7">
      <w:start w:val="0"/>
      <w:numFmt w:val="bullet"/>
      <w:lvlText w:val="•"/>
      <w:lvlJc w:val="left"/>
      <w:pPr>
        <w:ind w:left="10449" w:hanging="720"/>
      </w:pPr>
      <w:rPr>
        <w:rFonts w:hint="default"/>
      </w:rPr>
    </w:lvl>
    <w:lvl w:ilvl="8">
      <w:start w:val="0"/>
      <w:numFmt w:val="bullet"/>
      <w:lvlText w:val="•"/>
      <w:lvlJc w:val="left"/>
      <w:pPr>
        <w:ind w:left="11899" w:hanging="720"/>
      </w:pPr>
      <w:rPr>
        <w:rFonts w:hint="default"/>
      </w:rPr>
    </w:lvl>
  </w:abstractNum>
  <w:num w:numId="1">
    <w:abstractNumId w:val="10"/>
  </w:num>
  <w:num w:numId="2">
    <w:abstractNumId w:val="7"/>
  </w:num>
  <w:num w:numId="3">
    <w:abstractNumId w:val="3"/>
  </w:num>
  <w:num w:numId="4">
    <w:abstractNumId w:val="11"/>
  </w:num>
  <w:num w:numId="5">
    <w:abstractNumId w:val="2"/>
  </w:num>
  <w:num w:numId="6">
    <w:abstractNumId w:val="5"/>
  </w:num>
  <w:num w:numId="7">
    <w:abstractNumId w:val="9"/>
  </w:num>
  <w:num w:numId="8">
    <w:abstractNumId w:val="4"/>
  </w:num>
  <w:num w:numId="9">
    <w:abstractNumId w:val="0"/>
  </w:num>
  <w:num w:numId="10">
    <w:abstractNumId w:val="1"/>
  </w:num>
  <w:num w:numId="11">
    <w:abstractNumId w:val="14"/>
  </w:num>
  <w:num w:numId="12">
    <w:abstractNumId w:val="8"/>
  </w:num>
  <w:num w:numId="13">
    <w:abstractNumId w:val="13"/>
  </w:num>
  <w:num w:numId="14">
    <w:abstractNumId w:val="6"/>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left="291"/>
      <w:outlineLvl w:val="0"/>
    </w:pPr>
    <w:rPr>
      <w:rFonts w:ascii="华文中宋" w:eastAsia="华文中宋" w:hAnsi="华文中宋" w:cs="华文中宋"/>
      <w:b/>
      <w:bCs/>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291"/>
    </w:pPr>
    <w:rPr>
      <w:rFonts w:ascii="宋体" w:eastAsia="宋体" w:hAnsi="宋体" w:cs="宋体"/>
      <w:sz w:val="36"/>
      <w:szCs w:val="36"/>
    </w:rPr>
  </w:style>
  <w:style w:type="paragraph" w:styleId="Title">
    <w:name w:val="Title"/>
    <w:basedOn w:val="Normal"/>
    <w:uiPriority w:val="1"/>
    <w:qFormat/>
    <w:pPr>
      <w:ind w:left="3823" w:right="3914"/>
      <w:jc w:val="center"/>
    </w:pPr>
    <w:rPr>
      <w:rFonts w:ascii="微软雅黑" w:eastAsia="微软雅黑" w:hAnsi="微软雅黑" w:cs="微软雅黑"/>
      <w:sz w:val="78"/>
      <w:szCs w:val="78"/>
    </w:rPr>
  </w:style>
  <w:style w:type="paragraph" w:styleId="ListParagraph">
    <w:name w:val="List Paragraph"/>
    <w:basedOn w:val="Normal"/>
    <w:uiPriority w:val="1"/>
    <w:qFormat/>
    <w:pPr>
      <w:ind w:left="291"/>
    </w:pPr>
    <w:rPr>
      <w:rFonts w:ascii="宋体" w:eastAsia="宋体" w:hAnsi="宋体" w:cs="宋体"/>
    </w:rPr>
  </w:style>
  <w:style w:type="paragraph" w:customStyle="1" w:styleId="TableParagraph">
    <w:name w:val="Table Paragraph"/>
    <w:basedOn w:val="Normal"/>
    <w:uiPriority w:val="1"/>
    <w:qFormat/>
    <w:pPr>
      <w:spacing w:before="165"/>
    </w:pPr>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hyperlink" Target="https://d.book118.com/26700602305400604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2024-02-01T20:52:44Z</dcterms:created>
  <dcterms:modified xsi:type="dcterms:W3CDTF">2024-02-01T20:52:44Z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2022-11-20T00:00:00Z</vt:filetime>
  </property>
  <property fmtid="{D5CDD505-2E9C-101B-9397-08002B2CF9AE}" pid="3" name="LastSaved">
    <vt:filetime>2024-02-01T00:00:00Z</vt:filetime>
  </property>
</Properties>
</file>