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3" w:lineRule="auto"/>
        <w:ind w:left="3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2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银</w:t>
      </w:r>
      <w:r>
        <w:rPr>
          <w:rFonts w:ascii="SimSun" w:eastAsia="SimSun" w:hAnsi="SimSun" w:cs="SimSun"/>
          <w:spacing w:val="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盐型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SimSun" w:eastAsia="SimSun" w:hAnsi="SimSun" w:cs="SimSun"/>
          <w:spacing w:val="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版项目可行性分析报</w:t>
      </w:r>
    </w:p>
    <w:p>
      <w:pPr>
        <w:spacing w:before="211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730094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(二)、银盐型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版项目总平面设计要求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一)、银盐型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版项目建设期原辅材料供应情况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(二)、银盐型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版项目运营期原辅材料供应及质量管理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、银盐型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版项目概论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)、银盐型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版项目承办单位基本情况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、银盐型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版项目概况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、银盐型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版项目评价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一)、银盐型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版项目风险分析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二)、银盐型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版项目风险对策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3489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002182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五)、银盐型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版项目实施保障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、银盐型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版项目管理与团队协作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、银盐型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版项目管理方法论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)、银盐型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版项目计划与进度管理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)、银盐型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CTP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版项目风险管理与应对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本项目商业计划书是为了规范银盐型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CTP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版项目的实施步骤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计</w:t>
      </w:r>
      <w:r>
        <w:rPr>
          <w:rFonts w:ascii="FangSong" w:eastAsia="FangSong" w:hAnsi="FangSong" w:cs="FangSong"/>
          <w:spacing w:val="-19"/>
          <w:sz w:val="28"/>
          <w:szCs w:val="28"/>
        </w:rPr>
        <w:t>划</w:t>
      </w:r>
      <w:r>
        <w:rPr>
          <w:rFonts w:ascii="FangSong" w:eastAsia="FangSong" w:hAnsi="FangSong" w:cs="FangSong"/>
          <w:spacing w:val="-11"/>
          <w:sz w:val="28"/>
          <w:szCs w:val="28"/>
        </w:rPr>
        <w:t>而编写的。通过详细描述银盐型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版项目的背景和目标，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计原则，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银</w:t>
      </w:r>
      <w:r>
        <w:rPr>
          <w:rFonts w:ascii="FangSong" w:eastAsia="FangSong" w:hAnsi="FangSong" w:cs="FangSong"/>
          <w:spacing w:val="-12"/>
          <w:sz w:val="28"/>
          <w:szCs w:val="28"/>
        </w:rPr>
        <w:t>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版项目总平面设计将充分考虑以下要求，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，适应银盐型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建筑工程的设计总体要求是确保银盐型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CTP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版项目实现预期功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保建筑的功能布局满足银盐型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CTP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版项目需求，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够达到高标准，满足银盐型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版项目的长期发展需求。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银盐型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版项目规划的总建筑面积为XXXX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到</w:t>
      </w:r>
      <w:r>
        <w:rPr>
          <w:rFonts w:ascii="FangSong" w:eastAsia="FangSong" w:hAnsi="FangSong" w:cs="FangSong"/>
          <w:spacing w:val="-18"/>
          <w:sz w:val="28"/>
          <w:szCs w:val="28"/>
        </w:rPr>
        <w:t>银</w:t>
      </w:r>
      <w:r>
        <w:rPr>
          <w:rFonts w:ascii="FangSong" w:eastAsia="FangSong" w:hAnsi="FangSong" w:cs="FangSong"/>
          <w:spacing w:val="-11"/>
          <w:sz w:val="28"/>
          <w:szCs w:val="28"/>
        </w:rPr>
        <w:t>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版项目的功能布局和需求，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占</w:t>
      </w:r>
      <w:r>
        <w:rPr>
          <w:rFonts w:ascii="FangSong" w:eastAsia="FangSong" w:hAnsi="FangSong" w:cs="FangSong"/>
          <w:spacing w:val="-14"/>
          <w:sz w:val="28"/>
          <w:szCs w:val="28"/>
        </w:rPr>
        <w:t>银盐型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CTP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版项目总投资比例：</w:t>
      </w:r>
    </w:p>
    <w:p>
      <w:pPr>
        <w:spacing w:before="285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占银盐型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CTP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版项目总投资的比例为XX%，在整体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9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未来银盐型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版项目运营的需求，同时避免了过度浪费。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银</w:t>
      </w:r>
      <w:r>
        <w:rPr>
          <w:rFonts w:ascii="FangSong" w:eastAsia="FangSong" w:hAnsi="FangSong" w:cs="FangSong"/>
          <w:spacing w:val="-13"/>
          <w:sz w:val="28"/>
          <w:szCs w:val="28"/>
        </w:rPr>
        <w:t>盐型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CTP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版项目整体布局：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注重</w:t>
      </w: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银</w:t>
      </w:r>
      <w:r>
        <w:rPr>
          <w:rFonts w:ascii="FangSong" w:eastAsia="FangSong" w:hAnsi="FangSong" w:cs="FangSong"/>
          <w:spacing w:val="-12"/>
          <w:sz w:val="28"/>
          <w:szCs w:val="28"/>
        </w:rPr>
        <w:t>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版行业作为一个充满活力的领域，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随</w:t>
      </w:r>
      <w:r>
        <w:rPr>
          <w:rFonts w:ascii="FangSong" w:eastAsia="FangSong" w:hAnsi="FangSong" w:cs="FangSong"/>
          <w:spacing w:val="-22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科技的迅猛发展，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</w:t>
      </w:r>
      <w:r>
        <w:rPr>
          <w:rFonts w:ascii="FangSong" w:eastAsia="FangSong" w:hAnsi="FangSong" w:cs="FangSong"/>
          <w:spacing w:val="-12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银盐型CTP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版行业**是一片充满活力的领域，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银</w:t>
      </w:r>
      <w:r>
        <w:rPr>
          <w:rFonts w:ascii="FangSong" w:eastAsia="FangSong" w:hAnsi="FangSong" w:cs="FangSong"/>
          <w:spacing w:val="-12"/>
          <w:sz w:val="28"/>
          <w:szCs w:val="28"/>
        </w:rPr>
        <w:t>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版行业市场规模庞大，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随</w:t>
      </w:r>
      <w:r>
        <w:rPr>
          <w:rFonts w:ascii="FangSong" w:eastAsia="FangSong" w:hAnsi="FangSong" w:cs="FangSong"/>
          <w:spacing w:val="-22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科技的飞速发展，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、银盐型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版项目建设期原辅材料供应情况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2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利进行和产品质量稳定的重要环节。本章将详细探讨银盐型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银盐型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版项目建设期原辅材料供应情况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和质量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着直接的影响。下面是银盐型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版项目建设期原辅材料供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(二)、银盐型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银</w:t>
      </w:r>
      <w:r>
        <w:rPr>
          <w:rFonts w:ascii="FangSong" w:eastAsia="FangSong" w:hAnsi="FangSong" w:cs="FangSong"/>
          <w:spacing w:val="-12"/>
          <w:sz w:val="28"/>
          <w:szCs w:val="28"/>
        </w:rPr>
        <w:t>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版项目进入运营期后，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理同样</w:t>
      </w:r>
      <w:r>
        <w:rPr>
          <w:rFonts w:ascii="FangSong" w:eastAsia="FangSong" w:hAnsi="FangSong" w:cs="FangSong"/>
          <w:spacing w:val="-10"/>
          <w:sz w:val="28"/>
          <w:szCs w:val="28"/>
        </w:rPr>
        <w:t>至</w:t>
      </w:r>
      <w:r>
        <w:rPr>
          <w:rFonts w:ascii="FangSong" w:eastAsia="FangSong" w:hAnsi="FangSong" w:cs="FangSong"/>
          <w:spacing w:val="-7"/>
          <w:sz w:val="28"/>
          <w:szCs w:val="28"/>
        </w:rPr>
        <w:t>关重要。下面是银盐型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版项目运营期原辅材料供应及质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16"/>
          <w:cols w:space="708"/>
          <w:titlePg w:val="0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五、银盐型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、银盐型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版项目承办单位基本情况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)、银盐型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银</w:t>
      </w:r>
      <w:r>
        <w:rPr>
          <w:rFonts w:ascii="FangSong" w:eastAsia="FangSong" w:hAnsi="FangSong" w:cs="FangSong"/>
          <w:spacing w:val="-16"/>
          <w:sz w:val="28"/>
          <w:szCs w:val="28"/>
        </w:rPr>
        <w:t>盐型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CTP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版项目名称：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银盐型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CTP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版项目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银</w:t>
      </w:r>
      <w:r>
        <w:rPr>
          <w:rFonts w:ascii="FangSong" w:eastAsia="FangSong" w:hAnsi="FangSong" w:cs="FangSong"/>
          <w:spacing w:val="-15"/>
          <w:sz w:val="28"/>
          <w:szCs w:val="28"/>
        </w:rPr>
        <w:t>盐型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版项目类型：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银</w:t>
      </w:r>
      <w:r>
        <w:rPr>
          <w:rFonts w:ascii="FangSong" w:eastAsia="FangSong" w:hAnsi="FangSong" w:cs="FangSong"/>
          <w:spacing w:val="-18"/>
          <w:sz w:val="28"/>
          <w:szCs w:val="28"/>
        </w:rPr>
        <w:t>盐型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CTP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版项目地点：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8" w:right="10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银</w:t>
      </w:r>
      <w:r>
        <w:rPr>
          <w:rFonts w:ascii="FangSong" w:eastAsia="FangSong" w:hAnsi="FangSong" w:cs="FangSong"/>
          <w:spacing w:val="-28"/>
          <w:sz w:val="28"/>
          <w:szCs w:val="28"/>
        </w:rPr>
        <w:t>盐</w:t>
      </w:r>
      <w:r>
        <w:rPr>
          <w:rFonts w:ascii="FangSong" w:eastAsia="FangSong" w:hAnsi="FangSong" w:cs="FangSong"/>
          <w:spacing w:val="-17"/>
          <w:sz w:val="28"/>
          <w:szCs w:val="28"/>
        </w:rPr>
        <w:t>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CTP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版项目规模：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银</w:t>
      </w:r>
      <w:r>
        <w:rPr>
          <w:rFonts w:ascii="FangSong" w:eastAsia="FangSong" w:hAnsi="FangSong" w:cs="FangSong"/>
          <w:spacing w:val="-16"/>
          <w:sz w:val="28"/>
          <w:szCs w:val="28"/>
        </w:rPr>
        <w:t>盐型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CTP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版项目周期：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416" w:lineRule="auto"/>
        <w:ind w:left="42" w:right="123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银盐型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版项目背景：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银盐型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版项目的建设旨在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)、银盐型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>场</w:t>
      </w:r>
      <w:r>
        <w:rPr>
          <w:rFonts w:ascii="FangSong" w:eastAsia="FangSong" w:hAnsi="FangSong" w:cs="FangSong"/>
          <w:spacing w:val="-14"/>
          <w:sz w:val="28"/>
          <w:szCs w:val="28"/>
        </w:rPr>
        <w:t>前景：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该银盐型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CTP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版项目处于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盐</w:t>
      </w:r>
      <w:r>
        <w:rPr>
          <w:rFonts w:ascii="FangSong" w:eastAsia="FangSong" w:hAnsi="FangSong" w:cs="FangSong"/>
          <w:spacing w:val="-9"/>
          <w:sz w:val="28"/>
          <w:szCs w:val="28"/>
        </w:rPr>
        <w:t>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版项目具备较高的实施可行性。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(一)、银盐型</w:t>
      </w:r>
      <w:r>
        <w:rPr>
          <w:rFonts w:ascii="FangSong" w:eastAsia="FangSong" w:hAnsi="FangSong" w:cs="FangSong"/>
          <w:spacing w:val="-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P</w:t>
      </w:r>
      <w:r>
        <w:rPr>
          <w:rFonts w:ascii="FangSong" w:eastAsia="FangSong" w:hAnsi="FangSong" w:cs="FangSong"/>
          <w:spacing w:val="-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版项目风险分析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受市场变化和竞争压力的影响，银盐型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银</w:t>
      </w:r>
      <w:r>
        <w:rPr>
          <w:rFonts w:ascii="FangSong" w:eastAsia="FangSong" w:hAnsi="FangSong" w:cs="FangSong"/>
          <w:spacing w:val="-11"/>
          <w:sz w:val="28"/>
          <w:szCs w:val="28"/>
        </w:rPr>
        <w:t>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版项目的盈利能力。</w:t>
      </w:r>
    </w:p>
    <w:p>
      <w:pPr>
        <w:spacing w:before="3" w:line="414" w:lineRule="auto"/>
        <w:ind w:left="2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技术方面的不确定性可能导致银盐型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3"/>
          <w:sz w:val="28"/>
          <w:szCs w:val="28"/>
        </w:rPr>
        <w:t>加。新技术的引入或技术问题的发生可能对银盐型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版项目的顺利进行产生负面影响。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28" w:right="102" w:firstLine="56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政府政策和法规的变化可能对银盐型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目产生重</w:t>
      </w:r>
      <w:r>
        <w:rPr>
          <w:rFonts w:ascii="FangSong" w:eastAsia="FangSong" w:hAnsi="FangSong" w:cs="FangSong"/>
          <w:spacing w:val="-4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影响。不符合环保、安全等法规要求可能导致银盐型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CTP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版项目的停工或罚款，增加经济成本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1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资金紧张或融资渠道受限可能导致银盐型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无法按计划进行。汇率波动和利率上升也可能对银盐型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自然</w:t>
      </w:r>
      <w:r>
        <w:rPr>
          <w:rFonts w:ascii="FangSong" w:eastAsia="FangSong" w:hAnsi="FangSong" w:cs="FangSong"/>
          <w:spacing w:val="-9"/>
          <w:sz w:val="28"/>
          <w:szCs w:val="28"/>
        </w:rPr>
        <w:t>灾害风险：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地震、洪水等自然灾害可能对银盐型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版项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)、银盐型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这些对策的实施，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我们旨在最大程度地降低银盐型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9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版项目开始前进行充分的技术可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银</w:t>
      </w:r>
      <w:r>
        <w:rPr>
          <w:rFonts w:ascii="FangSong" w:eastAsia="FangSong" w:hAnsi="FangSong" w:cs="FangSong"/>
          <w:spacing w:val="-10"/>
          <w:sz w:val="28"/>
          <w:szCs w:val="28"/>
        </w:rPr>
        <w:t>盐型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CTP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版项目按计划进行。</w:t>
      </w:r>
    </w:p>
    <w:p>
      <w:pPr>
        <w:spacing w:before="2" w:line="411" w:lineRule="auto"/>
        <w:ind w:left="21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降低法规变更对银盐</w:t>
      </w:r>
      <w:r>
        <w:rPr>
          <w:rFonts w:ascii="FangSong" w:eastAsia="FangSong" w:hAnsi="FangSong" w:cs="FangSong"/>
          <w:spacing w:val="-10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资金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制定周密的资金计划，包括多元化融资渠道的拓展，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594" w:right="56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规避货币风险，并建立紧急资金储备以应对可能的资金紧张情</w:t>
      </w:r>
      <w:r>
        <w:rPr>
          <w:rFonts w:ascii="FangSong" w:eastAsia="FangSong" w:hAnsi="FangSong" w:cs="FangSong"/>
          <w:spacing w:val="-1"/>
          <w:sz w:val="28"/>
          <w:szCs w:val="28"/>
        </w:rPr>
        <w:t>况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pacing w:line="417" w:lineRule="auto"/>
        <w:ind w:left="81" w:right="56" w:hanging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轻银盐型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版项目因不可抗力而受到的损失，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确保银盐型CT</w:t>
      </w:r>
      <w:r>
        <w:rPr>
          <w:rFonts w:ascii="FangSong" w:eastAsia="FangSong" w:hAnsi="FangSong" w:cs="FangSong"/>
          <w:spacing w:val="-7"/>
          <w:sz w:val="28"/>
          <w:szCs w:val="28"/>
        </w:rPr>
        <w:t>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的可持续运营。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人力资源配置是确保银盐型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CTP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版项目成功实施的</w:t>
      </w:r>
      <w:r>
        <w:rPr>
          <w:rFonts w:ascii="FangSong" w:eastAsia="FangSong" w:hAnsi="FangSong" w:cs="FangSong"/>
          <w:sz w:val="28"/>
          <w:szCs w:val="28"/>
        </w:rPr>
        <w:t>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在岗位设置和人员配备方面，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我们根据银盐型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9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员具备</w:t>
      </w:r>
      <w:r>
        <w:rPr>
          <w:rFonts w:ascii="FangSong" w:eastAsia="FangSong" w:hAnsi="FangSong" w:cs="FangSong"/>
          <w:spacing w:val="-11"/>
          <w:sz w:val="28"/>
          <w:szCs w:val="28"/>
        </w:rPr>
        <w:t>应</w:t>
      </w:r>
      <w:r>
        <w:rPr>
          <w:rFonts w:ascii="FangSong" w:eastAsia="FangSong" w:hAnsi="FangSong" w:cs="FangSong"/>
          <w:spacing w:val="-7"/>
          <w:sz w:val="28"/>
          <w:szCs w:val="28"/>
        </w:rPr>
        <w:t>对银盐型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版项目挑战的能力。通过这些人力资源配置策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略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为银盐型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版项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目的顺利实施提供坚实的支持。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版项目团队的协调运作和高效执行，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力资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11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并采用灵活的策略来满足银盐型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CTP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版项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作能力，确保招募到最适合银盐型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>P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版项目的人才。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</w:t>
      </w:r>
      <w:r>
        <w:rPr>
          <w:rFonts w:ascii="FangSong" w:eastAsia="FangSong" w:hAnsi="FangSong" w:cs="FangSong"/>
          <w:spacing w:val="-3"/>
          <w:sz w:val="28"/>
          <w:szCs w:val="28"/>
        </w:rPr>
        <w:t>分工：明确银盐型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CTP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版项目各个岗位的职责和任务，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3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目标，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助力其在银盐型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CTP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版项目中不断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3" w:line="415" w:lineRule="auto"/>
        <w:ind w:left="49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289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版项目、角色扮演等方式，提高团队成员的协同工作能力。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line="417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4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银盐型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CTP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版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项目的建设周期被设定为XX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个月，其中包括银盐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CT</w:t>
      </w:r>
      <w:r>
        <w:rPr>
          <w:rFonts w:ascii="FangSong" w:eastAsia="FangSong" w:hAnsi="FangSong" w:cs="FangSong"/>
          <w:spacing w:val="-8"/>
          <w:sz w:val="28"/>
          <w:szCs w:val="28"/>
        </w:rPr>
        <w:t>P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版项目前期准备、工程勘察与设计、土建工程施工、设备采购、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作内</w:t>
      </w:r>
      <w:r>
        <w:rPr>
          <w:rFonts w:ascii="FangSong" w:eastAsia="FangSong" w:hAnsi="FangSong" w:cs="FangSong"/>
          <w:spacing w:val="-10"/>
          <w:sz w:val="28"/>
          <w:szCs w:val="28"/>
        </w:rPr>
        <w:t>容</w:t>
      </w:r>
      <w:r>
        <w:rPr>
          <w:rFonts w:ascii="FangSong" w:eastAsia="FangSong" w:hAnsi="FangSong" w:cs="FangSong"/>
          <w:spacing w:val="-6"/>
          <w:sz w:val="28"/>
          <w:szCs w:val="28"/>
        </w:rPr>
        <w:t>和交叉影响，以确保银盐型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CTP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版项目的高效推进。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体的建设进度将在银盐型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版项目启动时明确制定，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并按照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4" w:line="416" w:lineRule="auto"/>
        <w:ind w:left="32" w:right="95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里程碑计划进行监测和调整。各个阶段的完成情况将通过定期的进度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银</w:t>
      </w:r>
      <w:r>
        <w:rPr>
          <w:rFonts w:ascii="FangSong" w:eastAsia="FangSong" w:hAnsi="FangSong" w:cs="FangSong"/>
          <w:spacing w:val="-12"/>
          <w:sz w:val="28"/>
          <w:szCs w:val="28"/>
        </w:rPr>
        <w:t>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版项目将根据各个阶段的需求合理配置人力资源，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障</w:t>
      </w:r>
      <w:r>
        <w:rPr>
          <w:rFonts w:ascii="FangSong" w:eastAsia="FangSong" w:hAnsi="FangSong" w:cs="FangSong"/>
          <w:spacing w:val="-9"/>
          <w:sz w:val="28"/>
          <w:szCs w:val="28"/>
        </w:rPr>
        <w:t>银盐型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版项目各方面的需要。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员工培训将是银盐型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CT</w:t>
      </w:r>
      <w:r>
        <w:rPr>
          <w:rFonts w:ascii="FangSong" w:eastAsia="FangSong" w:hAnsi="FangSong" w:cs="FangSong"/>
          <w:spacing w:val="-5"/>
          <w:sz w:val="28"/>
          <w:szCs w:val="28"/>
        </w:rPr>
        <w:t>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版项目实施的一个重要环节。我们将提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供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包括但不限于银盐型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CTP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版项目背景、工作流程、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)、银盐型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CTP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版项目实施保障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银</w:t>
      </w:r>
      <w:r>
        <w:rPr>
          <w:rFonts w:ascii="FangSong" w:eastAsia="FangSong" w:hAnsi="FangSong" w:cs="FangSong"/>
          <w:spacing w:val="-12"/>
          <w:sz w:val="28"/>
          <w:szCs w:val="28"/>
        </w:rPr>
        <w:t>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版项目实施过程中，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我们将采取以下措施保障银盐型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版项目的顺利进行：</w:t>
      </w:r>
    </w:p>
    <w:p>
      <w:pPr>
        <w:spacing w:before="1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对银盐型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建立高效的沟通渠道，促进银盐型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</w:t>
      </w:r>
      <w:r>
        <w:rPr>
          <w:rFonts w:ascii="FangSong" w:eastAsia="FangSong" w:hAnsi="FangSong" w:cs="FangSong"/>
          <w:spacing w:val="-7"/>
          <w:sz w:val="28"/>
          <w:szCs w:val="28"/>
        </w:rPr>
        <w:t>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实施全面的质量管理体系，确保银盐型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CTP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版项目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以上一系列的管理和保障措施，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我们确信银盐型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CTP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版项目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6" w:line="417" w:lineRule="auto"/>
        <w:ind w:left="29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https://d.book118.com/267052061156006053</w:t>
        </w:r>
      </w:hyperlink>
    </w:p>
    <w:p/>
    <w:sectPr>
      <w:pgSz w:w="11906" w:h="16839"/>
      <w:pgMar w:top="1431" w:right="1697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705206115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2024-03-14T08:44:55Z</vt:filetime>
  </property>
  <property fmtid="{D5CDD505-2E9C-101B-9397-08002B2CF9AE}" pid="3" name="CRO">
    <vt:lpwstr>wqlLaW5nc29mdCBQREYgdG8gV1BTIDgw</vt:lpwstr>
  </property>
</Properties>
</file>