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2" w:line="184" w:lineRule="auto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ICS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  </w:t>
      </w:r>
      <w:r>
        <w:rPr>
          <w:rFonts w:ascii="SimSun" w:eastAsia="SimSun" w:hAnsi="SimSun" w:cs="SimSun"/>
          <w:spacing w:val="-6"/>
          <w:sz w:val="23"/>
          <w:szCs w:val="23"/>
        </w:rPr>
        <w:t>11.220</w:t>
      </w:r>
    </w:p>
    <w:p>
      <w:pPr>
        <w:spacing w:before="77" w:line="190" w:lineRule="auto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Arial" w:eastAsia="Arial" w:hAnsi="Arial" w:cs="Arial"/>
          <w:spacing w:val="-9"/>
          <w:position w:val="69"/>
          <w:sz w:val="23"/>
          <w:szCs w:val="23"/>
        </w:rPr>
        <w:t>B</w:t>
      </w:r>
      <w:r>
        <w:rPr>
          <w:rFonts w:ascii="Arial" w:eastAsia="Arial" w:hAnsi="Arial" w:cs="Arial"/>
          <w:spacing w:val="7"/>
          <w:position w:val="69"/>
          <w:sz w:val="23"/>
          <w:szCs w:val="23"/>
        </w:rPr>
        <w:t xml:space="preserve"> </w:t>
      </w:r>
      <w:r>
        <w:rPr>
          <w:rFonts w:ascii="Arial" w:eastAsia="Arial" w:hAnsi="Arial" w:cs="Arial"/>
          <w:spacing w:val="-9"/>
          <w:position w:val="69"/>
          <w:sz w:val="23"/>
          <w:szCs w:val="23"/>
        </w:rPr>
        <w:t>41</w:t>
      </w:r>
      <w:r>
        <w:rPr>
          <w:rFonts w:ascii="Arial" w:eastAsia="Arial" w:hAnsi="Arial" w:cs="Arial"/>
          <w:spacing w:val="1"/>
          <w:position w:val="69"/>
          <w:sz w:val="23"/>
          <w:szCs w:val="23"/>
        </w:rPr>
        <w:t xml:space="preserve">                                              </w:t>
      </w:r>
      <w:r>
        <w:rPr>
          <w:rFonts w:ascii="Arial" w:eastAsia="Arial" w:hAnsi="Arial" w:cs="Arial"/>
          <w:position w:val="69"/>
          <w:sz w:val="23"/>
          <w:szCs w:val="23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9"/>
          <w:position w:val="-1"/>
          <w:sz w:val="127"/>
          <w:szCs w:val="127"/>
        </w:rPr>
        <w:t>DB65</w:t>
      </w:r>
    </w:p>
    <w:p>
      <w:pPr>
        <w:spacing w:before="251" w:line="221" w:lineRule="auto"/>
        <w:ind w:left="6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新</w:t>
      </w:r>
      <w:r>
        <w:rPr>
          <w:rFonts w:ascii="SimHei" w:eastAsia="SimHei" w:hAnsi="SimHei" w:cs="SimHei"/>
          <w:spacing w:val="180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疆</w:t>
      </w:r>
      <w:r>
        <w:rPr>
          <w:rFonts w:ascii="SimHei" w:eastAsia="SimHei" w:hAnsi="SimHei" w:cs="SimHei"/>
          <w:spacing w:val="113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维</w:t>
      </w:r>
      <w:r>
        <w:rPr>
          <w:rFonts w:ascii="SimHei" w:eastAsia="SimHei" w:hAnsi="SimHei" w:cs="SimHei"/>
          <w:spacing w:val="133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吾</w:t>
      </w:r>
      <w:r>
        <w:rPr>
          <w:rFonts w:ascii="SimHei" w:eastAsia="SimHei" w:hAnsi="SimHei" w:cs="SimHei"/>
          <w:spacing w:val="122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尔</w:t>
      </w:r>
      <w:r>
        <w:rPr>
          <w:rFonts w:ascii="SimHei" w:eastAsia="SimHei" w:hAnsi="SimHei" w:cs="SimHei"/>
          <w:spacing w:val="177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自</w:t>
      </w:r>
      <w:r>
        <w:rPr>
          <w:rFonts w:ascii="SimHei" w:eastAsia="SimHei" w:hAnsi="SimHei" w:cs="SimHei"/>
          <w:spacing w:val="123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治</w:t>
      </w:r>
      <w:r>
        <w:rPr>
          <w:rFonts w:ascii="SimHei" w:eastAsia="SimHei" w:hAnsi="SimHei" w:cs="SimHei"/>
          <w:spacing w:val="149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区</w:t>
      </w:r>
      <w:r>
        <w:rPr>
          <w:rFonts w:ascii="SimHei" w:eastAsia="SimHei" w:hAnsi="SimHei" w:cs="SimHei"/>
          <w:spacing w:val="143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地</w:t>
      </w:r>
      <w:r>
        <w:rPr>
          <w:rFonts w:ascii="SimHei" w:eastAsia="SimHei" w:hAnsi="SimHei" w:cs="SimHei"/>
          <w:spacing w:val="122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方</w:t>
      </w:r>
      <w:r>
        <w:rPr>
          <w:rFonts w:ascii="SimHei" w:eastAsia="SimHei" w:hAnsi="SimHei" w:cs="SimHei"/>
          <w:spacing w:val="118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标</w:t>
      </w:r>
      <w:r>
        <w:rPr>
          <w:rFonts w:ascii="SimHei" w:eastAsia="SimHei" w:hAnsi="SimHei" w:cs="SimHei"/>
          <w:spacing w:val="115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49"/>
          <w:szCs w:val="49"/>
        </w:rPr>
        <w:t>准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81" w:line="198" w:lineRule="auto"/>
        <w:ind w:right="323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pacing w:val="-8"/>
          <w:sz w:val="28"/>
          <w:szCs w:val="28"/>
        </w:rPr>
        <w:t>DB</w:t>
      </w:r>
      <w:r>
        <w:rPr>
          <w:rFonts w:ascii="Arial" w:eastAsia="Arial" w:hAnsi="Arial" w:cs="Arial"/>
          <w:spacing w:val="17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28"/>
          <w:szCs w:val="28"/>
        </w:rPr>
        <w:t>65/T</w:t>
      </w:r>
      <w:r>
        <w:rPr>
          <w:rFonts w:ascii="Arial" w:eastAsia="Arial" w:hAnsi="Arial" w:cs="Arial"/>
          <w:spacing w:val="8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28"/>
          <w:szCs w:val="28"/>
        </w:rPr>
        <w:t>3801—2015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spacing w:line="21" w:lineRule="exact"/>
        <w:textAlignment w:val="center"/>
      </w:pPr>
      <w:r>
        <w:drawing>
          <wp:inline distT="0" distB="0" distL="0" distR="0">
            <wp:extent cx="6146782" cy="1272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6782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9" w:line="1028" w:lineRule="exact"/>
        <w:ind w:left="1227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17"/>
          <w:position w:val="40"/>
          <w:sz w:val="49"/>
          <w:szCs w:val="49"/>
        </w:rPr>
        <w:t>牛环形泰勒虫病防治技术规程</w:t>
      </w:r>
    </w:p>
    <w:p>
      <w:pPr>
        <w:spacing w:before="1" w:line="188" w:lineRule="auto"/>
        <w:ind w:left="14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Control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technique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regulation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Bovine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Theileriosis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pgSz w:w="11910" w:h="16840"/>
          <w:pgMar w:top="671" w:right="904" w:bottom="0" w:left="1309" w:header="0" w:footer="0" w:gutter="0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10" w:line="571" w:lineRule="auto"/>
        <w:ind w:left="2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16"/>
          <w:w w:val="55"/>
          <w:sz w:val="34"/>
          <w:szCs w:val="34"/>
        </w:rPr>
        <w:t>2015-11-20发布</w:t>
      </w:r>
      <w:r>
        <w:rPr>
          <w:rFonts w:ascii="SimHei" w:eastAsia="SimHei" w:hAnsi="SimHei" w:cs="SimHei"/>
          <w:spacing w:val="4"/>
          <w:sz w:val="34"/>
          <w:szCs w:val="34"/>
          <w:u w:val="single" w:color="auto"/>
        </w:rPr>
        <w:t xml:space="preserve">                                </w:t>
      </w:r>
      <w:r>
        <w:rPr>
          <w:rFonts w:ascii="SimHei" w:eastAsia="SimHei" w:hAnsi="SimHei" w:cs="SimHei"/>
          <w:b/>
          <w:bCs/>
          <w:spacing w:val="36"/>
          <w:sz w:val="34"/>
          <w:szCs w:val="34"/>
          <w:u w:val="single" w:color="auto"/>
        </w:rPr>
        <w:t>2015-</w:t>
      </w:r>
      <w:r>
        <w:rPr>
          <w:rFonts w:ascii="SimHei" w:eastAsia="SimHei" w:hAnsi="SimHei" w:cs="SimHei"/>
          <w:spacing w:val="-85"/>
          <w:sz w:val="34"/>
          <w:szCs w:val="3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36"/>
          <w:sz w:val="34"/>
          <w:szCs w:val="34"/>
          <w:u w:val="single" w:color="auto"/>
        </w:rPr>
        <w:t>12-30实施</w:t>
      </w:r>
    </w:p>
    <w:p>
      <w:pPr>
        <w:spacing w:before="2" w:line="220" w:lineRule="auto"/>
        <w:ind w:left="77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16"/>
          <w:sz w:val="39"/>
          <w:szCs w:val="39"/>
        </w:rPr>
        <w:t>新疆维吾尔自治区质量技术监督局</w:t>
      </w:r>
      <w:r>
        <w:rPr>
          <w:rFonts w:ascii="SimHei" w:eastAsia="SimHei" w:hAnsi="SimHei" w:cs="SimHei"/>
          <w:spacing w:val="57"/>
          <w:sz w:val="39"/>
          <w:szCs w:val="39"/>
        </w:rPr>
        <w:t xml:space="preserve">   </w:t>
      </w:r>
      <w:r>
        <w:rPr>
          <w:rFonts w:ascii="SimHei" w:eastAsia="SimHei" w:hAnsi="SimHei" w:cs="SimHei"/>
          <w:b/>
          <w:bCs/>
          <w:spacing w:val="16"/>
          <w:sz w:val="39"/>
          <w:szCs w:val="39"/>
        </w:rPr>
        <w:t>发布</w:t>
      </w:r>
    </w:p>
    <w:p>
      <w:pPr>
        <w:sectPr>
          <w:type w:val="nextPage"/>
          <w:pgSz w:w="11910" w:h="16840"/>
          <w:pgMar w:top="671" w:right="904" w:bottom="0" w:left="1309" w:header="0" w:footer="0" w:gutter="0"/>
          <w:pgNumType w:start="2"/>
          <w:cols w:space="708"/>
          <w:titlePg w:val="0"/>
        </w:sectPr>
      </w:pPr>
    </w:p>
    <w:p>
      <w:pPr>
        <w:spacing w:before="121" w:line="198" w:lineRule="auto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6"/>
          <w:sz w:val="21"/>
          <w:szCs w:val="21"/>
        </w:rPr>
        <w:t>DB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65/T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3801—2015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14" w:line="222" w:lineRule="auto"/>
        <w:ind w:left="401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前</w:t>
      </w:r>
      <w:r>
        <w:rPr>
          <w:rFonts w:ascii="SimHei" w:eastAsia="SimHei" w:hAnsi="SimHei" w:cs="SimHei"/>
          <w:spacing w:val="29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言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68" w:line="246" w:lineRule="auto"/>
        <w:ind w:left="429" w:right="9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本标准按GB/T1.1-2009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《标准化工作导则第1部分：标准的结构和编写》的要求编</w:t>
      </w:r>
      <w:r>
        <w:rPr>
          <w:rFonts w:ascii="SimSun" w:eastAsia="SimSun" w:hAnsi="SimSun" w:cs="SimSun"/>
          <w:spacing w:val="-2"/>
          <w:sz w:val="21"/>
          <w:szCs w:val="21"/>
        </w:rPr>
        <w:t>制。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本标准由新疆农业大学提出。</w:t>
      </w:r>
    </w:p>
    <w:p>
      <w:pPr>
        <w:spacing w:before="60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本标准由新疆维吾尔自治区畜牧厅归口。</w:t>
      </w:r>
    </w:p>
    <w:p>
      <w:pPr>
        <w:spacing w:before="60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本标准起草单位：新疆农业大学、伊犁出入境检验检疫局。</w:t>
      </w:r>
    </w:p>
    <w:p>
      <w:pPr>
        <w:spacing w:before="62" w:line="246" w:lineRule="auto"/>
        <w:ind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本标准主要起草人：巴音查汗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·盖力克、郭庆勇、王振宝、张杨、王冰洁、伊春阳、李永</w:t>
      </w:r>
      <w:r>
        <w:rPr>
          <w:rFonts w:ascii="SimSun" w:eastAsia="SimSun" w:hAnsi="SimSun" w:cs="SimSun"/>
          <w:spacing w:val="-6"/>
          <w:sz w:val="21"/>
          <w:szCs w:val="21"/>
        </w:rPr>
        <w:t>畅、朱玉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涛、明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·乌尔娜、吴辉、图尔荪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·萨迪尔、瓦热斯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·</w:t>
      </w:r>
      <w:r>
        <w:rPr>
          <w:rFonts w:ascii="SimSun" w:eastAsia="SimSun" w:hAnsi="SimSun" w:cs="SimSun"/>
          <w:spacing w:val="-8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吐尔松。</w:t>
      </w:r>
    </w:p>
    <w:p>
      <w:pPr>
        <w:sectPr>
          <w:footerReference w:type="default" r:id="rId5"/>
          <w:pgSz w:w="11910" w:h="16840"/>
          <w:pgMar w:top="1431" w:right="1239" w:bottom="1211" w:left="1349" w:header="0" w:footer="1024" w:gutter="0"/>
          <w:pgNumType w:start="3"/>
          <w:cols w:space="708"/>
        </w:sectPr>
      </w:pPr>
    </w:p>
    <w:p>
      <w:pPr>
        <w:spacing w:before="108" w:line="192" w:lineRule="auto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DB</w:t>
      </w:r>
      <w:r>
        <w:rPr>
          <w:rFonts w:ascii="Times New Roman" w:eastAsia="Times New Roman" w:hAnsi="Times New Roman" w:cs="Times New Roman"/>
          <w:spacing w:val="4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65/T</w:t>
      </w:r>
      <w:r>
        <w:rPr>
          <w:rFonts w:ascii="Times New Roman" w:eastAsia="Times New Roman" w:hAnsi="Times New Roman" w:cs="Times New Roman"/>
          <w:spacing w:val="4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3801—2015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04" w:line="221" w:lineRule="auto"/>
        <w:ind w:left="263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8"/>
          <w:sz w:val="32"/>
          <w:szCs w:val="32"/>
        </w:rPr>
        <w:t>牛环形泰勒虫病防治技术规程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68" w:line="223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范围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68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本标准规定了牛环形泰勒虫病的术语和定义、诊断、治疗和预防的</w:t>
      </w:r>
      <w:r>
        <w:rPr>
          <w:rFonts w:ascii="SimSun" w:eastAsia="SimSun" w:hAnsi="SimSun" w:cs="SimSun"/>
          <w:spacing w:val="-2"/>
          <w:sz w:val="21"/>
          <w:szCs w:val="21"/>
        </w:rPr>
        <w:t>技术要求。</w:t>
      </w:r>
    </w:p>
    <w:p>
      <w:pPr>
        <w:spacing w:before="50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本标准适用于养牛场(户)、动物诊疗机构和动物防疫防控机构对牛环形泰勒</w:t>
      </w:r>
      <w:r>
        <w:rPr>
          <w:rFonts w:ascii="SimSun" w:eastAsia="SimSun" w:hAnsi="SimSun" w:cs="SimSun"/>
          <w:spacing w:val="3"/>
          <w:sz w:val="21"/>
          <w:szCs w:val="21"/>
        </w:rPr>
        <w:t>虫病的防控。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68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2</w:t>
      </w:r>
      <w:r>
        <w:rPr>
          <w:rFonts w:ascii="SimHei" w:eastAsia="SimHei" w:hAnsi="SimHei" w:cs="SimHei"/>
          <w:spacing w:val="2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术语和定义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69" w:line="494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position w:val="22"/>
          <w:sz w:val="21"/>
          <w:szCs w:val="21"/>
        </w:rPr>
        <w:t>下列术语和定义适用于本文件。</w:t>
      </w:r>
    </w:p>
    <w:p>
      <w:pPr>
        <w:spacing w:before="1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1"/>
          <w:sz w:val="21"/>
          <w:szCs w:val="21"/>
        </w:rPr>
        <w:t>2.1</w:t>
      </w:r>
    </w:p>
    <w:p>
      <w:pPr>
        <w:spacing w:before="225" w:line="222" w:lineRule="auto"/>
        <w:ind w:left="42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牛环形泰勒虫病</w:t>
      </w:r>
      <w:r>
        <w:rPr>
          <w:rFonts w:ascii="SimHei" w:eastAsia="SimHei" w:hAnsi="SimHei" w:cs="SimHei"/>
          <w:spacing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Bovine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Theileriosis</w:t>
      </w:r>
    </w:p>
    <w:p>
      <w:pPr>
        <w:spacing w:before="218" w:line="255" w:lineRule="auto"/>
        <w:ind w:right="1" w:firstLine="41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9"/>
          <w:sz w:val="21"/>
          <w:szCs w:val="21"/>
        </w:rPr>
        <w:t>牛环形泰勒虫病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9"/>
          <w:sz w:val="21"/>
          <w:szCs w:val="21"/>
        </w:rPr>
        <w:t>(</w:t>
      </w:r>
      <w:r>
        <w:rPr>
          <w:rFonts w:ascii="SimSun" w:eastAsia="SimSun" w:hAnsi="SimSun" w:cs="SimSun"/>
          <w:spacing w:val="-8"/>
          <w:sz w:val="21"/>
          <w:szCs w:val="21"/>
        </w:rPr>
        <w:t>Bovine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theileriosis</w:t>
      </w:r>
      <w:r>
        <w:rPr>
          <w:rFonts w:ascii="SimSun" w:eastAsia="SimSun" w:hAnsi="SimSun" w:cs="SimSun"/>
          <w:spacing w:val="-9"/>
          <w:sz w:val="21"/>
          <w:szCs w:val="21"/>
        </w:rPr>
        <w:t>),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是由泰勒虫属的环形泰勒虫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(</w:t>
      </w:r>
      <w:r>
        <w:rPr>
          <w:rFonts w:ascii="SimSun" w:eastAsia="SimSun" w:hAnsi="SimSun" w:cs="SimSun"/>
          <w:spacing w:val="-8"/>
          <w:sz w:val="21"/>
          <w:szCs w:val="21"/>
        </w:rPr>
        <w:t>Theileria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annul</w:t>
      </w:r>
      <w:r>
        <w:rPr>
          <w:rFonts w:ascii="SimSun" w:eastAsia="SimSun" w:hAnsi="SimSun" w:cs="SimSun"/>
          <w:spacing w:val="-9"/>
          <w:sz w:val="21"/>
          <w:szCs w:val="21"/>
        </w:rPr>
        <w:t>ata)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寄生于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动物红细胞和网状内皮系统、器官而引起的一种蜱传血液原虫病。世界动物卫生组织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(OIE)</w:t>
      </w:r>
      <w:r>
        <w:rPr>
          <w:rFonts w:ascii="SimSun" w:eastAsia="SimSun" w:hAnsi="SimSun" w:cs="SimSun"/>
          <w:spacing w:val="6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将其定为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类疫病。本病的主要临床症状为稽留热、贫血和血</w:t>
      </w:r>
      <w:r>
        <w:rPr>
          <w:rFonts w:ascii="SimSun" w:eastAsia="SimSun" w:hAnsi="SimSun" w:cs="SimSun"/>
          <w:spacing w:val="-2"/>
          <w:sz w:val="21"/>
          <w:szCs w:val="21"/>
        </w:rPr>
        <w:t>虫症，其死亡率高。</w:t>
      </w:r>
    </w:p>
    <w:p>
      <w:pPr>
        <w:spacing w:before="256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2.2</w:t>
      </w:r>
    </w:p>
    <w:p>
      <w:pPr>
        <w:spacing w:before="235" w:line="222" w:lineRule="auto"/>
        <w:ind w:left="42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环形泰勒虫</w:t>
      </w:r>
      <w:r>
        <w:rPr>
          <w:rFonts w:ascii="SimHei" w:eastAsia="SimHei" w:hAnsi="SimHei" w:cs="SimHei"/>
          <w:spacing w:val="6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Theileria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annulata</w:t>
      </w:r>
    </w:p>
    <w:p>
      <w:pPr>
        <w:spacing w:before="214" w:line="256" w:lineRule="auto"/>
        <w:ind w:right="59" w:firstLine="41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环形泰勒虫</w:t>
      </w:r>
      <w:r>
        <w:rPr>
          <w:rFonts w:ascii="SimSun" w:eastAsia="SimSun" w:hAnsi="SimSun" w:cs="SimSu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(Theileria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annulata),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隶属于原生动物门</w:t>
      </w:r>
      <w:r>
        <w:rPr>
          <w:rFonts w:ascii="SimSun" w:eastAsia="SimSun" w:hAnsi="SimSun" w:cs="SimSun"/>
          <w:spacing w:val="-4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(Protozoa)、</w:t>
      </w:r>
      <w:r>
        <w:rPr>
          <w:rFonts w:ascii="SimSun" w:eastAsia="SimSun" w:hAnsi="SimSun" w:cs="SimSun"/>
          <w:spacing w:val="8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复顶亚门</w:t>
      </w:r>
      <w:r>
        <w:rPr>
          <w:rFonts w:ascii="SimSun" w:eastAsia="SimSun" w:hAnsi="SimSun" w:cs="SimSun"/>
          <w:spacing w:val="-4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(Apicocomplexa)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梨形虫纲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(Piroplasmea)、</w:t>
      </w:r>
      <w:r>
        <w:rPr>
          <w:rFonts w:ascii="SimSun" w:eastAsia="SimSun" w:hAnsi="SimSun" w:cs="SimSun"/>
          <w:spacing w:val="4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梨形虫目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(Piroplasmida)、</w:t>
      </w:r>
      <w:r>
        <w:rPr>
          <w:rFonts w:ascii="SimSun" w:eastAsia="SimSun" w:hAnsi="SimSun" w:cs="SimSun"/>
          <w:spacing w:val="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泰</w:t>
      </w:r>
      <w:r>
        <w:rPr>
          <w:rFonts w:ascii="SimSun" w:eastAsia="SimSun" w:hAnsi="SimSun" w:cs="SimSun"/>
          <w:spacing w:val="-11"/>
          <w:sz w:val="21"/>
          <w:szCs w:val="21"/>
        </w:rPr>
        <w:t>勒科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(</w:t>
      </w:r>
      <w:r>
        <w:rPr>
          <w:rFonts w:ascii="SimSun" w:eastAsia="SimSun" w:hAnsi="SimSun" w:cs="SimSun"/>
          <w:spacing w:val="-10"/>
          <w:sz w:val="21"/>
          <w:szCs w:val="21"/>
        </w:rPr>
        <w:t>Theileriidae</w:t>
      </w:r>
      <w:r>
        <w:rPr>
          <w:rFonts w:ascii="SimSun" w:eastAsia="SimSun" w:hAnsi="SimSun" w:cs="SimSun"/>
          <w:spacing w:val="-11"/>
          <w:sz w:val="21"/>
          <w:szCs w:val="21"/>
        </w:rPr>
        <w:t>)、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泰勒属</w:t>
      </w:r>
      <w:r>
        <w:rPr>
          <w:rFonts w:ascii="SimSun" w:eastAsia="SimSun" w:hAnsi="SimSun" w:cs="SimSun"/>
          <w:spacing w:val="-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(</w:t>
      </w:r>
      <w:r>
        <w:rPr>
          <w:rFonts w:ascii="SimSun" w:eastAsia="SimSun" w:hAnsi="SimSun" w:cs="SimSun"/>
          <w:spacing w:val="-10"/>
          <w:sz w:val="21"/>
          <w:szCs w:val="21"/>
        </w:rPr>
        <w:t>Theileria</w:t>
      </w:r>
      <w:r>
        <w:rPr>
          <w:rFonts w:ascii="SimSun" w:eastAsia="SimSun" w:hAnsi="SimSun" w:cs="SimSun"/>
          <w:spacing w:val="-11"/>
          <w:sz w:val="21"/>
          <w:szCs w:val="21"/>
        </w:rPr>
        <w:t>)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环形泰勒虫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(Theileria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annulata)。</w:t>
      </w:r>
    </w:p>
    <w:p>
      <w:pPr>
        <w:spacing w:before="256" w:line="184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2.2.1</w:t>
      </w:r>
    </w:p>
    <w:p>
      <w:pPr>
        <w:spacing w:before="249" w:line="218" w:lineRule="auto"/>
        <w:ind w:left="42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配子体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gametophy</w:t>
      </w:r>
    </w:p>
    <w:p>
      <w:pPr>
        <w:spacing w:before="220" w:line="254" w:lineRule="auto"/>
        <w:ind w:right="24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配子体寄生于红细胞，其形态为环形、戒指状(70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%～80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%)、椭圆形、逗点状、杆状、十字形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等；大小为0.8μm～1.7μm</w:t>
      </w:r>
      <w:r>
        <w:rPr>
          <w:rFonts w:ascii="SimSun" w:eastAsia="SimSun" w:hAnsi="SimSun" w:cs="SimSun"/>
          <w:spacing w:val="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(详见附录</w:t>
      </w:r>
      <w:r>
        <w:rPr>
          <w:rFonts w:ascii="SimSun" w:eastAsia="SimSun" w:hAnsi="SimSun" w:cs="SimSun"/>
          <w:spacing w:val="-5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E.1、E.2)。</w:t>
      </w:r>
    </w:p>
    <w:p>
      <w:pPr>
        <w:spacing w:before="227" w:line="183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2.2.2</w:t>
      </w:r>
    </w:p>
    <w:p>
      <w:pPr>
        <w:spacing w:before="213" w:line="222" w:lineRule="auto"/>
        <w:ind w:left="42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裂殖体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schizont</w:t>
      </w:r>
    </w:p>
    <w:p>
      <w:pPr>
        <w:spacing w:before="238" w:line="247" w:lineRule="auto"/>
        <w:ind w:right="21" w:firstLine="419"/>
        <w:rPr>
          <w:rFonts w:ascii="SimSun" w:eastAsia="SimSun" w:hAnsi="SimSun" w:cs="SimSun"/>
          <w:sz w:val="21"/>
          <w:szCs w:val="21"/>
        </w:rPr>
        <w:sectPr>
          <w:footerReference w:type="default" r:id="rId6"/>
          <w:pgSz w:w="11910" w:h="16840"/>
          <w:pgMar w:top="1431" w:right="1216" w:bottom="1168" w:left="1339" w:header="0" w:footer="1029" w:gutter="0"/>
          <w:pgNumType w:start="4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裂殖体又称石榴体或柯赫氏蓝体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(koch's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blue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bodies),</w:t>
      </w:r>
      <w:r>
        <w:rPr>
          <w:rFonts w:ascii="SimSun" w:eastAsia="SimSun" w:hAnsi="SimSun" w:cs="SimSun"/>
          <w:spacing w:val="-3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寄生于巨噬细胞、淋巴细胞等网状</w:t>
      </w:r>
      <w:r>
        <w:rPr>
          <w:rFonts w:ascii="SimSun" w:eastAsia="SimSun" w:hAnsi="SimSun" w:cs="SimSun"/>
          <w:spacing w:val="-4"/>
          <w:sz w:val="21"/>
          <w:szCs w:val="21"/>
        </w:rPr>
        <w:t>内皮细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胞细胞的胞浆内或散在于细胞外，呈圆形、肾</w:t>
      </w:r>
      <w:r>
        <w:rPr>
          <w:rFonts w:ascii="SimSun" w:eastAsia="SimSun" w:hAnsi="SimSun" w:cs="SimSun"/>
          <w:sz w:val="21"/>
          <w:szCs w:val="21"/>
        </w:rPr>
        <w:t>形或者椭圆形(详见附录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E.3)。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3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诊断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68" w:line="246" w:lineRule="auto"/>
        <w:ind w:right="25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牛环形泰勒虫病的诊断主要根据流行病学因素、临床诊断、病理变化、病原学诊断、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PCR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检测等方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法进行诊断。</w:t>
      </w:r>
    </w:p>
    <w:p>
      <w:pPr>
        <w:sectPr>
          <w:footerReference w:type="default" r:id="rId7"/>
          <w:type w:val="nextPage"/>
          <w:pgSz w:w="11910" w:h="16840"/>
          <w:pgMar w:top="1431" w:right="1216" w:bottom="1168" w:left="1339" w:header="0" w:footer="1029" w:gutter="0"/>
          <w:pgNumType w:start="5"/>
          <w:cols w:space="708"/>
          <w:titlePg w:val="0"/>
        </w:sectPr>
      </w:pPr>
    </w:p>
    <w:p>
      <w:pPr>
        <w:spacing w:before="101" w:line="198" w:lineRule="auto"/>
        <w:ind w:right="63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6"/>
          <w:sz w:val="21"/>
          <w:szCs w:val="21"/>
        </w:rPr>
        <w:t>DB</w:t>
      </w:r>
      <w:r>
        <w:rPr>
          <w:rFonts w:ascii="Arial" w:eastAsia="Arial" w:hAnsi="Arial" w:cs="Arial"/>
          <w:spacing w:val="1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65/T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3801—2015</w:t>
      </w:r>
    </w:p>
    <w:p>
      <w:pPr>
        <w:spacing w:before="291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3.1</w:t>
      </w:r>
      <w:r>
        <w:rPr>
          <w:rFonts w:ascii="SimHei" w:eastAsia="SimHei" w:hAnsi="SimHei" w:cs="SimHei"/>
          <w:spacing w:val="8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流行病学因素分析</w:t>
      </w:r>
    </w:p>
    <w:p>
      <w:pPr>
        <w:spacing w:before="203" w:line="224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3.1.1</w:t>
      </w:r>
      <w:r>
        <w:rPr>
          <w:rFonts w:ascii="SimHei" w:eastAsia="SimHei" w:hAnsi="SimHei" w:cs="SimHei"/>
          <w:spacing w:val="7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生活史</w:t>
      </w:r>
    </w:p>
    <w:p>
      <w:pPr>
        <w:spacing w:before="233" w:line="255" w:lineRule="auto"/>
        <w:ind w:right="70" w:firstLine="42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该病经硬蜱(Ixodes)传播而感染，媒介蜱叮咬牛类动物吮吸血液时，子孢子随唾液进入易感牛体内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而感染(详见附录F)。</w:t>
      </w:r>
      <w:r>
        <w:rPr>
          <w:rFonts w:ascii="SimSun" w:eastAsia="SimSun" w:hAnsi="SimSun" w:cs="SimSun"/>
          <w:spacing w:val="7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传播牛梨形虫的硬蜱有3属8种，其中新疆已被证实的媒介蜱为</w:t>
      </w:r>
      <w:r>
        <w:rPr>
          <w:rFonts w:ascii="SimSun" w:eastAsia="SimSun" w:hAnsi="SimSun" w:cs="SimSun"/>
          <w:spacing w:val="4"/>
          <w:sz w:val="21"/>
          <w:szCs w:val="21"/>
        </w:rPr>
        <w:t>小亚璃眼蜱、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亚洲璃眼蜱、残缘璃眼蜱(详见附录G)。</w:t>
      </w:r>
    </w:p>
    <w:p>
      <w:pPr>
        <w:spacing w:before="217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6"/>
          <w:sz w:val="21"/>
          <w:szCs w:val="21"/>
        </w:rPr>
        <w:t>3.1.2</w:t>
      </w:r>
      <w:r>
        <w:rPr>
          <w:rFonts w:ascii="SimHei" w:eastAsia="SimHei" w:hAnsi="SimHei" w:cs="SimHei"/>
          <w:spacing w:val="9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1"/>
          <w:szCs w:val="21"/>
        </w:rPr>
        <w:t>传染源</w:t>
      </w:r>
    </w:p>
    <w:p>
      <w:pPr>
        <w:spacing w:before="222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包括潜伏期感染、隐性感染牛、带虫牛和媒介蜱虫为传染源。</w:t>
      </w:r>
    </w:p>
    <w:p>
      <w:pPr>
        <w:spacing w:before="197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5"/>
          <w:sz w:val="21"/>
          <w:szCs w:val="21"/>
        </w:rPr>
        <w:t>3.1.3</w:t>
      </w:r>
      <w:r>
        <w:rPr>
          <w:rFonts w:ascii="SimHei" w:eastAsia="SimHei" w:hAnsi="SimHei" w:cs="SimHei"/>
          <w:spacing w:val="1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21"/>
          <w:szCs w:val="21"/>
        </w:rPr>
        <w:t>易感动物</w:t>
      </w:r>
    </w:p>
    <w:p>
      <w:pPr>
        <w:spacing w:before="240" w:line="246" w:lineRule="auto"/>
        <w:ind w:right="9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易感动物包括奶牛、黄牛、牦牛等各种品种的</w:t>
      </w:r>
      <w:r>
        <w:rPr>
          <w:rFonts w:ascii="SimSun" w:eastAsia="SimSun" w:hAnsi="SimSun" w:cs="SimSun"/>
          <w:spacing w:val="-4"/>
          <w:sz w:val="21"/>
          <w:szCs w:val="21"/>
        </w:rPr>
        <w:t>牛类动物。按牛环形泰勒虫病的流行规律仔细分析其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流行环节的同时，分析其媒介蜱等生物、环境因素。</w:t>
      </w:r>
    </w:p>
    <w:p>
      <w:pPr>
        <w:spacing w:before="198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3.1.4</w:t>
      </w:r>
      <w:r>
        <w:rPr>
          <w:rFonts w:ascii="SimHei" w:eastAsia="SimHei" w:hAnsi="SimHei" w:cs="SimHei"/>
          <w:spacing w:val="10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流行性</w:t>
      </w:r>
    </w:p>
    <w:p>
      <w:pPr>
        <w:tabs>
          <w:tab w:val="left" w:pos="120"/>
        </w:tabs>
        <w:spacing w:before="232" w:line="258" w:lineRule="auto"/>
        <w:ind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牛环形泰勒虫病的感染程度因不同地区的气温</w:t>
      </w:r>
      <w:r>
        <w:rPr>
          <w:rFonts w:ascii="SimSun" w:eastAsia="SimSun" w:hAnsi="SimSun" w:cs="SimSun"/>
          <w:spacing w:val="-4"/>
          <w:sz w:val="21"/>
          <w:szCs w:val="21"/>
        </w:rPr>
        <w:t>、湿度、植被和媒介蜱种类及其活动季节等因素而存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在差异，每年5月中旬开始出现，但因当年气温的升高或降低也会出现上下浮动，</w:t>
      </w:r>
      <w:r>
        <w:rPr>
          <w:rFonts w:ascii="SimSun" w:eastAsia="SimSun" w:hAnsi="SimSun" w:cs="SimSun"/>
          <w:spacing w:val="24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(6～7)月达高峰，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4"/>
          <w:sz w:val="21"/>
          <w:szCs w:val="21"/>
        </w:rPr>
        <w:t>(8～9)月逐渐平息；耐过牛的免疫力可持续(2.5~6)年，长期</w:t>
      </w:r>
      <w:r>
        <w:rPr>
          <w:rFonts w:ascii="SimSun" w:eastAsia="SimSun" w:hAnsi="SimSun" w:cs="SimSun"/>
          <w:spacing w:val="3"/>
          <w:sz w:val="21"/>
          <w:szCs w:val="21"/>
        </w:rPr>
        <w:t>“带虫”;据报道该病在我区的感染率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可达60%,其急性病例死亡率较高。</w:t>
      </w:r>
    </w:p>
    <w:p>
      <w:pPr>
        <w:spacing w:before="232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3.2</w:t>
      </w:r>
      <w:r>
        <w:rPr>
          <w:rFonts w:ascii="SimHei" w:eastAsia="SimHei" w:hAnsi="SimHei" w:cs="SimHei"/>
          <w:spacing w:val="108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根据临床症状诊断</w:t>
      </w:r>
    </w:p>
    <w:p>
      <w:pPr>
        <w:spacing w:before="229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3.2.1</w:t>
      </w:r>
      <w:r>
        <w:rPr>
          <w:rFonts w:ascii="SimHei" w:eastAsia="SimHei" w:hAnsi="SimHei" w:cs="SimHei"/>
          <w:spacing w:val="9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发病初期主要症状</w:t>
      </w:r>
    </w:p>
    <w:p>
      <w:pPr>
        <w:spacing w:before="209" w:line="254" w:lineRule="auto"/>
        <w:ind w:firstLine="42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体温升高至39℃~41.8℃,达42℃,呈稽留热</w:t>
      </w:r>
      <w:r>
        <w:rPr>
          <w:rFonts w:ascii="SimSun" w:eastAsia="SimSun" w:hAnsi="SimSun" w:cs="SimSun"/>
          <w:spacing w:val="5"/>
          <w:sz w:val="21"/>
          <w:szCs w:val="21"/>
        </w:rPr>
        <w:t>，少数病牛呈弛张热或间歇热。淋巴结肿大有痛感，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眼结膜潮红；食欲减退，精神不振和呼吸、心律数增加；在红细胞内发现少量的虫体；淋巴结穿刺可见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1"/>
          <w:sz w:val="21"/>
          <w:szCs w:val="21"/>
        </w:rPr>
        <w:t>柯赫氏蓝体(石榴体),此期可延续2d～5d。</w:t>
      </w:r>
    </w:p>
    <w:p>
      <w:pPr>
        <w:spacing w:before="233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3.2.2</w:t>
      </w:r>
      <w:r>
        <w:rPr>
          <w:rFonts w:ascii="SimHei" w:eastAsia="SimHei" w:hAnsi="SimHei" w:cs="SimHei"/>
          <w:spacing w:val="1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发病中期主要症状</w:t>
      </w:r>
    </w:p>
    <w:p>
      <w:pPr>
        <w:spacing w:before="223" w:line="249" w:lineRule="auto"/>
        <w:ind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精神沉郁，食欲大减或废绝，可视粘膜充血，便秘、腹泻交替，粪便</w:t>
      </w:r>
      <w:r>
        <w:rPr>
          <w:rFonts w:ascii="SimSun" w:eastAsia="SimSun" w:hAnsi="SimSun" w:cs="SimSun"/>
          <w:spacing w:val="-2"/>
          <w:sz w:val="21"/>
          <w:szCs w:val="21"/>
        </w:rPr>
        <w:t>常带粘液或血，尿液呈黄色，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无血尿，迅速消瘦；体表淋巴结肿胀，血液稀释，血沉加快，红细胞染虫率逐步增</w:t>
      </w:r>
      <w:r>
        <w:rPr>
          <w:rFonts w:ascii="SimSun" w:eastAsia="SimSun" w:hAnsi="SimSun" w:cs="SimSun"/>
          <w:spacing w:val="-2"/>
          <w:sz w:val="21"/>
          <w:szCs w:val="21"/>
        </w:rPr>
        <w:t>高。</w:t>
      </w:r>
    </w:p>
    <w:p>
      <w:pPr>
        <w:spacing w:before="219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3.2.3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发病后期主要症状</w:t>
      </w:r>
    </w:p>
    <w:p>
      <w:pPr>
        <w:spacing w:before="212" w:line="261" w:lineRule="auto"/>
        <w:ind w:right="88" w:firstLine="42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病畜食欲废绝，反刍完全停止，卧地不起，在眼睑、尾根和稚嫩</w:t>
      </w:r>
      <w:r>
        <w:rPr>
          <w:rFonts w:ascii="SimSun" w:eastAsia="SimSun" w:hAnsi="SimSun" w:cs="SimSun"/>
          <w:spacing w:val="-4"/>
          <w:sz w:val="21"/>
          <w:szCs w:val="21"/>
        </w:rPr>
        <w:t>的皮肤上出现粟粒以至扁豆大小的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深红色结节状的溢血斑点，趋于死亡征兆，死</w:t>
      </w:r>
      <w:r>
        <w:rPr>
          <w:rFonts w:ascii="SimSun" w:eastAsia="SimSun" w:hAnsi="SimSun" w:cs="SimSun"/>
          <w:spacing w:val="1"/>
          <w:sz w:val="21"/>
          <w:szCs w:val="21"/>
        </w:rPr>
        <w:t>亡常发生在发病后的(1～2)周；耐过的牛，若能得到良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好的护理，病情逐渐好转，自愈后成为带虫牛。</w:t>
      </w:r>
    </w:p>
    <w:p>
      <w:pPr>
        <w:spacing w:before="216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3.3</w:t>
      </w:r>
      <w:r>
        <w:rPr>
          <w:rFonts w:ascii="SimHei" w:eastAsia="SimHei" w:hAnsi="SimHei" w:cs="SimHei"/>
          <w:spacing w:val="10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病理诊断</w:t>
      </w:r>
    </w:p>
    <w:p>
      <w:pPr>
        <w:spacing w:before="212" w:line="261" w:lineRule="auto"/>
        <w:ind w:right="66" w:firstLine="42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全身性出血、全身淋巴结肿大及皱胃黏膜有溃疡斑；脾脏、肝脏、肾脏肿大，肺有水肿和气肿，被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膜有出血点；严重病例粘膜病变面积可占1/2以上；尸僵明显，尸体消瘦，全身皮下、肌间、粘膜上均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可见大量的出血点和出血斑；红细胞溶血、血项有不同</w:t>
      </w:r>
      <w:r>
        <w:rPr>
          <w:rFonts w:ascii="SimSun" w:eastAsia="SimSun" w:hAnsi="SimSun" w:cs="SimSun"/>
          <w:spacing w:val="-3"/>
          <w:sz w:val="21"/>
          <w:szCs w:val="21"/>
        </w:rPr>
        <w:t>程度变化。</w:t>
      </w:r>
    </w:p>
    <w:p>
      <w:pPr>
        <w:spacing w:before="206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3.4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病原学诊断</w:t>
      </w:r>
    </w:p>
    <w:p>
      <w:pPr>
        <w:spacing w:before="223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病原学诊断包括血液型虫体的鉴定和组织型虫体(网状内皮系统内虫体)的鉴定。</w:t>
      </w:r>
    </w:p>
    <w:p>
      <w:pPr>
        <w:sectPr>
          <w:footerReference w:type="default" r:id="rId8"/>
          <w:pgSz w:w="11910" w:h="16840"/>
          <w:pgMar w:top="1431" w:right="1184" w:bottom="1185" w:left="1329" w:header="0" w:footer="1036" w:gutter="0"/>
          <w:pgNumType w:start="6"/>
          <w:cols w:space="708"/>
        </w:sectPr>
      </w:pPr>
    </w:p>
    <w:p>
      <w:pPr>
        <w:spacing w:before="91" w:line="198" w:lineRule="auto"/>
        <w:ind w:right="53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6"/>
          <w:sz w:val="21"/>
          <w:szCs w:val="21"/>
        </w:rPr>
        <w:t>DB</w:t>
      </w:r>
      <w:r>
        <w:rPr>
          <w:rFonts w:ascii="Arial" w:eastAsia="Arial" w:hAnsi="Arial" w:cs="Arial"/>
          <w:spacing w:val="1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65/T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3801—2015</w:t>
      </w:r>
    </w:p>
    <w:p>
      <w:pPr>
        <w:spacing w:before="294" w:line="223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0"/>
          <w:sz w:val="21"/>
          <w:szCs w:val="21"/>
        </w:rPr>
        <w:t>3.4.1</w:t>
      </w:r>
      <w:r>
        <w:rPr>
          <w:rFonts w:ascii="SimHei" w:eastAsia="SimHei" w:hAnsi="SimHei" w:cs="SimHei"/>
          <w:spacing w:val="8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1"/>
          <w:szCs w:val="21"/>
        </w:rPr>
        <w:t>血液型虫体的鉴定</w:t>
      </w:r>
    </w:p>
    <w:p>
      <w:pPr>
        <w:spacing w:before="217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经血液涂片染色，在显微镜下检查发现血液型虫体是确诊的主要依据(镜检方法见附</w:t>
      </w:r>
      <w:r>
        <w:rPr>
          <w:rFonts w:ascii="SimSun" w:eastAsia="SimSun" w:hAnsi="SimSun" w:cs="SimSun"/>
          <w:spacing w:val="-2"/>
          <w:sz w:val="21"/>
          <w:szCs w:val="21"/>
        </w:rPr>
        <w:t>录</w:t>
      </w:r>
      <w:r>
        <w:rPr>
          <w:rFonts w:ascii="SimSun" w:eastAsia="SimSun" w:hAnsi="SimSun" w:cs="SimSun"/>
          <w:spacing w:val="-5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A)。</w:t>
      </w:r>
      <w:r>
        <w:rPr>
          <w:rFonts w:ascii="SimSun" w:eastAsia="SimSun" w:hAnsi="SimSun" w:cs="SimSun"/>
          <w:spacing w:val="6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镜下</w:t>
      </w:r>
    </w:p>
    <w:p>
      <w:pPr>
        <w:spacing w:before="60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观察到与附录E.1、E.2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相同虫体即可确诊。</w:t>
      </w:r>
    </w:p>
    <w:p>
      <w:pPr>
        <w:spacing w:before="219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3.4.2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组织型虫体的鉴定</w:t>
      </w:r>
    </w:p>
    <w:p>
      <w:pPr>
        <w:spacing w:before="228" w:line="249" w:lineRule="auto"/>
        <w:ind w:right="92" w:firstLine="42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该病的初期，虫体一般侵袭患病宿主的网状内皮系统(淋巴结、</w:t>
      </w:r>
      <w:r>
        <w:rPr>
          <w:rFonts w:ascii="SimSun" w:eastAsia="SimSun" w:hAnsi="SimSun" w:cs="SimSun"/>
          <w:spacing w:val="3"/>
          <w:sz w:val="21"/>
          <w:szCs w:val="21"/>
        </w:rPr>
        <w:t>脾脏等),检查发现脏器型虫体也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是确诊依据。制作涂抹片(制作方法见附录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A)</w:t>
      </w:r>
      <w:r>
        <w:rPr>
          <w:rFonts w:ascii="SimSun" w:eastAsia="SimSun" w:hAnsi="SimSun" w:cs="SimSun"/>
          <w:spacing w:val="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后在显微镜下观察到与附录</w:t>
      </w:r>
      <w:r>
        <w:rPr>
          <w:rFonts w:ascii="SimSun" w:eastAsia="SimSun" w:hAnsi="SimSun" w:cs="SimSun"/>
          <w:spacing w:val="-5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E.3相同的“石榴体”可判定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为感染牛环形泰勒虫病。</w:t>
      </w:r>
    </w:p>
    <w:p>
      <w:pPr>
        <w:spacing w:before="227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3.5</w:t>
      </w:r>
      <w:r>
        <w:rPr>
          <w:rFonts w:ascii="SimHei" w:eastAsia="SimHei" w:hAnsi="SimHei" w:cs="SimHei"/>
          <w:spacing w:val="66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媒介蜱的检查鉴定</w:t>
      </w:r>
    </w:p>
    <w:p>
      <w:pPr>
        <w:spacing w:before="219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3.5.1</w:t>
      </w:r>
      <w:r>
        <w:rPr>
          <w:rFonts w:ascii="SimHei" w:eastAsia="SimHei" w:hAnsi="SimHei" w:cs="SimHei"/>
          <w:spacing w:val="7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牛体表媒介蜱检查鉴定</w:t>
      </w:r>
    </w:p>
    <w:p>
      <w:pPr>
        <w:spacing w:before="221" w:line="262" w:lineRule="auto"/>
        <w:ind w:right="20" w:firstLine="42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重点检查疑似牛的耳、颈部、腋下、腹部、股内侧、尾根等部位是否硬蜱叮咬。采集时假头易拨断，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需轻轻摇动，然后顺势拔下，除采集吸血饱满的雌蜱外，也要采</w:t>
      </w:r>
      <w:r>
        <w:rPr>
          <w:rFonts w:ascii="SimSun" w:eastAsia="SimSun" w:hAnsi="SimSun" w:cs="SimSun"/>
          <w:spacing w:val="-4"/>
          <w:sz w:val="21"/>
          <w:szCs w:val="21"/>
        </w:rPr>
        <w:t>集雄蜱、若蜱和幼蜱。将每头牛体表采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集的蜱虫放入相应编号的采集管内，以平均只数/牛个数计</w:t>
      </w:r>
      <w:r>
        <w:rPr>
          <w:rFonts w:ascii="SimSun" w:eastAsia="SimSun" w:hAnsi="SimSun" w:cs="SimSun"/>
          <w:spacing w:val="-1"/>
          <w:sz w:val="21"/>
          <w:szCs w:val="21"/>
        </w:rPr>
        <w:t>算密度(详见附录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B)。</w:t>
      </w:r>
      <w:r>
        <w:rPr>
          <w:rFonts w:ascii="SimSun" w:eastAsia="SimSun" w:hAnsi="SimSun" w:cs="SimSun"/>
          <w:spacing w:val="8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送回实验室，进行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鉴定媒介蜱种类及检测其携带的病原。如发现牛体表有与附录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G</w:t>
      </w:r>
      <w:r>
        <w:rPr>
          <w:rFonts w:ascii="SimSun" w:eastAsia="SimSun" w:hAnsi="SimSun" w:cs="SimSun"/>
          <w:spacing w:val="3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相同的媒介</w:t>
      </w:r>
      <w:r>
        <w:rPr>
          <w:rFonts w:ascii="SimSun" w:eastAsia="SimSun" w:hAnsi="SimSun" w:cs="SimSun"/>
          <w:spacing w:val="-2"/>
          <w:sz w:val="21"/>
          <w:szCs w:val="21"/>
        </w:rPr>
        <w:t>蜱虫即可判断为该牛疑似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患有环形泰勒虫病。</w:t>
      </w:r>
    </w:p>
    <w:p>
      <w:pPr>
        <w:spacing w:before="228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3.5.2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牛圈等环境中媒介蜱检查鉴定</w:t>
      </w:r>
    </w:p>
    <w:p>
      <w:pPr>
        <w:spacing w:before="221" w:line="255" w:lineRule="auto"/>
        <w:ind w:right="72" w:firstLine="42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采集牛圈等环境的硬蜱时，重点检查天花板、墙缝内、土和砖块下，使用镊子采集。草场、运动场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等野外采集蜱虫时常用布旗法、兽皮法采集(详见附录B);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在牛</w:t>
      </w:r>
      <w:r>
        <w:rPr>
          <w:rFonts w:ascii="SimSun" w:eastAsia="SimSun" w:hAnsi="SimSun" w:cs="SimSun"/>
          <w:spacing w:val="1"/>
          <w:sz w:val="21"/>
          <w:szCs w:val="21"/>
        </w:rPr>
        <w:t>体表、周围环境及植被中发现媒介蜱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虫(详见附录G)</w:t>
      </w:r>
      <w:r>
        <w:rPr>
          <w:rFonts w:ascii="SimSun" w:eastAsia="SimSun" w:hAnsi="SimSun" w:cs="SimSun"/>
          <w:spacing w:val="5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是确诊的主要依据。</w:t>
      </w:r>
    </w:p>
    <w:p>
      <w:pPr>
        <w:spacing w:before="227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3.6</w:t>
      </w:r>
      <w:r>
        <w:rPr>
          <w:rFonts w:ascii="SimHei" w:eastAsia="SimHei" w:hAnsi="SimHei" w:cs="SimHei"/>
          <w:spacing w:val="10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牛环形泰勒虫病</w:t>
      </w:r>
      <w:r>
        <w:rPr>
          <w:rFonts w:ascii="SimHei" w:eastAsia="SimHei" w:hAnsi="SimHei" w:cs="SimHei"/>
          <w:spacing w:val="-6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PCR</w:t>
      </w:r>
      <w:r>
        <w:rPr>
          <w:rFonts w:ascii="SimHei" w:eastAsia="SimHei" w:hAnsi="SimHei" w:cs="SimHei"/>
          <w:spacing w:val="5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诊断</w:t>
      </w:r>
    </w:p>
    <w:p>
      <w:pPr>
        <w:spacing w:before="222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根据</w:t>
      </w:r>
      <w:r>
        <w:rPr>
          <w:rFonts w:ascii="SimSun" w:eastAsia="SimSun" w:hAnsi="SimSun" w:cs="SimSun"/>
          <w:sz w:val="21"/>
          <w:szCs w:val="21"/>
        </w:rPr>
        <w:t>PCR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检测结果判定(详见附录C)。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4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1"/>
          <w:sz w:val="21"/>
          <w:szCs w:val="21"/>
        </w:rPr>
        <w:t>治疗</w:t>
      </w:r>
    </w:p>
    <w:p>
      <w:pPr>
        <w:spacing w:line="287" w:lineRule="auto"/>
        <w:rPr>
          <w:rFonts w:ascii="Arial"/>
          <w:sz w:val="21"/>
        </w:rPr>
      </w:pPr>
    </w:p>
    <w:p>
      <w:pPr>
        <w:spacing w:before="69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4.1</w:t>
      </w:r>
      <w:r>
        <w:rPr>
          <w:rFonts w:ascii="SimHei" w:eastAsia="SimHei" w:hAnsi="SimHei" w:cs="SimHei"/>
          <w:spacing w:val="6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治疗原则</w:t>
      </w:r>
    </w:p>
    <w:p>
      <w:pPr>
        <w:spacing w:before="210" w:line="207" w:lineRule="auto"/>
        <w:ind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早期准确诊断、及时隔离治疗为主；切断媒介硬蜱的持续叮咬；急性病例隔</w:t>
      </w:r>
      <w:r>
        <w:rPr>
          <w:rFonts w:ascii="SimSun" w:eastAsia="SimSun" w:hAnsi="SimSun" w:cs="SimSun"/>
          <w:spacing w:val="-7"/>
          <w:sz w:val="21"/>
          <w:szCs w:val="21"/>
        </w:rPr>
        <w:t>离或淘汰处理；亚急性、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慢性病例药物治疗辅助对症治疗；加强饲养、护理。</w:t>
      </w:r>
    </w:p>
    <w:p>
      <w:pPr>
        <w:spacing w:before="186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0"/>
          <w:sz w:val="21"/>
          <w:szCs w:val="21"/>
        </w:rPr>
        <w:t>4.2</w:t>
      </w:r>
      <w:r>
        <w:rPr>
          <w:rFonts w:ascii="SimHei" w:eastAsia="SimHei" w:hAnsi="SimHei" w:cs="SimHei"/>
          <w:spacing w:val="6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1"/>
          <w:szCs w:val="21"/>
        </w:rPr>
        <w:t>治疗</w:t>
      </w:r>
    </w:p>
    <w:p>
      <w:pPr>
        <w:spacing w:before="217" w:line="459" w:lineRule="exact"/>
        <w:rPr>
          <w:rFonts w:ascii="SimHei" w:eastAsia="SimHei" w:hAnsi="SimHei" w:cs="SimHei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18"/>
          <w:sz w:val="21"/>
          <w:szCs w:val="21"/>
        </w:rPr>
        <w:t>4.2.1</w:t>
      </w:r>
      <w:r>
        <w:rPr>
          <w:rFonts w:ascii="Times New Roman" w:eastAsia="Times New Roman" w:hAnsi="Times New Roman" w:cs="Times New Roman"/>
          <w:spacing w:val="21"/>
          <w:position w:val="18"/>
          <w:sz w:val="21"/>
          <w:szCs w:val="21"/>
        </w:rPr>
        <w:t xml:space="preserve">   </w:t>
      </w:r>
      <w:r>
        <w:rPr>
          <w:rFonts w:ascii="SimHei" w:eastAsia="SimHei" w:hAnsi="SimHei" w:cs="SimHei"/>
          <w:b/>
          <w:bCs/>
          <w:spacing w:val="-2"/>
          <w:position w:val="18"/>
          <w:sz w:val="21"/>
          <w:szCs w:val="21"/>
        </w:rPr>
        <w:t>锥黄素(黄色素/盐酸吖啶黄注射液/血虫速杀</w:t>
      </w:r>
      <w:r>
        <w:rPr>
          <w:rFonts w:ascii="SimHei" w:eastAsia="SimHei" w:hAnsi="SimHei" w:cs="SimHei"/>
          <w:spacing w:val="-2"/>
          <w:position w:val="18"/>
          <w:sz w:val="21"/>
          <w:szCs w:val="21"/>
        </w:rPr>
        <w:t>)</w:t>
      </w:r>
    </w:p>
    <w:p>
      <w:pPr>
        <w:spacing w:line="213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按(0.5～1)mg/kg,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皮下或肌肉注射。</w:t>
      </w:r>
    </w:p>
    <w:p>
      <w:pPr>
        <w:spacing w:before="170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4.2.2</w:t>
      </w:r>
      <w:r>
        <w:rPr>
          <w:rFonts w:ascii="SimHei" w:eastAsia="SimHei" w:hAnsi="SimHei" w:cs="SimHei"/>
          <w:spacing w:val="20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三氮脒(贝尼尔/血虫净)</w:t>
      </w:r>
    </w:p>
    <w:p>
      <w:pPr>
        <w:spacing w:before="216" w:line="247" w:lineRule="auto"/>
        <w:ind w:right="95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按(3.5～7)mg/kg,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用生理盐水稀释成5%溶液，按(4～6)mg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kg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分点深部肌肉注射，每个注射点不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应超过1g,</w:t>
      </w:r>
      <w:r>
        <w:rPr>
          <w:rFonts w:ascii="SimSun" w:eastAsia="SimSun" w:hAnsi="SimSun" w:cs="SimSun"/>
          <w:spacing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每日1次，连用3d;48h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9"/>
          <w:sz w:val="21"/>
          <w:szCs w:val="21"/>
        </w:rPr>
        <w:t>后重复用药。</w:t>
      </w:r>
    </w:p>
    <w:p>
      <w:pPr>
        <w:spacing w:before="238" w:line="220" w:lineRule="auto"/>
        <w:ind w:left="2"/>
        <w:outlineLvl w:val="0"/>
        <w:rPr>
          <w:rFonts w:ascii="SimHei" w:eastAsia="SimHei" w:hAnsi="SimHei" w:cs="SimHei"/>
          <w:sz w:val="21"/>
          <w:szCs w:val="21"/>
        </w:rPr>
        <w:sectPr>
          <w:footerReference w:type="default" r:id="rId9"/>
          <w:pgSz w:w="11910" w:h="16840"/>
          <w:pgMar w:top="1431" w:right="1184" w:bottom="1195" w:left="1329" w:header="0" w:footer="1046" w:gutter="0"/>
          <w:pgNumType w:start="7"/>
          <w:cols w:space="708"/>
        </w:sectPr>
      </w:pP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4.2.3</w:t>
      </w:r>
      <w:r>
        <w:rPr>
          <w:rFonts w:ascii="SimHei" w:eastAsia="SimHei" w:hAnsi="SimHei" w:cs="SimHei"/>
          <w:spacing w:val="10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磷酸伯氨喹啉</w:t>
      </w:r>
      <w:r>
        <w:rPr>
          <w:rFonts w:ascii="SimHei" w:eastAsia="SimHei" w:hAnsi="SimHei" w:cs="SimHei"/>
          <w:spacing w:val="-1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(PMQ)</w:t>
      </w:r>
    </w:p>
    <w:p>
      <w:pPr>
        <w:spacing w:before="218" w:line="214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按(0.75～1.5)</w:t>
      </w:r>
      <w:r>
        <w:rPr>
          <w:rFonts w:ascii="SimSun" w:eastAsia="SimSun" w:hAnsi="SimSun" w:cs="SimSun"/>
          <w:sz w:val="21"/>
          <w:szCs w:val="21"/>
        </w:rPr>
        <w:t>mg</w:t>
      </w:r>
      <w:r>
        <w:rPr>
          <w:rFonts w:ascii="SimSun" w:eastAsia="SimSun" w:hAnsi="SimSun" w:cs="SimSun"/>
          <w:spacing w:val="5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kg</w:t>
      </w:r>
      <w:r>
        <w:rPr>
          <w:rFonts w:ascii="SimSun" w:eastAsia="SimSun" w:hAnsi="SimSun" w:cs="SimSun"/>
          <w:spacing w:val="5"/>
          <w:sz w:val="21"/>
          <w:szCs w:val="21"/>
        </w:rPr>
        <w:t>,</w:t>
      </w:r>
      <w:r>
        <w:rPr>
          <w:rFonts w:ascii="SimSun" w:eastAsia="SimSun" w:hAnsi="SimSun" w:cs="SimSun"/>
          <w:spacing w:val="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每日口服一次，连用3d。</w:t>
      </w:r>
    </w:p>
    <w:p>
      <w:pPr>
        <w:sectPr>
          <w:footerReference w:type="default" r:id="rId10"/>
          <w:type w:val="nextPage"/>
          <w:pgSz w:w="11910" w:h="16840"/>
          <w:pgMar w:top="1431" w:right="1184" w:bottom="1195" w:left="1329" w:header="0" w:footer="1046" w:gutter="0"/>
          <w:pgNumType w:start="8"/>
          <w:cols w:space="708"/>
          <w:titlePg w:val="0"/>
        </w:sectPr>
      </w:pPr>
    </w:p>
    <w:p>
      <w:pPr>
        <w:spacing w:before="91" w:line="198" w:lineRule="auto"/>
        <w:ind w:right="63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6"/>
          <w:sz w:val="21"/>
          <w:szCs w:val="21"/>
        </w:rPr>
        <w:t>DB</w:t>
      </w:r>
      <w:r>
        <w:rPr>
          <w:rFonts w:ascii="Arial" w:eastAsia="Arial" w:hAnsi="Arial" w:cs="Arial"/>
          <w:spacing w:val="1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65/T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3801—2015</w:t>
      </w:r>
    </w:p>
    <w:p>
      <w:pPr>
        <w:spacing w:before="291" w:line="220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4.2.4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4"/>
          <w:sz w:val="21"/>
          <w:szCs w:val="21"/>
        </w:rPr>
        <w:t>青蒿琥酯</w:t>
      </w:r>
    </w:p>
    <w:p>
      <w:pPr>
        <w:spacing w:before="237" w:line="214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按(4～8)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mg</w:t>
      </w:r>
      <w:r>
        <w:rPr>
          <w:rFonts w:ascii="SimSun" w:eastAsia="SimSun" w:hAnsi="SimSun" w:cs="SimSun"/>
          <w:spacing w:val="10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kg</w:t>
      </w:r>
      <w:r>
        <w:rPr>
          <w:rFonts w:ascii="SimSun" w:eastAsia="SimSun" w:hAnsi="SimSun" w:cs="SimSun"/>
          <w:spacing w:val="10"/>
          <w:sz w:val="21"/>
          <w:szCs w:val="21"/>
        </w:rPr>
        <w:t>,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加水灌服，首次倍量，每隔12h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重复1次。</w:t>
      </w:r>
    </w:p>
    <w:p>
      <w:pPr>
        <w:spacing w:before="208" w:line="220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4.2.5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1"/>
          <w:sz w:val="21"/>
          <w:szCs w:val="21"/>
        </w:rPr>
        <w:t>新鲜黄花青蒿</w:t>
      </w:r>
    </w:p>
    <w:p>
      <w:pPr>
        <w:spacing w:before="227" w:line="214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每日每头牛2</w:t>
      </w:r>
      <w:r>
        <w:rPr>
          <w:rFonts w:ascii="SimSun" w:eastAsia="SimSun" w:hAnsi="SimSun" w:cs="SimSun"/>
          <w:sz w:val="21"/>
          <w:szCs w:val="21"/>
        </w:rPr>
        <w:t>kg</w:t>
      </w:r>
      <w:r>
        <w:rPr>
          <w:rFonts w:ascii="SimSun" w:eastAsia="SimSun" w:hAnsi="SimSun" w:cs="SimSun"/>
          <w:spacing w:val="3"/>
          <w:sz w:val="21"/>
          <w:szCs w:val="21"/>
        </w:rPr>
        <w:t>～3</w:t>
      </w:r>
      <w:r>
        <w:rPr>
          <w:rFonts w:ascii="SimSun" w:eastAsia="SimSun" w:hAnsi="SimSun" w:cs="SimSun"/>
          <w:sz w:val="21"/>
          <w:szCs w:val="21"/>
        </w:rPr>
        <w:t>kg</w:t>
      </w:r>
      <w:r>
        <w:rPr>
          <w:rFonts w:ascii="SimSun" w:eastAsia="SimSun" w:hAnsi="SimSun" w:cs="SimSu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6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分两次口服，用法：将青蒿切碎，用冷水浸泡1h~2h,</w:t>
      </w:r>
      <w:r>
        <w:rPr>
          <w:rFonts w:ascii="SimSun" w:eastAsia="SimSun" w:hAnsi="SimSun" w:cs="SimSun"/>
          <w:spacing w:val="2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3"/>
          <w:sz w:val="21"/>
          <w:szCs w:val="21"/>
        </w:rPr>
        <w:t>然后连渣灌</w:t>
      </w:r>
      <w:r>
        <w:rPr>
          <w:rFonts w:ascii="SimSun" w:eastAsia="SimSun" w:hAnsi="SimSun" w:cs="SimSun"/>
          <w:spacing w:val="2"/>
          <w:sz w:val="21"/>
          <w:szCs w:val="21"/>
        </w:rPr>
        <w:t>服，</w:t>
      </w:r>
    </w:p>
    <w:p>
      <w:pPr>
        <w:spacing w:before="55" w:line="22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2"/>
          <w:sz w:val="21"/>
          <w:szCs w:val="21"/>
        </w:rPr>
        <w:t>连服3d。</w:t>
      </w:r>
    </w:p>
    <w:p>
      <w:pPr>
        <w:spacing w:before="223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4.2.6</w:t>
      </w:r>
      <w:r>
        <w:rPr>
          <w:rFonts w:ascii="SimHei" w:eastAsia="SimHei" w:hAnsi="SimHei" w:cs="SimHei"/>
          <w:spacing w:val="9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增强营养</w:t>
      </w:r>
    </w:p>
    <w:p>
      <w:pPr>
        <w:spacing w:before="234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对于体质弱、病情重的牛应配合注射VC、VB12、</w:t>
      </w:r>
      <w:r>
        <w:rPr>
          <w:rFonts w:ascii="SimSun" w:eastAsia="SimSun" w:hAnsi="SimSun" w:cs="SimSun"/>
          <w:spacing w:val="3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葡萄糖等，同时加强护理及饲养管理、增加饲料</w:t>
      </w:r>
    </w:p>
    <w:p>
      <w:pPr>
        <w:spacing w:before="50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营养。</w:t>
      </w:r>
    </w:p>
    <w:p>
      <w:pPr>
        <w:spacing w:before="216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4.2.7</w:t>
      </w:r>
      <w:r>
        <w:rPr>
          <w:rFonts w:ascii="SimHei" w:eastAsia="SimHei" w:hAnsi="SimHei" w:cs="SimHei"/>
          <w:spacing w:val="9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对症治疗</w:t>
      </w:r>
    </w:p>
    <w:p>
      <w:pPr>
        <w:spacing w:before="227" w:line="245" w:lineRule="auto"/>
        <w:ind w:right="182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对于食欲减退牛灌服促反刍散，每头灌服150g～300g,</w:t>
      </w:r>
      <w:r>
        <w:rPr>
          <w:rFonts w:ascii="SimSun" w:eastAsia="SimSun" w:hAnsi="SimSun" w:cs="SimSun"/>
          <w:spacing w:val="6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每天灌服1次；心力衰竭牛肌注10%安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钠加；血尿牛注射20</w:t>
      </w:r>
      <w:r>
        <w:rPr>
          <w:rFonts w:ascii="SimSun" w:eastAsia="SimSun" w:hAnsi="SimSun" w:cs="SimSun"/>
          <w:sz w:val="21"/>
          <w:szCs w:val="21"/>
        </w:rPr>
        <w:t>mL</w:t>
      </w:r>
      <w:r>
        <w:rPr>
          <w:rFonts w:ascii="SimSun" w:eastAsia="SimSun" w:hAnsi="SimSun" w:cs="SimSun"/>
          <w:spacing w:val="1"/>
          <w:sz w:val="21"/>
          <w:szCs w:val="21"/>
        </w:rPr>
        <w:t>0:5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%的安络血。</w:t>
      </w:r>
    </w:p>
    <w:p>
      <w:pPr>
        <w:spacing w:before="215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4.2.8</w:t>
      </w:r>
      <w:r>
        <w:rPr>
          <w:rFonts w:ascii="SimHei" w:eastAsia="SimHei" w:hAnsi="SimHei" w:cs="SimHei"/>
          <w:spacing w:val="91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1"/>
          <w:szCs w:val="21"/>
        </w:rPr>
        <w:t>输血治疗</w:t>
      </w:r>
    </w:p>
    <w:p>
      <w:pPr>
        <w:spacing w:before="228" w:line="252" w:lineRule="auto"/>
        <w:ind w:right="95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对于病情较严重的牛，采用输血疗法，取健康奶牛血液300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ml～500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ml,</w:t>
      </w:r>
      <w:r>
        <w:rPr>
          <w:rFonts w:ascii="SimSun" w:eastAsia="SimSun" w:hAnsi="SimSun" w:cs="SimSun"/>
          <w:spacing w:val="-4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静</w:t>
      </w:r>
      <w:r>
        <w:rPr>
          <w:rFonts w:ascii="SimSun" w:eastAsia="SimSun" w:hAnsi="SimSun" w:cs="SimSun"/>
          <w:spacing w:val="-3"/>
          <w:sz w:val="21"/>
          <w:szCs w:val="21"/>
        </w:rPr>
        <w:t>脉输入病牛体内，每天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(1～2)次，连输(3～5)次。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5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1"/>
          <w:szCs w:val="21"/>
        </w:rPr>
        <w:t>预防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9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5.1</w:t>
      </w:r>
      <w:r>
        <w:rPr>
          <w:rFonts w:ascii="SimHei" w:eastAsia="SimHei" w:hAnsi="SimHei" w:cs="SimHei"/>
          <w:spacing w:val="8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药物预防</w:t>
      </w:r>
    </w:p>
    <w:p>
      <w:pPr>
        <w:spacing w:before="223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在流行区的发病季节，用黄色素(参考4.2.1)和贝尼尔(参</w:t>
      </w:r>
      <w:r>
        <w:rPr>
          <w:rFonts w:ascii="SimSun" w:eastAsia="SimSun" w:hAnsi="SimSun" w:cs="SimSun"/>
          <w:spacing w:val="5"/>
          <w:sz w:val="21"/>
          <w:szCs w:val="21"/>
        </w:rPr>
        <w:t>考4.2.2)给牛进行药物预防注射。</w:t>
      </w:r>
    </w:p>
    <w:p>
      <w:pPr>
        <w:spacing w:before="216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5.2</w:t>
      </w:r>
      <w:r>
        <w:rPr>
          <w:rFonts w:ascii="SimHei" w:eastAsia="SimHei" w:hAnsi="SimHei" w:cs="SimHei"/>
          <w:spacing w:val="9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采取综合防治措施</w:t>
      </w:r>
    </w:p>
    <w:p>
      <w:pPr>
        <w:spacing w:before="219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5.2.1</w:t>
      </w:r>
      <w:r>
        <w:rPr>
          <w:rFonts w:ascii="SimHei" w:eastAsia="SimHei" w:hAnsi="SimHei" w:cs="SimHei"/>
          <w:spacing w:val="8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灭蜱</w:t>
      </w:r>
    </w:p>
    <w:p>
      <w:pPr>
        <w:spacing w:before="218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hyperlink r:id="rId11" w:history="1">
        <w:r>
          <w:rPr>
            <w:rFonts w:ascii="SimHei" w:eastAsia="SimHei" w:hAnsi="SimHei" w:cs="SimHei"/>
            <w:b/>
            <w:bCs/>
            <w:spacing w:val="-16"/>
            <w:sz w:val="21"/>
            <w:szCs w:val="21"/>
          </w:rPr>
          <w:t>5.2.1.1</w:t>
        </w:r>
      </w:hyperlink>
      <w:r>
        <w:rPr>
          <w:rFonts w:ascii="SimHei" w:eastAsia="SimHei" w:hAnsi="SimHei" w:cs="SimHei"/>
          <w:spacing w:val="10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21"/>
          <w:szCs w:val="21"/>
        </w:rPr>
        <w:t>人工灭蜱</w:t>
      </w:r>
    </w:p>
    <w:p>
      <w:pPr>
        <w:spacing w:before="183" w:line="219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发现牛体表或圈舍有蜱虫，用镊子小心摘除并焚烧捕捉的蜱虫。</w:t>
      </w:r>
    </w:p>
    <w:p>
      <w:pPr>
        <w:spacing w:before="187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hyperlink r:id="rId12" w:history="1">
        <w:r>
          <w:rPr>
            <w:rFonts w:ascii="SimHei" w:eastAsia="SimHei" w:hAnsi="SimHei" w:cs="SimHei"/>
            <w:b/>
            <w:bCs/>
            <w:spacing w:val="-15"/>
            <w:sz w:val="21"/>
            <w:szCs w:val="21"/>
          </w:rPr>
          <w:t>5.2.1.2</w:t>
        </w:r>
      </w:hyperlink>
      <w:r>
        <w:rPr>
          <w:rFonts w:ascii="SimHei" w:eastAsia="SimHei" w:hAnsi="SimHei" w:cs="SimHei"/>
          <w:spacing w:val="9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1"/>
          <w:szCs w:val="21"/>
        </w:rPr>
        <w:t>药物灭蜱</w:t>
      </w:r>
    </w:p>
    <w:p>
      <w:pPr>
        <w:spacing w:before="177" w:line="218" w:lineRule="auto"/>
        <w:ind w:right="193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伊维菌素注射液按0.2mg/kg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体重计量进行皮下注射给药；也可用伊维菌素</w:t>
      </w:r>
      <w:r>
        <w:rPr>
          <w:rFonts w:ascii="SimSun" w:eastAsia="SimSun" w:hAnsi="SimSun" w:cs="SimSun"/>
          <w:spacing w:val="-2"/>
          <w:sz w:val="21"/>
          <w:szCs w:val="21"/>
        </w:rPr>
        <w:t>泼背剂按0.5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mg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kg</w:t>
      </w:r>
      <w:r>
        <w:rPr>
          <w:rFonts w:ascii="SimSun" w:eastAsia="SimSun" w:hAnsi="SimSun" w:cs="SimSun"/>
          <w:spacing w:val="-5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重经背部皮肤浇泼给药。</w:t>
      </w:r>
    </w:p>
    <w:p>
      <w:pPr>
        <w:spacing w:before="186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hyperlink r:id="rId13" w:history="1">
        <w:r>
          <w:rPr>
            <w:rFonts w:ascii="SimHei" w:eastAsia="SimHei" w:hAnsi="SimHei" w:cs="SimHei"/>
            <w:b/>
            <w:bCs/>
            <w:spacing w:val="-16"/>
            <w:sz w:val="21"/>
            <w:szCs w:val="21"/>
          </w:rPr>
          <w:t>5.2.1.3</w:t>
        </w:r>
      </w:hyperlink>
      <w:r>
        <w:rPr>
          <w:rFonts w:ascii="SimHei" w:eastAsia="SimHei" w:hAnsi="SimHei" w:cs="SimHei"/>
          <w:spacing w:val="8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1"/>
          <w:szCs w:val="21"/>
        </w:rPr>
        <w:t>环境改造灭蜱</w:t>
      </w:r>
    </w:p>
    <w:p>
      <w:pPr>
        <w:spacing w:before="233" w:line="241" w:lineRule="auto"/>
        <w:ind w:right="80" w:firstLine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蜱虫喜欢趴附在三叶草等，在圈舍附近清楚苜蓿草可减少蜱虫的孳生；在蜱虫出没</w:t>
      </w:r>
      <w:r>
        <w:rPr>
          <w:rFonts w:ascii="SimSun" w:eastAsia="SimSun" w:hAnsi="SimSun" w:cs="SimSun"/>
          <w:spacing w:val="-4"/>
          <w:sz w:val="21"/>
          <w:szCs w:val="21"/>
        </w:rPr>
        <w:t>的季节进行离旧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>圈(防圈舍蜱)和避开媒介蜱孳生地放牧。</w:t>
      </w:r>
    </w:p>
    <w:p>
      <w:pPr>
        <w:spacing w:before="217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  <w:sectPr>
          <w:footerReference w:type="default" r:id="rId14"/>
          <w:pgSz w:w="11910" w:h="16840"/>
          <w:pgMar w:top="1431" w:right="1164" w:bottom="1178" w:left="1339" w:header="0" w:footer="1039" w:gutter="0"/>
          <w:pgNumType w:start="9"/>
          <w:cols w:space="708"/>
        </w:sectPr>
      </w:pPr>
      <w:r>
        <w:rPr>
          <w:rFonts w:ascii="SimHei" w:eastAsia="SimHei" w:hAnsi="SimHei" w:cs="SimHei"/>
          <w:b/>
          <w:bCs/>
          <w:spacing w:val="-10"/>
          <w:sz w:val="21"/>
          <w:szCs w:val="21"/>
        </w:rPr>
        <w:t>5.2.2</w:t>
      </w:r>
      <w:r>
        <w:rPr>
          <w:rFonts w:ascii="SimHei" w:eastAsia="SimHei" w:hAnsi="SimHei" w:cs="SimHei"/>
          <w:spacing w:val="-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1"/>
          <w:szCs w:val="21"/>
        </w:rPr>
        <w:t>定期监测、计划性驱虫</w:t>
      </w:r>
    </w:p>
    <w:p>
      <w:pPr>
        <w:spacing w:before="220" w:line="255" w:lineRule="auto"/>
        <w:ind w:firstLine="42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每年(3～6)月为我区牛环形泰勒虫病高发季节，每月采集牛血和环境周围的媒介蜱提取</w:t>
      </w:r>
      <w:r>
        <w:rPr>
          <w:rFonts w:ascii="SimSun" w:eastAsia="SimSun" w:hAnsi="SimSun" w:cs="SimSun"/>
          <w:sz w:val="21"/>
          <w:szCs w:val="21"/>
        </w:rPr>
        <w:t>DNA</w:t>
      </w:r>
      <w:r>
        <w:rPr>
          <w:rFonts w:ascii="SimSun" w:eastAsia="SimSun" w:hAnsi="SimSun" w:cs="SimSun"/>
          <w:spacing w:val="1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后，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采用3.6给出的检测方法进行检测，</w:t>
      </w:r>
      <w:r>
        <w:rPr>
          <w:rFonts w:ascii="SimSun" w:eastAsia="SimSun" w:hAnsi="SimSun" w:cs="SimSun"/>
          <w:spacing w:val="6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一经发现阳性病例及时治疗；同时每年在发病季节，采用5.</w:t>
      </w:r>
      <w:r>
        <w:rPr>
          <w:rFonts w:ascii="SimSun" w:eastAsia="SimSun" w:hAnsi="SimSun" w:cs="SimSun"/>
          <w:spacing w:val="-3"/>
          <w:sz w:val="21"/>
          <w:szCs w:val="21"/>
        </w:rPr>
        <w:t>2的方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法进行计划性灭蜱。</w:t>
      </w:r>
    </w:p>
    <w:p>
      <w:pPr>
        <w:sectPr>
          <w:footerReference w:type="default" r:id="rId15"/>
          <w:type w:val="nextPage"/>
          <w:pgSz w:w="11910" w:h="16840"/>
          <w:pgMar w:top="1431" w:right="1164" w:bottom="1178" w:left="1339" w:header="0" w:footer="1039" w:gutter="0"/>
          <w:pgNumType w:start="10"/>
          <w:cols w:space="708"/>
          <w:titlePg w:val="0"/>
        </w:sectPr>
      </w:pPr>
    </w:p>
    <w:p>
      <w:pPr>
        <w:spacing w:before="101" w:line="198" w:lineRule="auto"/>
        <w:ind w:right="63"/>
        <w:jc w:val="right"/>
        <w:rPr>
          <w:rFonts w:ascii="Arial" w:eastAsia="Arial" w:hAnsi="Arial" w:cs="Arial"/>
          <w:sz w:val="21"/>
          <w:szCs w:val="21"/>
        </w:rPr>
      </w:pPr>
      <w:r>
        <w:pict>
          <v:rect id="_x0000_s1025" style="width:175pt;height:0.5pt;margin-top:197.5pt;margin-left:213.5pt;mso-position-horizontal-relative:page;mso-position-vertical-relative:page;position:absolute;z-index:251658240" o:allowincell="f" filled="t" fillcolor="black" stroked="f"/>
        </w:pict>
      </w:r>
      <w:r>
        <w:rPr>
          <w:rFonts w:ascii="Arial" w:eastAsia="Arial" w:hAnsi="Arial" w:cs="Arial"/>
          <w:spacing w:val="-6"/>
          <w:sz w:val="21"/>
          <w:szCs w:val="21"/>
        </w:rPr>
        <w:t>DB</w:t>
      </w:r>
      <w:r>
        <w:rPr>
          <w:rFonts w:ascii="Arial" w:eastAsia="Arial" w:hAnsi="Arial" w:cs="Arial"/>
          <w:spacing w:val="1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65/T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3801—2015</w:t>
      </w:r>
    </w:p>
    <w:p>
      <w:pPr>
        <w:spacing w:before="291" w:line="221" w:lineRule="auto"/>
        <w:ind w:left="2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5.2.3</w:t>
      </w:r>
      <w:r>
        <w:rPr>
          <w:rFonts w:ascii="SimHei" w:eastAsia="SimHei" w:hAnsi="SimHei" w:cs="SimHei"/>
          <w:spacing w:val="10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3"/>
          <w:sz w:val="21"/>
          <w:szCs w:val="21"/>
        </w:rPr>
        <w:t>提高宿主牛的抗病能力</w:t>
      </w:r>
    </w:p>
    <w:p>
      <w:pPr>
        <w:spacing w:before="222" w:line="247" w:lineRule="auto"/>
        <w:ind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对患病牛，改善饲养环境，完善圈舍卫生、防蜱措施和护理；对非疫区、疑</w:t>
      </w:r>
      <w:r>
        <w:rPr>
          <w:rFonts w:ascii="SimSun" w:eastAsia="SimSun" w:hAnsi="SimSun" w:cs="SimSun"/>
          <w:spacing w:val="-7"/>
          <w:sz w:val="21"/>
          <w:szCs w:val="21"/>
        </w:rPr>
        <w:t>似牛采取综合防御措施，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加强驱虫保健。</w:t>
      </w:r>
    </w:p>
    <w:p>
      <w:pPr>
        <w:sectPr>
          <w:footerReference w:type="default" r:id="rId16"/>
          <w:pgSz w:w="11910" w:h="16840"/>
          <w:pgMar w:top="1431" w:right="1174" w:bottom="1184" w:left="1349" w:header="0" w:footer="1036" w:gutter="0"/>
          <w:pgNumType w:start="11"/>
          <w:cols w:space="708"/>
        </w:sectPr>
      </w:pPr>
    </w:p>
    <w:p>
      <w:pPr>
        <w:spacing w:before="111" w:line="198" w:lineRule="auto"/>
        <w:ind w:right="61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6"/>
          <w:sz w:val="21"/>
          <w:szCs w:val="21"/>
        </w:rPr>
        <w:t>DB</w:t>
      </w:r>
      <w:r>
        <w:rPr>
          <w:rFonts w:ascii="Arial" w:eastAsia="Arial" w:hAnsi="Arial" w:cs="Arial"/>
          <w:spacing w:val="2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65/T</w:t>
      </w:r>
      <w:r>
        <w:rPr>
          <w:rFonts w:ascii="Arial" w:eastAsia="Arial" w:hAnsi="Arial" w:cs="Arial"/>
          <w:spacing w:val="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3801—2015</w:t>
      </w:r>
    </w:p>
    <w:p>
      <w:pPr>
        <w:spacing w:before="302" w:line="310" w:lineRule="exact"/>
        <w:ind w:left="421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3"/>
          <w:position w:val="7"/>
          <w:sz w:val="21"/>
          <w:szCs w:val="21"/>
        </w:rPr>
        <w:t>附</w:t>
      </w:r>
      <w:r>
        <w:rPr>
          <w:rFonts w:ascii="SimHei" w:eastAsia="SimHei" w:hAnsi="SimHei" w:cs="SimHei"/>
          <w:spacing w:val="5"/>
          <w:position w:val="7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13"/>
          <w:position w:val="7"/>
          <w:sz w:val="21"/>
          <w:szCs w:val="21"/>
        </w:rPr>
        <w:t>录</w:t>
      </w:r>
      <w:r>
        <w:rPr>
          <w:rFonts w:ascii="SimHei" w:eastAsia="SimHei" w:hAnsi="SimHei" w:cs="SimHei"/>
          <w:spacing w:val="106"/>
          <w:position w:val="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3"/>
          <w:position w:val="7"/>
          <w:sz w:val="21"/>
          <w:szCs w:val="21"/>
        </w:rPr>
        <w:t>A</w:t>
      </w:r>
    </w:p>
    <w:p>
      <w:pPr>
        <w:spacing w:line="221" w:lineRule="auto"/>
        <w:ind w:left="406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(规范性附录)</w:t>
      </w:r>
    </w:p>
    <w:p>
      <w:pPr>
        <w:spacing w:before="56" w:line="221" w:lineRule="auto"/>
        <w:ind w:left="395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病原学诊断方法</w:t>
      </w:r>
    </w:p>
    <w:p>
      <w:pPr>
        <w:spacing w:line="278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A.1</w:t>
      </w:r>
      <w:r>
        <w:rPr>
          <w:rFonts w:ascii="SimHei" w:eastAsia="SimHei" w:hAnsi="SimHei" w:cs="SimHei"/>
          <w:spacing w:val="11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血液型虫体鉴定方法</w:t>
      </w:r>
    </w:p>
    <w:p>
      <w:pPr>
        <w:spacing w:before="219" w:line="221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A.1.1</w:t>
      </w:r>
      <w:r>
        <w:rPr>
          <w:rFonts w:ascii="SimHei" w:eastAsia="SimHei" w:hAnsi="SimHei" w:cs="SimHei"/>
          <w:spacing w:val="80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主要设备、材料和试剂</w:t>
      </w:r>
    </w:p>
    <w:p>
      <w:pPr>
        <w:spacing w:before="223" w:line="263" w:lineRule="auto"/>
        <w:ind w:right="83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冰箱、离心机、光学显微镜、体视显微镜、移液器、吸头、离心管、载玻片；无菌注射器或</w:t>
      </w:r>
      <w:r>
        <w:rPr>
          <w:rFonts w:ascii="SimSun" w:eastAsia="SimSun" w:hAnsi="SimSun" w:cs="SimSun"/>
          <w:spacing w:val="-4"/>
          <w:sz w:val="21"/>
          <w:szCs w:val="21"/>
        </w:rPr>
        <w:t>真空采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血管、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EDTA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溶液、抗凝剂、染色液等。</w:t>
      </w:r>
    </w:p>
    <w:p>
      <w:pPr>
        <w:spacing w:before="179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A.1.2</w:t>
      </w:r>
      <w:r>
        <w:rPr>
          <w:rFonts w:ascii="SimHei" w:eastAsia="SimHei" w:hAnsi="SimHei" w:cs="SimHei"/>
          <w:spacing w:val="105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血液样品采集</w:t>
      </w:r>
    </w:p>
    <w:p>
      <w:pPr>
        <w:spacing w:before="227" w:line="249" w:lineRule="auto"/>
        <w:ind w:right="9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从疑似牛类动物耳尖或尾根部无菌采血约10</w:t>
      </w:r>
      <w:r>
        <w:rPr>
          <w:rFonts w:ascii="SimSun" w:eastAsia="SimSun" w:hAnsi="SimSun" w:cs="SimSun"/>
          <w:sz w:val="21"/>
          <w:szCs w:val="21"/>
        </w:rPr>
        <w:t>ml</w:t>
      </w:r>
      <w:r>
        <w:rPr>
          <w:rFonts w:ascii="SimSun" w:eastAsia="SimSun" w:hAnsi="SimSun" w:cs="SimSun"/>
          <w:spacing w:val="3"/>
          <w:sz w:val="21"/>
          <w:szCs w:val="21"/>
        </w:rPr>
        <w:t>,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分别加入到含有抗凝剂</w:t>
      </w:r>
      <w:r>
        <w:rPr>
          <w:rFonts w:ascii="SimSun" w:eastAsia="SimSun" w:hAnsi="SimSun" w:cs="SimSun"/>
          <w:spacing w:val="-5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EDTA</w:t>
      </w:r>
      <w:r>
        <w:rPr>
          <w:rFonts w:ascii="SimSun" w:eastAsia="SimSun" w:hAnsi="SimSun" w:cs="SimSun"/>
          <w:spacing w:val="9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溶液的抗凝管(用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于血液涂片和核酸提取)和不含抗凝剂的采血管内(用于分离血清),-20℃保存待检。</w:t>
      </w:r>
    </w:p>
    <w:p>
      <w:pPr>
        <w:spacing w:before="222" w:line="221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A.1.3</w:t>
      </w:r>
      <w:r>
        <w:rPr>
          <w:rFonts w:ascii="SimHei" w:eastAsia="SimHei" w:hAnsi="SimHei" w:cs="SimHei"/>
          <w:spacing w:val="10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溶液配制</w:t>
      </w:r>
    </w:p>
    <w:p>
      <w:pPr>
        <w:spacing w:before="219" w:line="470" w:lineRule="exact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9"/>
          <w:position w:val="19"/>
          <w:sz w:val="21"/>
          <w:szCs w:val="21"/>
        </w:rPr>
        <w:t>A.1.3.1</w:t>
      </w:r>
      <w:r>
        <w:rPr>
          <w:rFonts w:ascii="SimHei" w:eastAsia="SimHei" w:hAnsi="SimHei" w:cs="SimHei"/>
          <w:spacing w:val="85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9"/>
          <w:position w:val="19"/>
          <w:sz w:val="21"/>
          <w:szCs w:val="21"/>
        </w:rPr>
        <w:t>姬姆萨染液：见附录</w:t>
      </w:r>
      <w:r>
        <w:rPr>
          <w:rFonts w:ascii="SimHei" w:eastAsia="SimHei" w:hAnsi="SimHei" w:cs="SimHei"/>
          <w:spacing w:val="-36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9"/>
          <w:position w:val="19"/>
          <w:sz w:val="21"/>
          <w:szCs w:val="21"/>
        </w:rPr>
        <w:t>D</w:t>
      </w:r>
    </w:p>
    <w:p>
      <w:pPr>
        <w:spacing w:before="1" w:line="220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A.1.4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21"/>
          <w:szCs w:val="21"/>
        </w:rPr>
        <w:t>操作方法</w:t>
      </w:r>
    </w:p>
    <w:p>
      <w:pPr>
        <w:spacing w:before="202" w:line="255" w:lineRule="auto"/>
        <w:ind w:right="77" w:firstLine="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A.1.4.1</w:t>
      </w:r>
      <w:r>
        <w:rPr>
          <w:rFonts w:ascii="SimSun" w:eastAsia="SimSun" w:hAnsi="SimSun" w:cs="SimSun"/>
          <w:spacing w:val="10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取采集的血液样品1滴，将血液置载玻片一端，另取一张边缘光滑的推片，让推片边缘和血液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接触，使血液全部与推片边缘重合散开，推片和载玻片保持30°角，向前平稳均匀推动推片，载玻片上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便留下一层薄血膜。</w:t>
      </w:r>
    </w:p>
    <w:p>
      <w:pPr>
        <w:spacing w:before="60" w:line="219" w:lineRule="auto"/>
        <w:ind w:left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5"/>
          <w:sz w:val="21"/>
          <w:szCs w:val="21"/>
        </w:rPr>
        <w:t>A.1.4.2</w:t>
      </w:r>
      <w:r>
        <w:rPr>
          <w:rFonts w:ascii="SimSun" w:eastAsia="SimSun" w:hAnsi="SimSun" w:cs="SimSun"/>
          <w:spacing w:val="10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血涂片制成后，待血膜自然干燥后，在血膜表面滴加甲醇进行固定。</w:t>
      </w:r>
    </w:p>
    <w:p>
      <w:pPr>
        <w:spacing w:before="61" w:line="247" w:lineRule="auto"/>
        <w:ind w:right="18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A.1.4.3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待甲醇在空气中干燥后，对血膜进行染色。将姬姆萨染液滴加在血膜上，使血膜被染液覆盖，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染色30</w:t>
      </w:r>
      <w:r>
        <w:rPr>
          <w:rFonts w:ascii="SimSun" w:eastAsia="SimSun" w:hAnsi="SimSun" w:cs="SimSun"/>
          <w:spacing w:val="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min。</w:t>
      </w:r>
    </w:p>
    <w:p>
      <w:pPr>
        <w:spacing w:before="59" w:line="246" w:lineRule="auto"/>
        <w:ind w:right="71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"/>
          <w:sz w:val="21"/>
          <w:szCs w:val="21"/>
        </w:rPr>
        <w:t>A.1.4.4</w:t>
      </w:r>
      <w:r>
        <w:rPr>
          <w:rFonts w:ascii="SimSun" w:eastAsia="SimSun" w:hAnsi="SimSun" w:cs="SimSun"/>
          <w:spacing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染色30</w:t>
      </w:r>
      <w:r>
        <w:rPr>
          <w:rFonts w:ascii="SimSun" w:eastAsia="SimSun" w:hAnsi="SimSun" w:cs="SimSun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min</w:t>
      </w:r>
      <w:r>
        <w:rPr>
          <w:rFonts w:ascii="Times New Roman" w:eastAsia="Times New Roman" w:hAnsi="Times New Roman" w:cs="Times New Roma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后，用清水轻轻洗去载玻片表面的染液，待载玻片表面干燥后</w:t>
      </w:r>
      <w:r>
        <w:rPr>
          <w:rFonts w:ascii="SimSun" w:eastAsia="SimSun" w:hAnsi="SimSun" w:cs="SimSun"/>
          <w:spacing w:val="-3"/>
          <w:sz w:val="21"/>
          <w:szCs w:val="21"/>
        </w:rPr>
        <w:t>用铅笔或标签纸在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血膜的另一侧进行编号。</w:t>
      </w:r>
    </w:p>
    <w:p>
      <w:pPr>
        <w:spacing w:before="256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A.1.5</w:t>
      </w:r>
      <w:r>
        <w:rPr>
          <w:rFonts w:ascii="SimHei" w:eastAsia="SimHei" w:hAnsi="SimHei" w:cs="SimHei"/>
          <w:spacing w:val="9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1"/>
          <w:szCs w:val="21"/>
        </w:rPr>
        <w:t>显微镜下检查</w:t>
      </w:r>
    </w:p>
    <w:p>
      <w:pPr>
        <w:spacing w:before="211" w:line="255" w:lineRule="auto"/>
        <w:ind w:right="6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在干燥后的血膜表面滴加一滴松柏油，将血膜放在100倍的显微镜下进行观察，</w:t>
      </w:r>
      <w:r>
        <w:rPr>
          <w:rFonts w:ascii="SimSun" w:eastAsia="SimSun" w:hAnsi="SimSun" w:cs="SimSun"/>
          <w:spacing w:val="-1"/>
          <w:sz w:val="21"/>
          <w:szCs w:val="21"/>
        </w:rPr>
        <w:t>当镜下发现与附录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E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相同的典型血液型虫体即可判定为阳性。</w:t>
      </w:r>
    </w:p>
    <w:p>
      <w:pPr>
        <w:spacing w:before="216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A.2</w:t>
      </w:r>
      <w:r>
        <w:rPr>
          <w:rFonts w:ascii="SimHei" w:eastAsia="SimHei" w:hAnsi="SimHei" w:cs="SimHei"/>
          <w:spacing w:val="10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组织型虫体鉴定方法</w:t>
      </w:r>
    </w:p>
    <w:p>
      <w:pPr>
        <w:spacing w:before="219" w:line="221" w:lineRule="auto"/>
        <w:ind w:left="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A.2.1</w:t>
      </w:r>
      <w:r>
        <w:rPr>
          <w:rFonts w:ascii="SimHei" w:eastAsia="SimHei" w:hAnsi="SimHei" w:cs="SimHei"/>
          <w:spacing w:val="7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主要设备、材料和试剂</w:t>
      </w:r>
    </w:p>
    <w:p>
      <w:pPr>
        <w:spacing w:before="233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参见A.1.1。</w:t>
      </w:r>
    </w:p>
    <w:p>
      <w:pPr>
        <w:spacing w:before="218" w:line="222" w:lineRule="auto"/>
        <w:ind w:left="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A.2.2</w:t>
      </w:r>
      <w:r>
        <w:rPr>
          <w:rFonts w:ascii="SimHei" w:eastAsia="SimHei" w:hAnsi="SimHei" w:cs="SimHei"/>
          <w:spacing w:val="11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1"/>
          <w:szCs w:val="21"/>
        </w:rPr>
        <w:t>活体和死亡牛淋巴、组织样品</w:t>
      </w:r>
    </w:p>
    <w:p>
      <w:pPr>
        <w:spacing w:before="199" w:line="255" w:lineRule="auto"/>
        <w:ind w:firstLine="42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从疑似牛类动物的肩前淋巴结或腹股沟淋巴结进行无菌穿刺，用干燥注射器抽取淋巴内容物</w:t>
      </w:r>
      <w:r>
        <w:rPr>
          <w:rFonts w:ascii="SimSun" w:eastAsia="SimSun" w:hAnsi="SimSun" w:cs="SimSun"/>
          <w:spacing w:val="-4"/>
          <w:sz w:val="21"/>
          <w:szCs w:val="21"/>
        </w:rPr>
        <w:t>；也可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无菌采集淋巴结、脾脏等用于制作抹片样品。病死动物采样时，死亡时间不超过24h,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采集脑、淋巴结、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心、肝、和脾等脏器组织样品，样品在4℃左右条件下迅速送达实验室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https://d.book118.com/267106112114006035</w:t>
        </w:r>
      </w:hyperlink>
    </w:p>
    <w:p>
      <w:pPr>
        <w:spacing w:before="199" w:line="255" w:lineRule="auto"/>
        <w:ind w:firstLine="420"/>
        <w:jc w:val="both"/>
        <w:rPr>
          <w:rFonts w:ascii="SimSun" w:eastAsia="SimSun" w:hAnsi="SimSun" w:cs="SimSun"/>
          <w:sz w:val="21"/>
          <w:szCs w:val="21"/>
        </w:rPr>
      </w:pPr>
    </w:p>
    <w:sectPr>
      <w:footerReference w:type="default" r:id="rId18"/>
      <w:pgSz w:w="11910" w:h="16840"/>
      <w:pgMar w:top="1431" w:right="1177" w:bottom="1185" w:left="1329" w:header="0" w:footer="1036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10"/>
      <w:jc w:val="right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3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3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5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right="289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7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hyperlink" Target="https://5.2.1.1" TargetMode="External" /><Relationship Id="rId12" Type="http://schemas.openxmlformats.org/officeDocument/2006/relationships/hyperlink" Target="https://5.2.1.2" TargetMode="External" /><Relationship Id="rId13" Type="http://schemas.openxmlformats.org/officeDocument/2006/relationships/hyperlink" Target="https://5.2.1.3" TargetMode="Externa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hyperlink" Target="https://d.book118.com/267106112114006035" TargetMode="External" /><Relationship Id="rId18" Type="http://schemas.openxmlformats.org/officeDocument/2006/relationships/footer" Target="footer10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2023-05-18T13:25:05Z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2023-05-18T13:25:08Z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6465b6a0fa57af001fea1a15</vt:lpwstr>
  </property>
</Properties>
</file>