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247" w:lineRule="auto"/>
      </w:pPr>
      <w:r>
        <w:pict>
          <v:rect id="矩形 2" o:spid="_x0000_s1025" style="width:696.55pt;height:79pt;margin-top:93.95pt;margin-left:70.95pt;mso-position-horizontal-relative:page;mso-position-vertical-relative:page;position:absolute;z-index:251659264" o:allowincell="f" filled="t" fillcolor="#3f6a81" stroked="f"/>
        </w:pict>
      </w: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spacing w:before="227" w:line="219" w:lineRule="auto"/>
        <w:ind w:left="1920"/>
        <w:outlineLvl w:val="0"/>
        <w:rPr>
          <w:rFonts w:ascii="黑体" w:eastAsia="黑体" w:hAnsi="黑体" w:cs="黑体"/>
          <w:sz w:val="70"/>
          <w:szCs w:val="7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6" type="#_x0000_t75" style="width:842pt;height:595.5pt;margin-top:-218.95pt;margin-left:0;mso-wrap-distance-left:0;mso-wrap-distance-right:0;position:absolute;z-index:-25165824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color w:val="AC0005"/>
          <w:spacing w:val="12"/>
          <w:sz w:val="70"/>
          <w:szCs w:val="70"/>
        </w:rPr>
        <w:t>探讨生活垃圾焚烧工程管理底线思维方法</w:t>
      </w:r>
    </w:p>
    <w:p>
      <w:pPr>
        <w:spacing w:line="219" w:lineRule="auto"/>
        <w:rPr>
          <w:rFonts w:ascii="黑体" w:eastAsia="黑体" w:hAnsi="黑体" w:cs="黑体"/>
          <w:sz w:val="70"/>
          <w:szCs w:val="70"/>
        </w:rPr>
        <w:sectPr>
          <w:headerReference w:type="default" r:id="rId5"/>
          <w:pgSz w:w="16840" w:h="11910"/>
          <w:pgMar w:top="400" w:right="0" w:bottom="0" w:left="0" w:header="0" w:footer="0" w:gutter="0"/>
          <w:cols w:space="708"/>
        </w:sectPr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spacing w:line="1030" w:lineRule="exact"/>
        <w:ind w:firstLine="1779"/>
      </w:pPr>
      <w:r>
        <w:rPr>
          <w:position w:val="-20"/>
        </w:rPr>
        <w:pict>
          <v:group id="组合 3" o:spid="_x0000_i1027" style="width:660.5pt;height:51.5pt;mso-position-horizontal-relative:char;mso-position-vertical-relative:line" coordorigin="0,0" coordsize="13210,1030">
            <v:shape id="图片 4" o:spid="_x0000_s1028" type="#_x0000_t75" style="width:13210;height:1030;position:absolute" filled="f" stroked="f">
              <v:imagedata r:id="rId6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29" type="#_x0000_t202" style="width:13250;height:107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348" w:line="219" w:lineRule="auto"/>
                      <w:ind w:left="378"/>
                      <w:rPr>
                        <w:rFonts w:ascii="黑体" w:eastAsia="黑体" w:hAnsi="黑体" w:cs="黑体"/>
                        <w:sz w:val="62"/>
                        <w:szCs w:val="62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color w:val="FFFFFF"/>
                        <w:spacing w:val="14"/>
                        <w:sz w:val="62"/>
                        <w:szCs w:val="62"/>
                      </w:rPr>
                      <w:t>探讨生活垃圾焚烧工程管理底线思维方法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293" w:lineRule="auto"/>
      </w:pPr>
    </w:p>
    <w:p>
      <w:pPr>
        <w:pStyle w:val="BodyText"/>
        <w:spacing w:line="293" w:lineRule="auto"/>
      </w:pPr>
    </w:p>
    <w:p>
      <w:pPr>
        <w:pStyle w:val="BodyText"/>
        <w:spacing w:line="5780" w:lineRule="exact"/>
        <w:ind w:firstLine="1579"/>
      </w:pPr>
      <w:r>
        <w:rPr>
          <w:position w:val="-115"/>
        </w:rPr>
        <w:pict>
          <v:shape id="文本框 6" o:spid="_x0000_i1030" type="#_x0000_t202" style="width:678.05pt;height:289.05pt;mso-position-horizontal-relative:char;mso-position-vertical-relative:line" filled="t" fillcolor="#754624" stroked="f">
            <o:lock v:ext="edit" aspectratio="f"/>
            <v:textbox inset="0,0,0,0">
              <w:txbxContent>
                <w:p>
                  <w:pPr>
                    <w:spacing w:line="264" w:lineRule="auto"/>
                  </w:pPr>
                </w:p>
                <w:p>
                  <w:pPr>
                    <w:spacing w:line="264" w:lineRule="auto"/>
                  </w:pPr>
                </w:p>
                <w:p>
                  <w:pPr>
                    <w:spacing w:line="265" w:lineRule="auto"/>
                  </w:pPr>
                </w:p>
                <w:p>
                  <w:pPr>
                    <w:spacing w:before="201" w:line="220" w:lineRule="auto"/>
                    <w:ind w:left="558"/>
                    <w:rPr>
                      <w:rFonts w:ascii="黑体" w:eastAsia="黑体" w:hAnsi="黑体" w:cs="黑体"/>
                      <w:sz w:val="62"/>
                      <w:szCs w:val="62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14"/>
                      <w:sz w:val="62"/>
                      <w:szCs w:val="62"/>
                    </w:rPr>
                    <w:t>垃圾焚烧工程的三要素：垃圾、锅炉、系统</w:t>
                  </w:r>
                </w:p>
                <w:p>
                  <w:pPr>
                    <w:spacing w:line="357" w:lineRule="auto"/>
                  </w:pPr>
                </w:p>
                <w:p>
                  <w:pPr>
                    <w:spacing w:before="201" w:line="220" w:lineRule="auto"/>
                    <w:ind w:left="558"/>
                    <w:rPr>
                      <w:rFonts w:ascii="黑体" w:eastAsia="黑体" w:hAnsi="黑体" w:cs="黑体"/>
                      <w:sz w:val="62"/>
                      <w:szCs w:val="62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14"/>
                      <w:sz w:val="62"/>
                      <w:szCs w:val="62"/>
                    </w:rPr>
                    <w:t>垃圾焚烧工程的三原则：安全、可靠、环保</w:t>
                  </w:r>
                </w:p>
                <w:p>
                  <w:pPr>
                    <w:spacing w:line="288" w:lineRule="auto"/>
                  </w:pPr>
                </w:p>
                <w:p>
                  <w:pPr>
                    <w:spacing w:line="288" w:lineRule="auto"/>
                  </w:pPr>
                </w:p>
                <w:p>
                  <w:pPr>
                    <w:spacing w:before="201" w:line="220" w:lineRule="auto"/>
                    <w:ind w:left="558"/>
                    <w:rPr>
                      <w:rFonts w:ascii="黑体" w:eastAsia="黑体" w:hAnsi="黑体" w:cs="黑体"/>
                      <w:sz w:val="62"/>
                      <w:szCs w:val="62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13"/>
                      <w:sz w:val="62"/>
                      <w:szCs w:val="62"/>
                    </w:rPr>
                    <w:t>垃圾焚烧工程的驱动力：节能、减排、能效</w:t>
                  </w:r>
                </w:p>
              </w:txbxContent>
            </v:textbox>
            <w10:wrap type="none"/>
            <w10:anchorlock/>
          </v:shape>
        </w:pict>
      </w:r>
    </w:p>
    <w:p>
      <w:pPr>
        <w:spacing w:before="280" w:line="183" w:lineRule="auto"/>
        <w:ind w:left="15140"/>
        <w:rPr>
          <w:rFonts w:ascii="宋体" w:eastAsia="宋体" w:hAnsi="宋体" w:cs="宋体"/>
          <w:sz w:val="27"/>
          <w:szCs w:val="27"/>
        </w:rPr>
      </w:pPr>
      <w:r>
        <w:pict>
          <v:shape id="IM 4" o:spid="_x0000_s1031" type="#_x0000_t75" style="width:842pt;height:595.5pt;margin-top:-463.5pt;margin-left:0;mso-wrap-distance-left:0;mso-wrap-distance-right:0;position:absolute;z-index:-251656192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color w:val="2370A4"/>
          <w:sz w:val="27"/>
          <w:szCs w:val="27"/>
        </w:rPr>
        <w:t>2</w:t>
      </w:r>
    </w:p>
    <w:p>
      <w:pPr>
        <w:spacing w:line="183" w:lineRule="auto"/>
        <w:rPr>
          <w:rFonts w:ascii="宋体" w:eastAsia="宋体" w:hAnsi="宋体" w:cs="宋体"/>
          <w:sz w:val="27"/>
          <w:szCs w:val="27"/>
        </w:rPr>
        <w:sectPr>
          <w:headerReference w:type="default" r:id="rId8"/>
          <w:pgSz w:w="16840" w:h="11910"/>
          <w:pgMar w:top="400" w:right="0" w:bottom="0" w:left="0" w:header="0" w:footer="0" w:gutter="0"/>
          <w:pgNumType w:start="2"/>
          <w:cols w:space="708"/>
        </w:sectPr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spacing w:line="1030" w:lineRule="exact"/>
      </w:pPr>
      <w:r>
        <w:rPr>
          <w:position w:val="-20"/>
        </w:rPr>
        <w:pict>
          <v:shape id="文本框 7" o:spid="_x0000_i1032" type="#_x0000_t202" style="width:705.55pt;height:51.5pt;mso-position-horizontal-relative:char;mso-position-vertical-relative:line" filled="t" fillcolor="#7492a0" stroked="f">
            <o:lock v:ext="edit" aspectratio="f"/>
            <v:textbox inset="0,0,0,0">
              <w:txbxContent>
                <w:p>
                  <w:pPr>
                    <w:spacing w:before="243" w:line="222" w:lineRule="auto"/>
                    <w:ind w:left="6079"/>
                    <w:rPr>
                      <w:rFonts w:ascii="黑体" w:eastAsia="黑体" w:hAnsi="黑体" w:cs="黑体"/>
                      <w:sz w:val="66"/>
                      <w:szCs w:val="66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-62"/>
                      <w:sz w:val="66"/>
                      <w:szCs w:val="66"/>
                    </w:rPr>
                    <w:t>目</w:t>
                  </w:r>
                  <w:r>
                    <w:rPr>
                      <w:rFonts w:ascii="黑体" w:eastAsia="黑体" w:hAnsi="黑体" w:cs="黑体"/>
                      <w:color w:val="FFFFFF"/>
                      <w:spacing w:val="4"/>
                      <w:sz w:val="66"/>
                      <w:szCs w:val="66"/>
                    </w:rPr>
                    <w:t xml:space="preserve">  </w:t>
                  </w: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-62"/>
                      <w:sz w:val="66"/>
                      <w:szCs w:val="66"/>
                    </w:rPr>
                    <w:t>录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BodyText"/>
        <w:spacing w:line="458" w:lineRule="auto"/>
      </w:pPr>
    </w:p>
    <w:p>
      <w:pPr>
        <w:spacing w:before="156" w:line="220" w:lineRule="auto"/>
        <w:ind w:left="1336"/>
        <w:outlineLvl w:val="0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color w:val="FB0000"/>
          <w:spacing w:val="-7"/>
          <w:sz w:val="48"/>
          <w:szCs w:val="48"/>
        </w:rPr>
        <w:t>一、垃圾焚烧的工程基础</w:t>
      </w:r>
    </w:p>
    <w:p>
      <w:pPr>
        <w:pStyle w:val="BodyText"/>
        <w:spacing w:line="289" w:lineRule="auto"/>
      </w:pPr>
    </w:p>
    <w:p>
      <w:pPr>
        <w:spacing w:before="156" w:line="1050" w:lineRule="exact"/>
        <w:ind w:left="127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8"/>
          <w:position w:val="42"/>
          <w:sz w:val="48"/>
          <w:szCs w:val="48"/>
        </w:rPr>
        <w:t>二、垃圾焚烧常态化安全、可靠、环保运行</w:t>
      </w:r>
    </w:p>
    <w:p>
      <w:pPr>
        <w:spacing w:line="220" w:lineRule="auto"/>
        <w:ind w:left="127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4"/>
          <w:sz w:val="48"/>
          <w:szCs w:val="48"/>
        </w:rPr>
        <w:t>三、垃圾焚烧锅炉【炉膛功能性特征)</w:t>
      </w:r>
    </w:p>
    <w:p>
      <w:pPr>
        <w:pStyle w:val="BodyText"/>
      </w:pPr>
    </w:p>
    <w:p>
      <w:pPr>
        <w:spacing w:before="157" w:line="220" w:lineRule="auto"/>
        <w:ind w:left="1326"/>
        <w:outlineLvl w:val="0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8"/>
          <w:sz w:val="48"/>
          <w:szCs w:val="48"/>
        </w:rPr>
        <w:t>四、垃圾焚烧锅炉(压力等级)</w:t>
      </w:r>
    </w:p>
    <w:p>
      <w:pPr>
        <w:pStyle w:val="BodyText"/>
        <w:spacing w:line="269" w:lineRule="auto"/>
      </w:pPr>
    </w:p>
    <w:p>
      <w:pPr>
        <w:spacing w:before="157" w:line="930" w:lineRule="exact"/>
        <w:ind w:left="127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7"/>
          <w:position w:val="33"/>
          <w:sz w:val="48"/>
          <w:szCs w:val="48"/>
        </w:rPr>
        <w:t>五、生活垃圾焚烧过程的二噁英类工程控制措</w:t>
      </w:r>
      <w:r>
        <w:rPr>
          <w:rFonts w:ascii="黑体" w:eastAsia="黑体" w:hAnsi="黑体" w:cs="黑体"/>
          <w:b/>
          <w:bCs/>
          <w:spacing w:val="-8"/>
          <w:position w:val="33"/>
          <w:sz w:val="48"/>
          <w:szCs w:val="48"/>
        </w:rPr>
        <w:t>施研究</w:t>
      </w:r>
    </w:p>
    <w:p>
      <w:pPr>
        <w:spacing w:line="220" w:lineRule="auto"/>
        <w:ind w:left="127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9"/>
          <w:sz w:val="48"/>
          <w:szCs w:val="48"/>
        </w:rPr>
        <w:t>六、生活垃圾高效清洁焚烧基础</w:t>
      </w:r>
    </w:p>
    <w:p>
      <w:pPr>
        <w:pStyle w:val="BodyText"/>
        <w:spacing w:line="410" w:lineRule="auto"/>
      </w:pPr>
    </w:p>
    <w:p>
      <w:pPr>
        <w:spacing w:before="92" w:line="183" w:lineRule="auto"/>
        <w:ind w:left="1372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color w:val="297CA6"/>
          <w:sz w:val="28"/>
          <w:szCs w:val="28"/>
        </w:rPr>
        <w:t>3</w:t>
      </w:r>
    </w:p>
    <w:p>
      <w:pPr>
        <w:spacing w:line="183" w:lineRule="auto"/>
        <w:rPr>
          <w:rFonts w:ascii="宋体" w:eastAsia="宋体" w:hAnsi="宋体" w:cs="宋体"/>
          <w:sz w:val="28"/>
          <w:szCs w:val="28"/>
        </w:rPr>
        <w:sectPr>
          <w:headerReference w:type="default" r:id="rId9"/>
          <w:pgSz w:w="16840" w:h="11910"/>
          <w:pgMar w:top="400" w:right="1319" w:bottom="0" w:left="1410" w:header="0" w:footer="0" w:gutter="0"/>
          <w:pgNumType w:start="3"/>
          <w:cols w:space="708"/>
        </w:sectPr>
      </w:pPr>
    </w:p>
    <w:p>
      <w:pPr>
        <w:pStyle w:val="BodyText"/>
        <w:spacing w:line="241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1040" w:lineRule="exact"/>
      </w:pPr>
      <w:r>
        <w:rPr>
          <w:position w:val="-20"/>
        </w:rPr>
        <w:pict>
          <v:shape id="文本框 8" o:spid="_x0000_i1033" type="#_x0000_t202" style="width:709.5pt;height:52pt;mso-position-horizontal-relative:char;mso-position-vertical-relative:line" filled="t" fillcolor="#74929f" stroked="f">
            <o:lock v:ext="edit" aspectratio="f"/>
            <v:textbox inset="0,0,0,0">
              <w:txbxContent>
                <w:p>
                  <w:pPr>
                    <w:spacing w:line="257" w:lineRule="auto"/>
                  </w:pPr>
                </w:p>
                <w:p>
                  <w:pPr>
                    <w:spacing w:before="166" w:line="220" w:lineRule="auto"/>
                    <w:ind w:left="440"/>
                    <w:rPr>
                      <w:rFonts w:ascii="宋体" w:eastAsia="宋体" w:hAnsi="宋体" w:cs="宋体"/>
                      <w:sz w:val="51"/>
                      <w:szCs w:val="51"/>
                    </w:rPr>
                  </w:pPr>
                  <w:r>
                    <w:rPr>
                      <w:rFonts w:ascii="黑体" w:eastAsia="黑体" w:hAnsi="黑体" w:cs="黑体"/>
                      <w:color w:val="FFFFFF"/>
                      <w:spacing w:val="48"/>
                      <w:sz w:val="51"/>
                      <w:szCs w:val="51"/>
                    </w:rPr>
                    <w:t>一、垃圾焚烧的工程基础</w:t>
                  </w:r>
                  <w:r>
                    <w:rPr>
                      <w:rFonts w:ascii="宋体" w:eastAsia="宋体" w:hAnsi="宋体" w:cs="宋体"/>
                      <w:color w:val="FFFF00"/>
                      <w:spacing w:val="-35"/>
                      <w:w w:val="92"/>
                      <w:sz w:val="51"/>
                      <w:szCs w:val="51"/>
                    </w:rPr>
                    <w:t>--生活垃圾特性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BodyText"/>
        <w:spacing w:line="249" w:lineRule="auto"/>
      </w:pPr>
    </w:p>
    <w:p>
      <w:pPr>
        <w:spacing w:before="104" w:line="220" w:lineRule="auto"/>
        <w:ind w:left="464"/>
        <w:outlineLvl w:val="1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-12"/>
          <w:sz w:val="32"/>
          <w:szCs w:val="32"/>
        </w:rPr>
        <w:t>1.1理解生活垃圾的动态特征</w:t>
      </w:r>
    </w:p>
    <w:p>
      <w:pPr>
        <w:spacing w:before="345" w:line="280" w:lineRule="auto"/>
        <w:ind w:left="459" w:right="368" w:firstLine="4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-6"/>
          <w:sz w:val="32"/>
          <w:szCs w:val="32"/>
        </w:rPr>
        <w:t>生活垃圾具有绝对不稳定的理化特性，又具有在一定范围、</w:t>
      </w:r>
      <w:r>
        <w:rPr>
          <w:rFonts w:ascii="黑体" w:eastAsia="黑体" w:hAnsi="黑体" w:cs="黑体"/>
          <w:spacing w:val="-6"/>
          <w:sz w:val="32"/>
          <w:szCs w:val="32"/>
        </w:rPr>
        <w:t xml:space="preserve"> </w:t>
      </w:r>
      <w:r>
        <w:rPr>
          <w:rFonts w:ascii="黑体" w:eastAsia="黑体" w:hAnsi="黑体" w:cs="黑体"/>
          <w:b/>
          <w:bCs/>
          <w:spacing w:val="-6"/>
          <w:sz w:val="32"/>
          <w:szCs w:val="32"/>
        </w:rPr>
        <w:t>一定时间段内相对稳定变化的特征</w:t>
      </w:r>
      <w:r>
        <w:rPr>
          <w:rFonts w:ascii="黑体" w:eastAsia="黑体" w:hAnsi="黑体" w:cs="黑体"/>
          <w:spacing w:val="4"/>
          <w:sz w:val="32"/>
          <w:szCs w:val="32"/>
        </w:rPr>
        <w:t xml:space="preserve">  </w:t>
      </w:r>
      <w:r>
        <w:rPr>
          <w:rFonts w:ascii="宋体" w:eastAsia="宋体" w:hAnsi="宋体" w:cs="宋体"/>
          <w:spacing w:val="-1"/>
          <w:sz w:val="26"/>
          <w:szCs w:val="26"/>
        </w:rPr>
        <w:t>,</w:t>
      </w:r>
      <w:r>
        <w:rPr>
          <w:rFonts w:ascii="宋体" w:eastAsia="宋体" w:hAnsi="宋体" w:cs="宋体"/>
          <w:spacing w:val="44"/>
          <w:sz w:val="26"/>
          <w:szCs w:val="26"/>
        </w:rPr>
        <w:t xml:space="preserve">   </w:t>
      </w:r>
      <w:r>
        <w:rPr>
          <w:rFonts w:ascii="黑体" w:eastAsia="黑体" w:hAnsi="黑体" w:cs="黑体"/>
          <w:b/>
          <w:bCs/>
          <w:spacing w:val="-1"/>
          <w:sz w:val="32"/>
          <w:szCs w:val="32"/>
        </w:rPr>
        <w:t>从而使有组织的垃圾焚烧成为可能。在垃圾物理成分相对稳定条件下，当前影响焚烧</w:t>
      </w:r>
      <w:r>
        <w:rPr>
          <w:rFonts w:ascii="黑体" w:eastAsia="黑体" w:hAnsi="黑体" w:cs="黑体"/>
          <w:spacing w:val="-1"/>
          <w:sz w:val="32"/>
          <w:szCs w:val="32"/>
        </w:rPr>
        <w:t>垃圾</w:t>
      </w:r>
      <w:r>
        <w:rPr>
          <w:rFonts w:ascii="黑体" w:eastAsia="黑体" w:hAnsi="黑体" w:cs="黑体"/>
          <w:spacing w:val="1"/>
          <w:sz w:val="32"/>
          <w:szCs w:val="32"/>
        </w:rPr>
        <w:t xml:space="preserve">  </w:t>
      </w:r>
      <w:r>
        <w:rPr>
          <w:rFonts w:ascii="黑体" w:eastAsia="黑体" w:hAnsi="黑体" w:cs="黑体"/>
          <w:b/>
          <w:bCs/>
          <w:spacing w:val="3"/>
          <w:sz w:val="32"/>
          <w:szCs w:val="32"/>
        </w:rPr>
        <w:t>热值的基本因素是水分、无机成分。垃圾分类</w:t>
      </w:r>
      <w:r>
        <w:rPr>
          <w:rFonts w:ascii="黑体" w:eastAsia="黑体" w:hAnsi="黑体" w:cs="黑体"/>
          <w:b/>
          <w:bCs/>
          <w:spacing w:val="2"/>
          <w:sz w:val="32"/>
          <w:szCs w:val="32"/>
        </w:rPr>
        <w:t>对优化焚烧垃圾特征有明显的正面影响，但影响</w:t>
      </w:r>
    </w:p>
    <w:p>
      <w:pPr>
        <w:spacing w:line="221" w:lineRule="auto"/>
        <w:ind w:left="464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7"/>
          <w:sz w:val="32"/>
          <w:szCs w:val="32"/>
        </w:rPr>
        <w:t>程度尚待积累经验。</w:t>
      </w:r>
    </w:p>
    <w:p>
      <w:pPr>
        <w:pStyle w:val="BodyText"/>
        <w:spacing w:line="324" w:lineRule="auto"/>
      </w:pPr>
    </w:p>
    <w:p>
      <w:pPr>
        <w:spacing w:before="104" w:line="245" w:lineRule="auto"/>
        <w:ind w:left="464" w:right="525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color w:val="C10000"/>
          <w:spacing w:val="-2"/>
          <w:sz w:val="32"/>
          <w:szCs w:val="32"/>
        </w:rPr>
        <w:t>影响垃圾焚烧过程的因素十分复杂，用数学模型在设定边界条件下，设计出某一点的状态参数</w:t>
      </w:r>
      <w:r>
        <w:rPr>
          <w:rFonts w:ascii="黑体" w:eastAsia="黑体" w:hAnsi="黑体" w:cs="黑体"/>
          <w:color w:val="C10000"/>
          <w:spacing w:val="-2"/>
          <w:sz w:val="32"/>
          <w:szCs w:val="32"/>
        </w:rPr>
        <w:t xml:space="preserve"> </w:t>
      </w:r>
      <w:r>
        <w:rPr>
          <w:rFonts w:ascii="黑体" w:eastAsia="黑体" w:hAnsi="黑体" w:cs="黑体"/>
          <w:b/>
          <w:bCs/>
          <w:color w:val="C10000"/>
          <w:spacing w:val="-4"/>
          <w:sz w:val="32"/>
          <w:szCs w:val="32"/>
        </w:rPr>
        <w:t>是运行控制的基准参数，可能代表热力过程基本状态但不</w:t>
      </w:r>
      <w:r>
        <w:rPr>
          <w:rFonts w:ascii="黑体" w:eastAsia="黑体" w:hAnsi="黑体" w:cs="黑体"/>
          <w:b/>
          <w:bCs/>
          <w:color w:val="C10000"/>
          <w:spacing w:val="-5"/>
          <w:sz w:val="32"/>
          <w:szCs w:val="32"/>
        </w:rPr>
        <w:t>是实际状态。从</w:t>
      </w:r>
      <w:r>
        <w:rPr>
          <w:rFonts w:ascii="黑体" w:eastAsia="黑体" w:hAnsi="黑体" w:cs="黑体"/>
          <w:b/>
          <w:bCs/>
          <w:color w:val="C10000"/>
          <w:spacing w:val="-5"/>
          <w:sz w:val="32"/>
          <w:szCs w:val="32"/>
          <w:u w:val="single" w:color="auto"/>
        </w:rPr>
        <w:t>监盘</w:t>
      </w:r>
      <w:r>
        <w:rPr>
          <w:rFonts w:ascii="黑体" w:eastAsia="黑体" w:hAnsi="黑体" w:cs="黑体"/>
          <w:b/>
          <w:bCs/>
          <w:color w:val="C10000"/>
          <w:spacing w:val="-5"/>
          <w:sz w:val="32"/>
          <w:szCs w:val="32"/>
        </w:rPr>
        <w:t>的运行状态看，</w:t>
      </w:r>
    </w:p>
    <w:p>
      <w:pPr>
        <w:spacing w:before="110" w:line="261" w:lineRule="auto"/>
        <w:ind w:left="464" w:right="377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color w:val="C10000"/>
          <w:spacing w:val="-1"/>
          <w:sz w:val="32"/>
          <w:szCs w:val="32"/>
        </w:rPr>
        <w:t>由于边界条件的差异性与多样性，任何温度、压力、流量、烟气污染物浓度等参数，都是在一</w:t>
      </w:r>
      <w:r>
        <w:rPr>
          <w:rFonts w:ascii="黑体" w:eastAsia="黑体" w:hAnsi="黑体" w:cs="黑体"/>
          <w:color w:val="C10000"/>
          <w:sz w:val="32"/>
          <w:szCs w:val="32"/>
        </w:rPr>
        <w:t xml:space="preserve">  </w:t>
      </w:r>
      <w:r>
        <w:rPr>
          <w:rFonts w:ascii="黑体" w:eastAsia="黑体" w:hAnsi="黑体" w:cs="黑体"/>
          <w:b/>
          <w:bCs/>
          <w:color w:val="C10000"/>
          <w:sz w:val="32"/>
          <w:szCs w:val="32"/>
        </w:rPr>
        <w:t>定变化范围内波动状态下运行。由此，在垃圾焚烧运行管理中，要按相关规范规定的基准参数</w:t>
      </w:r>
      <w:r>
        <w:rPr>
          <w:rFonts w:ascii="黑体" w:eastAsia="黑体" w:hAnsi="黑体" w:cs="黑体"/>
          <w:color w:val="C10000"/>
          <w:spacing w:val="5"/>
          <w:sz w:val="32"/>
          <w:szCs w:val="32"/>
        </w:rPr>
        <w:t xml:space="preserve">  </w:t>
      </w:r>
      <w:r>
        <w:rPr>
          <w:rFonts w:ascii="黑体" w:eastAsia="黑体" w:hAnsi="黑体" w:cs="黑体"/>
          <w:b/>
          <w:bCs/>
          <w:color w:val="C10000"/>
          <w:spacing w:val="2"/>
          <w:sz w:val="32"/>
          <w:szCs w:val="32"/>
        </w:rPr>
        <w:t>及允许变化范围进行监控。只要在可控的状态下运行，</w:t>
      </w:r>
      <w:r>
        <w:rPr>
          <w:rFonts w:ascii="黑体" w:eastAsia="黑体" w:hAnsi="黑体" w:cs="黑体"/>
          <w:b/>
          <w:bCs/>
          <w:color w:val="C10000"/>
          <w:spacing w:val="1"/>
          <w:sz w:val="32"/>
          <w:szCs w:val="32"/>
        </w:rPr>
        <w:t>就应是处于正常运行状态。只是从规范</w:t>
      </w:r>
      <w:r>
        <w:rPr>
          <w:rFonts w:ascii="黑体" w:eastAsia="黑体" w:hAnsi="黑体" w:cs="黑体"/>
          <w:color w:val="C10000"/>
          <w:spacing w:val="1"/>
          <w:sz w:val="32"/>
          <w:szCs w:val="32"/>
        </w:rPr>
        <w:t xml:space="preserve"> </w:t>
      </w:r>
      <w:r>
        <w:rPr>
          <w:rFonts w:ascii="黑体" w:eastAsia="黑体" w:hAnsi="黑体" w:cs="黑体"/>
          <w:b/>
          <w:bCs/>
          <w:color w:val="C10000"/>
          <w:spacing w:val="2"/>
          <w:sz w:val="32"/>
          <w:szCs w:val="32"/>
        </w:rPr>
        <w:t>化运行管理要求，控制运行参数波动幅度在最佳可用范围。这也是在运</w:t>
      </w:r>
      <w:r>
        <w:rPr>
          <w:rFonts w:ascii="黑体" w:eastAsia="黑体" w:hAnsi="黑体" w:cs="黑体"/>
          <w:b/>
          <w:bCs/>
          <w:color w:val="C10000"/>
          <w:spacing w:val="1"/>
          <w:sz w:val="32"/>
          <w:szCs w:val="32"/>
        </w:rPr>
        <w:t>行管理中的工程思维方</w:t>
      </w:r>
    </w:p>
    <w:p>
      <w:pPr>
        <w:spacing w:before="125" w:line="198" w:lineRule="auto"/>
        <w:ind w:left="464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color w:val="C10000"/>
          <w:spacing w:val="2"/>
          <w:sz w:val="32"/>
          <w:szCs w:val="32"/>
        </w:rPr>
        <w:t>法。不可将理想化工况作为强制性要求。</w:t>
      </w:r>
    </w:p>
    <w:p>
      <w:pPr>
        <w:spacing w:line="138" w:lineRule="exact"/>
        <w:ind w:left="13863"/>
        <w:rPr>
          <w:rFonts w:ascii="LiSu" w:eastAsia="LiSu" w:hAnsi="LiSu" w:cs="LiSu"/>
          <w:sz w:val="10"/>
          <w:szCs w:val="10"/>
        </w:rPr>
      </w:pPr>
      <w:r>
        <w:rPr>
          <w:rFonts w:ascii="LiSu" w:eastAsia="LiSu" w:hAnsi="LiSu" w:cs="LiSu"/>
          <w:color w:val="26729F"/>
          <w:spacing w:val="70"/>
          <w:w w:val="175"/>
          <w:position w:val="1"/>
          <w:sz w:val="10"/>
          <w:szCs w:val="10"/>
        </w:rPr>
        <w:t>4</w:t>
      </w:r>
    </w:p>
    <w:p>
      <w:pPr>
        <w:spacing w:line="138" w:lineRule="exact"/>
        <w:rPr>
          <w:rFonts w:ascii="LiSu" w:eastAsia="LiSu" w:hAnsi="LiSu" w:cs="LiSu"/>
          <w:sz w:val="10"/>
          <w:szCs w:val="10"/>
        </w:rPr>
        <w:sectPr>
          <w:headerReference w:type="default" r:id="rId10"/>
          <w:pgSz w:w="16840" w:h="11910"/>
          <w:pgMar w:top="400" w:right="1350" w:bottom="0" w:left="1300" w:header="0" w:footer="0" w:gutter="0"/>
          <w:pgNumType w:start="4"/>
          <w:cols w:space="708"/>
        </w:sectPr>
      </w:pPr>
    </w:p>
    <w:p>
      <w:pPr>
        <w:pStyle w:val="BodyText"/>
        <w:spacing w:line="241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1040" w:lineRule="exact"/>
      </w:pPr>
      <w:r>
        <w:rPr>
          <w:position w:val="-20"/>
        </w:rPr>
        <w:pict>
          <v:group id="组合 9" o:spid="_x0000_i1034" style="width:711.05pt;height:52pt;mso-position-horizontal-relative:char;mso-position-vertical-relative:line" coordorigin="0,0" coordsize="14220,1040">
            <v:shape id="图片 10" o:spid="_x0000_s1035" type="#_x0000_t75" style="width:14220;height:1040;position:absolute" filled="f" stroked="f">
              <v:imagedata r:id="rId11" o:title=""/>
              <v:path o:extrusionok="f"/>
              <o:lock v:ext="edit" aspectratio="t"/>
            </v:shape>
            <v:shape id="文本框 11" o:spid="_x0000_s1036" type="#_x0000_t202" style="width:14260;height:1080;left:-20;position:absolute;top:-20" filled="f" stroked="f">
              <o:lock v:ext="edit" aspectratio="f"/>
              <v:textbox inset="0,0,0,0">
                <w:txbxContent>
                  <w:p>
                    <w:pPr>
                      <w:spacing w:line="277" w:lineRule="auto"/>
                    </w:pPr>
                  </w:p>
                  <w:p>
                    <w:pPr>
                      <w:spacing w:before="166" w:line="220" w:lineRule="auto"/>
                      <w:ind w:left="480"/>
                      <w:rPr>
                        <w:rFonts w:ascii="宋体" w:eastAsia="宋体" w:hAnsi="宋体" w:cs="宋体"/>
                        <w:sz w:val="51"/>
                        <w:szCs w:val="51"/>
                      </w:rPr>
                    </w:pPr>
                    <w:r>
                      <w:rPr>
                        <w:rFonts w:ascii="黑体" w:eastAsia="黑体" w:hAnsi="黑体" w:cs="黑体"/>
                        <w:color w:val="FFFFFF"/>
                        <w:spacing w:val="48"/>
                        <w:sz w:val="51"/>
                        <w:szCs w:val="51"/>
                      </w:rPr>
                      <w:t>一、垃圾焚烧的工程基础</w:t>
                    </w:r>
                    <w:r>
                      <w:rPr>
                        <w:rFonts w:ascii="宋体" w:eastAsia="宋体" w:hAnsi="宋体" w:cs="宋体"/>
                        <w:color w:val="FFFF00"/>
                        <w:spacing w:val="-35"/>
                        <w:w w:val="92"/>
                        <w:sz w:val="51"/>
                        <w:szCs w:val="51"/>
                      </w:rPr>
                      <w:t>--垃圾焚烧特性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259" w:lineRule="auto"/>
      </w:pPr>
    </w:p>
    <w:p>
      <w:pPr>
        <w:spacing w:before="104" w:line="220" w:lineRule="auto"/>
        <w:ind w:left="424"/>
        <w:outlineLvl w:val="1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-13"/>
          <w:sz w:val="32"/>
          <w:szCs w:val="32"/>
        </w:rPr>
        <w:t>1.2认识垃圾焚烧的特定规律</w:t>
      </w:r>
    </w:p>
    <w:p>
      <w:pPr>
        <w:pStyle w:val="BodyText"/>
        <w:spacing w:line="273" w:lineRule="auto"/>
      </w:pPr>
    </w:p>
    <w:p>
      <w:pPr>
        <w:spacing w:before="104" w:line="241" w:lineRule="auto"/>
        <w:ind w:left="424" w:right="558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-5"/>
          <w:sz w:val="32"/>
          <w:szCs w:val="32"/>
        </w:rPr>
        <w:t>燃烧定义为发光放热现象。基于燃烧视角的生活垃圾焚烧是气固两相燃烧过程：①气相燃烧-以</w:t>
      </w:r>
      <w:r>
        <w:rPr>
          <w:rFonts w:ascii="黑体" w:eastAsia="黑体" w:hAnsi="黑体" w:cs="黑体"/>
          <w:spacing w:val="-5"/>
          <w:sz w:val="32"/>
          <w:szCs w:val="32"/>
        </w:rPr>
        <w:t xml:space="preserve"> </w:t>
      </w:r>
      <w:r>
        <w:rPr>
          <w:rFonts w:ascii="黑体" w:eastAsia="黑体" w:hAnsi="黑体" w:cs="黑体"/>
          <w:b/>
          <w:bCs/>
          <w:spacing w:val="-4"/>
          <w:sz w:val="32"/>
          <w:szCs w:val="32"/>
        </w:rPr>
        <w:t>挥发分燃烧为主的分解燃烧，表现为火焰燃烧；</w:t>
      </w:r>
      <w:r>
        <w:rPr>
          <w:rFonts w:ascii="黑体" w:eastAsia="黑体" w:hAnsi="黑体" w:cs="黑体"/>
          <w:b/>
          <w:bCs/>
          <w:spacing w:val="-5"/>
          <w:sz w:val="32"/>
          <w:szCs w:val="32"/>
        </w:rPr>
        <w:t>②固相燃烧-以</w:t>
      </w:r>
      <w:r>
        <w:rPr>
          <w:rFonts w:ascii="黑体" w:eastAsia="黑体" w:hAnsi="黑体" w:cs="黑体"/>
          <w:spacing w:val="-5"/>
          <w:sz w:val="32"/>
          <w:szCs w:val="32"/>
        </w:rPr>
        <w:t>固定碳燃烧为辅的表面燃烧。</w:t>
      </w:r>
    </w:p>
    <w:p>
      <w:pPr>
        <w:spacing w:before="204"/>
      </w:pPr>
    </w:p>
    <w:p>
      <w:pPr>
        <w:sectPr>
          <w:headerReference w:type="default" r:id="rId12"/>
          <w:pgSz w:w="16840" w:h="11910"/>
          <w:pgMar w:top="400" w:right="1339" w:bottom="0" w:left="1280" w:header="0" w:footer="0" w:gutter="0"/>
          <w:pgNumType w:start="5"/>
          <w:cols w:space="708"/>
        </w:sectPr>
      </w:pPr>
    </w:p>
    <w:p>
      <w:pPr>
        <w:spacing w:line="242" w:lineRule="auto"/>
        <w:ind w:left="464" w:right="98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color w:val="001EB8"/>
          <w:spacing w:val="-3"/>
          <w:sz w:val="32"/>
          <w:szCs w:val="32"/>
        </w:rPr>
        <w:t>分解燃烧是由热分解产生的挥发分在离开可燃物表面后，与</w:t>
      </w:r>
      <w:r>
        <w:rPr>
          <w:rFonts w:ascii="宋体" w:eastAsia="宋体" w:hAnsi="宋体" w:cs="宋体"/>
          <w:color w:val="001EB8"/>
          <w:spacing w:val="6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color w:val="001EB8"/>
          <w:spacing w:val="-4"/>
          <w:sz w:val="32"/>
          <w:szCs w:val="32"/>
        </w:rPr>
        <w:t>氧进行气相燃烧化学反应的现象。从对大量的生活垃圾可</w:t>
      </w:r>
    </w:p>
    <w:p>
      <w:pPr>
        <w:spacing w:before="80" w:line="242" w:lineRule="auto"/>
        <w:ind w:left="464" w:right="107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color w:val="001EB8"/>
          <w:spacing w:val="-2"/>
          <w:sz w:val="32"/>
          <w:szCs w:val="32"/>
        </w:rPr>
        <w:t>燃</w:t>
      </w:r>
      <w:r>
        <w:rPr>
          <w:rFonts w:ascii="宋体" w:eastAsia="宋体" w:hAnsi="宋体" w:cs="宋体"/>
          <w:color w:val="001EB8"/>
          <w:spacing w:val="134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color w:val="001EB8"/>
          <w:spacing w:val="-2"/>
          <w:sz w:val="32"/>
          <w:szCs w:val="32"/>
        </w:rPr>
        <w:t>物试样失重与工业分析可知，其热分解温</w:t>
      </w:r>
      <w:r>
        <w:rPr>
          <w:rFonts w:ascii="宋体" w:eastAsia="宋体" w:hAnsi="宋体" w:cs="宋体"/>
          <w:b/>
          <w:bCs/>
          <w:color w:val="001EB8"/>
          <w:spacing w:val="-3"/>
          <w:sz w:val="32"/>
          <w:szCs w:val="32"/>
        </w:rPr>
        <w:t>度较低，生活</w:t>
      </w:r>
      <w:r>
        <w:rPr>
          <w:rFonts w:ascii="宋体" w:eastAsia="宋体" w:hAnsi="宋体" w:cs="宋体"/>
          <w:color w:val="001EB8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color w:val="001EB8"/>
          <w:spacing w:val="-3"/>
          <w:sz w:val="32"/>
          <w:szCs w:val="32"/>
        </w:rPr>
        <w:t>垃圾</w:t>
      </w:r>
      <w:r>
        <w:rPr>
          <w:rFonts w:ascii="宋体" w:eastAsia="宋体" w:hAnsi="宋体" w:cs="宋体"/>
          <w:color w:val="001EB8"/>
          <w:spacing w:val="158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color w:val="001EB8"/>
          <w:spacing w:val="-3"/>
          <w:sz w:val="32"/>
          <w:szCs w:val="32"/>
        </w:rPr>
        <w:t>可燃物中的挥发分所占重量比高，是以分解燃烧为主</w:t>
      </w: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spacing w:before="105" w:line="242" w:lineRule="auto"/>
        <w:ind w:left="464" w:right="79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color w:val="001FBD"/>
          <w:spacing w:val="-2"/>
          <w:sz w:val="32"/>
          <w:szCs w:val="32"/>
        </w:rPr>
        <w:t>挥发分随物质碳化程度的加深而减少，填埋垃圾的时间越长</w:t>
      </w:r>
      <w:r>
        <w:rPr>
          <w:rFonts w:ascii="宋体" w:eastAsia="宋体" w:hAnsi="宋体" w:cs="宋体"/>
          <w:color w:val="001FBD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color w:val="001FBD"/>
          <w:spacing w:val="-3"/>
          <w:sz w:val="32"/>
          <w:szCs w:val="32"/>
        </w:rPr>
        <w:t>垃圾挥发分越少，既新鲜垃圾的挥发分最高。实验条件下</w:t>
      </w:r>
    </w:p>
    <w:p>
      <w:pPr>
        <w:spacing w:before="75" w:line="241" w:lineRule="auto"/>
        <w:ind w:left="464" w:right="110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color w:val="001FBD"/>
          <w:spacing w:val="2"/>
          <w:sz w:val="32"/>
          <w:szCs w:val="32"/>
        </w:rPr>
        <w:t>600℃时挥发分析出完毕，其中塑料析出99.94%,竹木</w:t>
      </w:r>
      <w:r>
        <w:rPr>
          <w:rFonts w:ascii="宋体" w:eastAsia="宋体" w:hAnsi="宋体" w:cs="宋体"/>
          <w:b/>
          <w:bCs/>
          <w:color w:val="001FBD"/>
          <w:spacing w:val="1"/>
          <w:sz w:val="32"/>
          <w:szCs w:val="32"/>
        </w:rPr>
        <w:t>/纸类</w:t>
      </w:r>
      <w:r>
        <w:rPr>
          <w:rFonts w:ascii="宋体" w:eastAsia="宋体" w:hAnsi="宋体" w:cs="宋体"/>
          <w:color w:val="001FBD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color w:val="001FBD"/>
          <w:spacing w:val="30"/>
          <w:sz w:val="32"/>
          <w:szCs w:val="32"/>
        </w:rPr>
        <w:t>为80%,橡胶为55%。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41" w:line="3950" w:lineRule="exact"/>
      </w:pPr>
      <w:r>
        <w:rPr>
          <w:position w:val="-79"/>
        </w:rPr>
        <w:pict>
          <v:shape id="IM 6" o:spid="_x0000_i1037" type="#_x0000_t75" style="width:237.51pt;height:197.51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spacing w:before="274" w:line="144" w:lineRule="exact"/>
        <w:ind w:left="4869"/>
        <w:rPr>
          <w:rFonts w:ascii="宋体" w:eastAsia="宋体" w:hAnsi="宋体" w:cs="宋体"/>
        </w:rPr>
      </w:pPr>
      <w:r>
        <w:rPr>
          <w:rFonts w:ascii="宋体" w:eastAsia="宋体" w:hAnsi="宋体" w:cs="宋体"/>
          <w:color w:val="2276A0"/>
          <w:position w:val="-3"/>
          <w:sz w:val="21"/>
          <w:szCs w:val="21"/>
        </w:rPr>
        <w:t>5</w:t>
      </w:r>
    </w:p>
    <w:p>
      <w:pPr>
        <w:spacing w:line="144" w:lineRule="exact"/>
        <w:rPr>
          <w:rFonts w:ascii="宋体" w:eastAsia="宋体" w:hAnsi="宋体" w:cs="宋体"/>
        </w:rPr>
        <w:sectPr>
          <w:headerReference w:type="default" r:id="rId14"/>
          <w:type w:val="continuous"/>
          <w:pgSz w:w="16840" w:h="11910"/>
          <w:pgMar w:top="400" w:right="1339" w:bottom="0" w:left="1280" w:header="0" w:footer="0" w:gutter="0"/>
          <w:pgNumType w:start="6"/>
          <w:cols w:num="2" w:space="100" w:equalWidth="0">
            <w:col w:w="8900" w:space="100"/>
            <w:col w:w="5221" w:space="0"/>
          </w:cols>
        </w:sectPr>
      </w:pPr>
    </w:p>
    <w:p>
      <w:pPr>
        <w:pStyle w:val="BodyText"/>
        <w:spacing w:line="241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line="1040" w:lineRule="exact"/>
      </w:pPr>
      <w:r>
        <w:rPr>
          <w:position w:val="-20"/>
        </w:rPr>
        <w:pict>
          <v:shape id="文本框 12" o:spid="_x0000_i1038" type="#_x0000_t202" style="width:710pt;height:52pt;mso-position-horizontal-relative:char;mso-position-vertical-relative:line" filled="t" fillcolor="#74929f" stroked="f">
            <o:lock v:ext="edit" aspectratio="f"/>
            <v:textbox inset="0,0,0,0">
              <w:txbxContent>
                <w:p>
                  <w:pPr>
                    <w:spacing w:before="405" w:line="220" w:lineRule="auto"/>
                    <w:ind w:left="419"/>
                    <w:rPr>
                      <w:rFonts w:ascii="宋体" w:eastAsia="宋体" w:hAnsi="宋体" w:cs="宋体"/>
                      <w:sz w:val="53"/>
                      <w:szCs w:val="53"/>
                    </w:rPr>
                  </w:pPr>
                  <w:r>
                    <w:rPr>
                      <w:rFonts w:ascii="黑体" w:eastAsia="黑体" w:hAnsi="黑体" w:cs="黑体"/>
                      <w:color w:val="FFFFFF"/>
                      <w:spacing w:val="29"/>
                      <w:sz w:val="53"/>
                      <w:szCs w:val="53"/>
                    </w:rPr>
                    <w:t>一、垃圾焚烧的工程基础</w:t>
                  </w:r>
                  <w:r>
                    <w:rPr>
                      <w:rFonts w:ascii="黑体" w:eastAsia="黑体" w:hAnsi="黑体" w:cs="黑体"/>
                      <w:color w:val="FDFD00"/>
                      <w:spacing w:val="-25"/>
                      <w:w w:val="83"/>
                      <w:sz w:val="53"/>
                      <w:szCs w:val="53"/>
                    </w:rPr>
                    <w:t>——垃</w:t>
                  </w:r>
                  <w:r>
                    <w:rPr>
                      <w:rFonts w:ascii="宋体" w:eastAsia="宋体" w:hAnsi="宋体" w:cs="宋体"/>
                      <w:color w:val="FDFD00"/>
                      <w:spacing w:val="-25"/>
                      <w:w w:val="83"/>
                      <w:sz w:val="53"/>
                      <w:szCs w:val="53"/>
                    </w:rPr>
                    <w:t>圾焚烧特性</w:t>
                  </w:r>
                </w:p>
              </w:txbxContent>
            </v:textbox>
            <w10:wrap type="none"/>
            <w10:anchorlock/>
          </v:shape>
        </w:pict>
      </w:r>
    </w:p>
    <w:p>
      <w:pPr>
        <w:spacing w:before="325" w:line="221" w:lineRule="auto"/>
        <w:ind w:left="424"/>
        <w:outlineLvl w:val="1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-11"/>
          <w:sz w:val="32"/>
          <w:szCs w:val="32"/>
        </w:rPr>
        <w:t>1.3基于误差理论的工程分析基础</w:t>
      </w:r>
    </w:p>
    <w:p>
      <w:pPr>
        <w:pStyle w:val="BodyText"/>
        <w:spacing w:line="248" w:lineRule="auto"/>
      </w:pPr>
    </w:p>
    <w:p>
      <w:pPr>
        <w:spacing w:before="104" w:line="248" w:lineRule="auto"/>
        <w:ind w:left="1409" w:right="446" w:hanging="990"/>
        <w:rPr>
          <w:rFonts w:ascii="宋体" w:eastAsia="宋体" w:hAnsi="宋体" w:cs="宋体"/>
          <w:sz w:val="32"/>
          <w:szCs w:val="32"/>
        </w:rPr>
      </w:pPr>
      <w:r>
        <w:rPr>
          <w:rFonts w:ascii="黑体" w:eastAsia="黑体" w:hAnsi="黑体" w:cs="黑体"/>
          <w:color w:val="C00000"/>
          <w:spacing w:val="1"/>
          <w:sz w:val="32"/>
          <w:szCs w:val="32"/>
        </w:rPr>
        <w:t>参量</w:t>
      </w:r>
      <w:r>
        <w:rPr>
          <w:rFonts w:ascii="宋体" w:eastAsia="宋体" w:hAnsi="宋体" w:cs="宋体"/>
          <w:color w:val="C00000"/>
          <w:spacing w:val="1"/>
          <w:sz w:val="32"/>
          <w:szCs w:val="32"/>
        </w:rPr>
        <w:t>：</w:t>
      </w:r>
      <w:r>
        <w:rPr>
          <w:rFonts w:ascii="宋体" w:eastAsia="宋体" w:hAnsi="宋体" w:cs="宋体"/>
          <w:spacing w:val="1"/>
          <w:sz w:val="32"/>
          <w:szCs w:val="32"/>
        </w:rPr>
        <w:t>焚烧垃圾特性采用测定方法取得干基/湿基</w:t>
      </w:r>
      <w:r>
        <w:rPr>
          <w:rFonts w:ascii="宋体" w:eastAsia="宋体" w:hAnsi="宋体" w:cs="宋体"/>
          <w:sz w:val="32"/>
          <w:szCs w:val="32"/>
        </w:rPr>
        <w:t>物理成分、含水率、元素分析</w:t>
      </w:r>
      <w:r>
        <w:rPr>
          <w:rFonts w:ascii="宋体" w:eastAsia="宋体" w:hAnsi="宋体" w:cs="宋体"/>
          <w:sz w:val="32"/>
          <w:szCs w:val="32"/>
          <w:u w:val="single" w:color="auto"/>
        </w:rPr>
        <w:t xml:space="preserve">    </w:t>
      </w:r>
      <w:r>
        <w:rPr>
          <w:rFonts w:ascii="宋体" w:eastAsia="宋体" w:hAnsi="宋体" w:cs="宋体"/>
          <w:spacing w:val="-130"/>
          <w:sz w:val="32"/>
          <w:szCs w:val="32"/>
        </w:rPr>
        <w:t xml:space="preserve"> </w:t>
      </w:r>
      <w:r>
        <w:rPr>
          <w:rFonts w:ascii="宋体" w:eastAsia="宋体" w:hAnsi="宋体" w:cs="宋体"/>
          <w:sz w:val="32"/>
          <w:szCs w:val="32"/>
        </w:rPr>
        <w:t xml:space="preserve">局限在“对 </w:t>
      </w:r>
      <w:r>
        <w:rPr>
          <w:rFonts w:ascii="宋体" w:eastAsia="宋体" w:hAnsi="宋体" w:cs="宋体"/>
          <w:spacing w:val="5"/>
          <w:sz w:val="32"/>
          <w:szCs w:val="32"/>
        </w:rPr>
        <w:t>来样负责”。需要根据工程理论基础判别并在应用中审慎考量。</w:t>
      </w:r>
    </w:p>
    <w:p>
      <w:pPr>
        <w:pStyle w:val="BodyText"/>
        <w:spacing w:line="242" w:lineRule="auto"/>
      </w:pPr>
    </w:p>
    <w:p>
      <w:pPr>
        <w:spacing w:before="104"/>
        <w:ind w:left="1348" w:right="979" w:hanging="929"/>
        <w:rPr>
          <w:rFonts w:ascii="宋体" w:eastAsia="宋体" w:hAnsi="宋体" w:cs="宋体"/>
          <w:sz w:val="32"/>
          <w:szCs w:val="32"/>
        </w:rPr>
      </w:pPr>
      <w:r>
        <w:rPr>
          <w:rFonts w:ascii="黑体" w:eastAsia="黑体" w:hAnsi="黑体" w:cs="黑体"/>
          <w:color w:val="C00000"/>
          <w:sz w:val="32"/>
          <w:szCs w:val="32"/>
        </w:rPr>
        <w:t>分析</w:t>
      </w:r>
      <w:r>
        <w:rPr>
          <w:rFonts w:ascii="宋体" w:eastAsia="宋体" w:hAnsi="宋体" w:cs="宋体"/>
          <w:color w:val="C00000"/>
          <w:sz w:val="32"/>
          <w:szCs w:val="32"/>
        </w:rPr>
        <w:t>：</w:t>
      </w:r>
      <w:r>
        <w:rPr>
          <w:rFonts w:ascii="宋体" w:eastAsia="宋体" w:hAnsi="宋体" w:cs="宋体"/>
          <w:sz w:val="32"/>
          <w:szCs w:val="32"/>
        </w:rPr>
        <w:t xml:space="preserve">垃圾热值特指垃圾焚烧用的低位发热量，鉴于单一方法的误差过大，需综合氧弹法、 </w:t>
      </w:r>
      <w:r>
        <w:rPr>
          <w:rFonts w:ascii="宋体" w:eastAsia="宋体" w:hAnsi="宋体" w:cs="宋体"/>
          <w:spacing w:val="5"/>
          <w:sz w:val="32"/>
          <w:szCs w:val="32"/>
        </w:rPr>
        <w:t>热平衡反演法、经验公式等多途径取得。不可绝对化否定某一种方法。</w:t>
      </w:r>
    </w:p>
    <w:p>
      <w:pPr>
        <w:pStyle w:val="BodyText"/>
        <w:spacing w:line="242" w:lineRule="auto"/>
      </w:pPr>
    </w:p>
    <w:p>
      <w:pPr>
        <w:spacing w:before="104" w:line="222" w:lineRule="auto"/>
        <w:ind w:left="419"/>
        <w:rPr>
          <w:rFonts w:ascii="宋体" w:eastAsia="宋体" w:hAnsi="宋体" w:cs="宋体"/>
          <w:sz w:val="32"/>
          <w:szCs w:val="32"/>
        </w:rPr>
      </w:pPr>
      <w:r>
        <w:rPr>
          <w:rFonts w:ascii="黑体" w:eastAsia="黑体" w:hAnsi="黑体" w:cs="黑体"/>
          <w:color w:val="C00000"/>
          <w:spacing w:val="1"/>
          <w:sz w:val="32"/>
          <w:szCs w:val="32"/>
        </w:rPr>
        <w:t>因素</w:t>
      </w:r>
      <w:r>
        <w:rPr>
          <w:rFonts w:ascii="宋体" w:eastAsia="宋体" w:hAnsi="宋体" w:cs="宋体"/>
          <w:color w:val="C00000"/>
          <w:spacing w:val="1"/>
          <w:sz w:val="32"/>
          <w:szCs w:val="32"/>
        </w:rPr>
        <w:t>：</w:t>
      </w:r>
      <w:r>
        <w:rPr>
          <w:rFonts w:ascii="宋体" w:eastAsia="宋体" w:hAnsi="宋体" w:cs="宋体"/>
          <w:spacing w:val="1"/>
          <w:sz w:val="32"/>
          <w:szCs w:val="32"/>
        </w:rPr>
        <w:t>基于每种干基物理成分与元素成分的关系，每种成分的热值可作为理论思维原则。问题</w:t>
      </w:r>
    </w:p>
    <w:p>
      <w:pPr>
        <w:spacing w:before="176" w:line="211" w:lineRule="auto"/>
        <w:ind w:left="1410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spacing w:val="1"/>
          <w:sz w:val="32"/>
          <w:szCs w:val="32"/>
        </w:rPr>
        <w:t>是多种不稳定成分互相干扰混合物，与纯净成分有巨大差异。其他约束因素有仪器仪</w:t>
      </w:r>
    </w:p>
    <w:p>
      <w:pPr>
        <w:spacing w:before="1" w:line="218" w:lineRule="auto"/>
        <w:ind w:left="1414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2"/>
          <w:sz w:val="32"/>
          <w:szCs w:val="32"/>
        </w:rPr>
        <w:t>表精度，人工操作因素，工作环境因素等。</w:t>
      </w:r>
    </w:p>
    <w:p>
      <w:pPr>
        <w:pStyle w:val="BodyText"/>
        <w:spacing w:line="351" w:lineRule="auto"/>
      </w:pPr>
    </w:p>
    <w:p>
      <w:pPr>
        <w:spacing w:before="82" w:line="217" w:lineRule="auto"/>
        <w:ind w:left="419"/>
        <w:rPr>
          <w:rFonts w:ascii="黑体" w:eastAsia="黑体" w:hAnsi="黑体" w:cs="黑体"/>
          <w:sz w:val="25"/>
          <w:szCs w:val="25"/>
        </w:rPr>
      </w:pPr>
      <w:r>
        <w:rPr>
          <w:rFonts w:ascii="黑体" w:eastAsia="黑体" w:hAnsi="黑体" w:cs="黑体"/>
          <w:color w:val="C00000"/>
          <w:spacing w:val="18"/>
          <w:sz w:val="25"/>
          <w:szCs w:val="25"/>
        </w:rPr>
        <w:t>误差：△物理成分统计≤30%,△热值比对≈500～10</w:t>
      </w:r>
      <w:r>
        <w:rPr>
          <w:rFonts w:ascii="黑体" w:eastAsia="黑体" w:hAnsi="黑体" w:cs="黑体"/>
          <w:color w:val="C00000"/>
          <w:spacing w:val="17"/>
          <w:sz w:val="25"/>
          <w:szCs w:val="25"/>
        </w:rPr>
        <w:t>00</w:t>
      </w:r>
      <w:r>
        <w:rPr>
          <w:rFonts w:ascii="宋体" w:eastAsia="宋体" w:hAnsi="宋体" w:cs="宋体"/>
          <w:color w:val="C00000"/>
          <w:sz w:val="25"/>
          <w:szCs w:val="25"/>
        </w:rPr>
        <w:t>kJ</w:t>
      </w:r>
      <w:r>
        <w:rPr>
          <w:rFonts w:ascii="宋体" w:eastAsia="宋体" w:hAnsi="宋体" w:cs="宋体"/>
          <w:color w:val="C00000"/>
          <w:spacing w:val="17"/>
          <w:sz w:val="25"/>
          <w:szCs w:val="25"/>
        </w:rPr>
        <w:t>/</w:t>
      </w:r>
      <w:r>
        <w:rPr>
          <w:rFonts w:ascii="宋体" w:eastAsia="宋体" w:hAnsi="宋体" w:cs="宋体"/>
          <w:color w:val="C00000"/>
          <w:sz w:val="25"/>
          <w:szCs w:val="25"/>
        </w:rPr>
        <w:t>kg</w:t>
      </w:r>
      <w:r>
        <w:rPr>
          <w:rFonts w:ascii="宋体" w:eastAsia="宋体" w:hAnsi="宋体" w:cs="宋体"/>
          <w:color w:val="C00000"/>
          <w:spacing w:val="17"/>
          <w:sz w:val="25"/>
          <w:szCs w:val="25"/>
        </w:rPr>
        <w:t>,△</w:t>
      </w:r>
      <w:r>
        <w:rPr>
          <w:rFonts w:ascii="宋体" w:eastAsia="宋体" w:hAnsi="宋体" w:cs="宋体"/>
          <w:color w:val="C00000"/>
          <w:spacing w:val="123"/>
          <w:sz w:val="25"/>
          <w:szCs w:val="25"/>
        </w:rPr>
        <w:t xml:space="preserve"> </w:t>
      </w:r>
      <w:r>
        <w:rPr>
          <w:rFonts w:ascii="黑体" w:eastAsia="黑体" w:hAnsi="黑体" w:cs="黑体"/>
          <w:color w:val="C00000"/>
          <w:spacing w:val="17"/>
          <w:sz w:val="25"/>
          <w:szCs w:val="25"/>
        </w:rPr>
        <w:t>热力状态工程≈5%。</w:t>
      </w:r>
    </w:p>
    <w:p>
      <w:pPr>
        <w:pStyle w:val="BodyText"/>
        <w:spacing w:line="270" w:lineRule="auto"/>
      </w:pPr>
    </w:p>
    <w:p>
      <w:pPr>
        <w:spacing w:before="105" w:line="212" w:lineRule="auto"/>
        <w:ind w:left="419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color w:val="C30000"/>
          <w:spacing w:val="6"/>
          <w:sz w:val="32"/>
          <w:szCs w:val="32"/>
        </w:rPr>
        <w:t>措</w:t>
      </w:r>
      <w:r>
        <w:rPr>
          <w:rFonts w:ascii="黑体" w:eastAsia="黑体" w:hAnsi="黑体" w:cs="黑体"/>
          <w:b/>
          <w:bCs/>
          <w:color w:val="C30000"/>
          <w:spacing w:val="6"/>
          <w:sz w:val="32"/>
          <w:szCs w:val="32"/>
        </w:rPr>
        <w:t>施：采用缺省分析=积累影响垃圾热值的元素成分</w:t>
      </w:r>
      <w:r>
        <w:rPr>
          <w:rFonts w:ascii="黑体" w:eastAsia="黑体" w:hAnsi="黑体" w:cs="黑体"/>
          <w:color w:val="C30000"/>
          <w:spacing w:val="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C30000"/>
          <w:spacing w:val="6"/>
          <w:sz w:val="32"/>
          <w:szCs w:val="32"/>
        </w:rPr>
        <w:t xml:space="preserve">(H)  </w:t>
      </w:r>
      <w:r>
        <w:rPr>
          <w:rFonts w:ascii="黑体" w:eastAsia="黑体" w:hAnsi="黑体" w:cs="黑体"/>
          <w:b/>
          <w:bCs/>
          <w:color w:val="C30000"/>
          <w:spacing w:val="6"/>
          <w:sz w:val="32"/>
          <w:szCs w:val="32"/>
        </w:rPr>
        <w:t>与物理成分(橡塑)量化关系+实际</w:t>
      </w:r>
      <w:r>
        <w:rPr>
          <w:rFonts w:ascii="黑体" w:eastAsia="黑体" w:hAnsi="黑体" w:cs="黑体"/>
          <w:color w:val="C30000"/>
          <w:spacing w:val="6"/>
          <w:sz w:val="32"/>
          <w:szCs w:val="32"/>
        </w:rPr>
        <w:t>运</w:t>
      </w:r>
    </w:p>
    <w:p>
      <w:pPr>
        <w:spacing w:line="132" w:lineRule="exact"/>
      </w:pPr>
    </w:p>
    <w:p>
      <w:pPr>
        <w:spacing w:line="132" w:lineRule="exact"/>
        <w:sectPr>
          <w:headerReference w:type="default" r:id="rId15"/>
          <w:pgSz w:w="16840" w:h="11910"/>
          <w:pgMar w:top="400" w:right="1339" w:bottom="0" w:left="1300" w:header="0" w:footer="0" w:gutter="0"/>
          <w:pgNumType w:start="7"/>
          <w:cols w:space="708"/>
        </w:sectPr>
      </w:pPr>
    </w:p>
    <w:p>
      <w:pPr>
        <w:spacing w:before="64" w:line="221" w:lineRule="auto"/>
        <w:ind w:left="1414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color w:val="C30000"/>
          <w:spacing w:val="-9"/>
          <w:sz w:val="32"/>
          <w:szCs w:val="32"/>
        </w:rPr>
        <w:t>行数据反推热值方法。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292" w:line="173" w:lineRule="exact"/>
        <w:ind w:left="369"/>
        <w:rPr>
          <w:rFonts w:ascii="宋体" w:eastAsia="宋体" w:hAnsi="宋体" w:cs="宋体"/>
          <w:sz w:val="25"/>
          <w:szCs w:val="25"/>
        </w:rPr>
      </w:pPr>
      <w:r>
        <w:rPr>
          <w:rFonts w:ascii="宋体" w:eastAsia="宋体" w:hAnsi="宋体" w:cs="宋体"/>
          <w:color w:val="7292A0"/>
          <w:position w:val="-4"/>
          <w:sz w:val="25"/>
          <w:szCs w:val="25"/>
        </w:rPr>
        <w:t>6</w:t>
      </w:r>
    </w:p>
    <w:p>
      <w:pPr>
        <w:spacing w:line="173" w:lineRule="exact"/>
        <w:rPr>
          <w:rFonts w:ascii="宋体" w:eastAsia="宋体" w:hAnsi="宋体" w:cs="宋体"/>
          <w:sz w:val="25"/>
          <w:szCs w:val="25"/>
        </w:rPr>
        <w:sectPr>
          <w:headerReference w:type="default" r:id="rId16"/>
          <w:type w:val="continuous"/>
          <w:pgSz w:w="16840" w:h="11910"/>
          <w:pgMar w:top="400" w:right="1339" w:bottom="0" w:left="1300" w:header="0" w:footer="0" w:gutter="0"/>
          <w:pgNumType w:start="8"/>
          <w:cols w:num="2" w:space="100" w:equalWidth="0">
            <w:col w:w="13380" w:space="100"/>
            <w:col w:w="720" w:space="0"/>
          </w:cols>
        </w:sectPr>
      </w:pPr>
    </w:p>
    <w:p>
      <w:pPr>
        <w:pStyle w:val="BodyText"/>
        <w:spacing w:line="241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line="1050" w:lineRule="exact"/>
      </w:pPr>
      <w:r>
        <w:rPr>
          <w:position w:val="-20"/>
        </w:rPr>
        <w:pict>
          <v:group id="组合 13" o:spid="_x0000_i1039" style="width:715.05pt;height:52.5pt;mso-position-horizontal-relative:char;mso-position-vertical-relative:line" coordorigin="0,0" coordsize="14300,1050">
            <v:shape id="图片 14" o:spid="_x0000_s1040" type="#_x0000_t75" style="width:14300;height:1050;position:absolute" filled="f" stroked="f">
              <v:imagedata r:id="rId17" o:title=""/>
              <v:path o:extrusionok="f"/>
              <o:lock v:ext="edit" aspectratio="t"/>
            </v:shape>
            <v:shape id="文本框 15" o:spid="_x0000_s1041" type="#_x0000_t202" style="width:14340;height:109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356" w:line="219" w:lineRule="auto"/>
                      <w:ind w:left="106"/>
                      <w:outlineLvl w:val="6"/>
                      <w:rPr>
                        <w:rFonts w:ascii="黑体" w:eastAsia="黑体" w:hAnsi="黑体" w:cs="黑体"/>
                        <w:sz w:val="49"/>
                        <w:szCs w:val="49"/>
                      </w:rPr>
                    </w:pPr>
                    <w:bookmarkStart w:id="0" w:name="bookmark1"/>
                    <w:bookmarkEnd w:id="0"/>
                    <w:r>
                      <w:rPr>
                        <w:rFonts w:ascii="黑体" w:eastAsia="黑体" w:hAnsi="黑体" w:cs="黑体"/>
                        <w:b/>
                        <w:bCs/>
                        <w:color w:val="FFFFFF"/>
                        <w:spacing w:val="18"/>
                        <w:sz w:val="49"/>
                        <w:szCs w:val="49"/>
                      </w:rPr>
                      <w:t>一、垃圾焚烧的工程基础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color w:val="FEFE00"/>
                        <w:spacing w:val="-37"/>
                        <w:w w:val="90"/>
                        <w:sz w:val="49"/>
                        <w:szCs w:val="49"/>
                      </w:rPr>
                      <w:t>—基本规则、工艺路线与排放指标控制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214" w:line="219" w:lineRule="auto"/>
        <w:ind w:left="644"/>
        <w:outlineLvl w:val="6"/>
        <w:rPr>
          <w:rFonts w:ascii="黑体" w:eastAsia="黑体" w:hAnsi="黑体" w:cs="黑体"/>
          <w:sz w:val="34"/>
          <w:szCs w:val="34"/>
        </w:rPr>
      </w:pPr>
      <w:r>
        <w:rPr>
          <w:rFonts w:ascii="黑体" w:eastAsia="黑体" w:hAnsi="黑体" w:cs="黑体"/>
          <w:b/>
          <w:bCs/>
          <w:spacing w:val="-25"/>
          <w:sz w:val="34"/>
          <w:szCs w:val="34"/>
        </w:rPr>
        <w:t>1.4确定垃圾焚烧工艺和技术装备的底线导思想</w:t>
      </w:r>
    </w:p>
    <w:p>
      <w:pPr>
        <w:pStyle w:val="BodyText"/>
        <w:spacing w:line="387" w:lineRule="auto"/>
      </w:pPr>
    </w:p>
    <w:p>
      <w:pPr>
        <w:spacing w:before="110" w:line="219" w:lineRule="auto"/>
        <w:ind w:left="654"/>
        <w:rPr>
          <w:rFonts w:ascii="宋体" w:eastAsia="宋体" w:hAnsi="宋体" w:cs="宋体"/>
          <w:sz w:val="34"/>
          <w:szCs w:val="34"/>
        </w:rPr>
      </w:pPr>
      <w:r>
        <w:rPr>
          <w:rFonts w:ascii="宋体" w:eastAsia="宋体" w:hAnsi="宋体" w:cs="宋体"/>
          <w:b/>
          <w:bCs/>
          <w:spacing w:val="19"/>
          <w:sz w:val="34"/>
          <w:szCs w:val="34"/>
        </w:rPr>
        <w:t>》遵循常态化安全、可靠、环保运行，节</w:t>
      </w:r>
      <w:r>
        <w:rPr>
          <w:rFonts w:ascii="宋体" w:eastAsia="宋体" w:hAnsi="宋体" w:cs="宋体"/>
          <w:spacing w:val="19"/>
          <w:sz w:val="34"/>
          <w:szCs w:val="34"/>
        </w:rPr>
        <w:t>能、减排、能效焚烧管理。</w:t>
      </w:r>
    </w:p>
    <w:p>
      <w:pPr>
        <w:pStyle w:val="BodyText"/>
        <w:spacing w:line="254" w:lineRule="auto"/>
      </w:pPr>
    </w:p>
    <w:p>
      <w:pPr>
        <w:spacing w:before="110" w:line="521" w:lineRule="exact"/>
        <w:ind w:left="1024"/>
        <w:rPr>
          <w:rFonts w:ascii="宋体" w:eastAsia="宋体" w:hAnsi="宋体" w:cs="宋体"/>
          <w:sz w:val="34"/>
          <w:szCs w:val="34"/>
        </w:rPr>
      </w:pPr>
      <w:r>
        <w:rPr>
          <w:rFonts w:ascii="宋体" w:eastAsia="宋体" w:hAnsi="宋体" w:cs="宋体"/>
          <w:b/>
          <w:bCs/>
          <w:spacing w:val="9"/>
          <w:position w:val="12"/>
          <w:sz w:val="34"/>
          <w:szCs w:val="34"/>
        </w:rPr>
        <w:t>垃圾焚烧系统：</w:t>
      </w:r>
      <w:r>
        <w:rPr>
          <w:rFonts w:ascii="宋体" w:eastAsia="宋体" w:hAnsi="宋体" w:cs="宋体"/>
          <w:spacing w:val="9"/>
          <w:position w:val="12"/>
          <w:sz w:val="34"/>
          <w:szCs w:val="34"/>
        </w:rPr>
        <w:t xml:space="preserve"> </w:t>
      </w:r>
      <w:r>
        <w:rPr>
          <w:rFonts w:ascii="宋体" w:eastAsia="宋体" w:hAnsi="宋体" w:cs="宋体"/>
          <w:b/>
          <w:bCs/>
          <w:spacing w:val="9"/>
          <w:position w:val="12"/>
          <w:sz w:val="34"/>
          <w:szCs w:val="34"/>
          <w:shd w:val="clear" w:color="auto" w:fill="FFFF00"/>
        </w:rPr>
        <w:t>现阶段以层燃型垃圾焚烧锅炉为主，</w:t>
      </w:r>
      <w:r>
        <w:rPr>
          <w:rFonts w:ascii="宋体" w:eastAsia="宋体" w:hAnsi="宋体" w:cs="宋体"/>
          <w:spacing w:val="9"/>
          <w:position w:val="12"/>
          <w:sz w:val="34"/>
          <w:szCs w:val="34"/>
          <w:shd w:val="clear" w:color="auto" w:fill="FFFF00"/>
        </w:rPr>
        <w:t xml:space="preserve"> </w:t>
      </w:r>
      <w:r>
        <w:rPr>
          <w:rFonts w:ascii="宋体" w:eastAsia="宋体" w:hAnsi="宋体" w:cs="宋体"/>
          <w:b/>
          <w:bCs/>
          <w:spacing w:val="9"/>
          <w:position w:val="12"/>
          <w:sz w:val="34"/>
          <w:szCs w:val="34"/>
        </w:rPr>
        <w:t>源于直接引进，引进技术</w:t>
      </w:r>
    </w:p>
    <w:p>
      <w:pPr>
        <w:spacing w:line="219" w:lineRule="auto"/>
        <w:ind w:left="1024"/>
        <w:rPr>
          <w:rFonts w:ascii="宋体" w:eastAsia="宋体" w:hAnsi="宋体" w:cs="宋体"/>
          <w:sz w:val="34"/>
          <w:szCs w:val="34"/>
        </w:rPr>
      </w:pPr>
      <w:r>
        <w:rPr>
          <w:rFonts w:ascii="宋体" w:eastAsia="宋体" w:hAnsi="宋体" w:cs="宋体"/>
          <w:b/>
          <w:bCs/>
          <w:spacing w:val="16"/>
          <w:sz w:val="34"/>
          <w:szCs w:val="34"/>
        </w:rPr>
        <w:t>国内制造，自主研发途径。不同来源设备有质量差距并</w:t>
      </w:r>
      <w:r>
        <w:rPr>
          <w:rFonts w:ascii="宋体" w:eastAsia="宋体" w:hAnsi="宋体" w:cs="宋体"/>
          <w:spacing w:val="16"/>
          <w:sz w:val="34"/>
          <w:szCs w:val="34"/>
        </w:rPr>
        <w:t>在减小趋势。</w:t>
      </w:r>
    </w:p>
    <w:p>
      <w:pPr>
        <w:spacing w:before="269" w:line="218" w:lineRule="auto"/>
        <w:ind w:left="944" w:right="807"/>
        <w:rPr>
          <w:rFonts w:ascii="黑体" w:eastAsia="黑体" w:hAnsi="黑体" w:cs="黑体"/>
          <w:sz w:val="34"/>
          <w:szCs w:val="34"/>
        </w:rPr>
      </w:pPr>
      <w:r>
        <w:rPr>
          <w:rFonts w:ascii="黑体" w:eastAsia="黑体" w:hAnsi="黑体" w:cs="黑体"/>
          <w:b/>
          <w:bCs/>
          <w:color w:val="BB646A"/>
          <w:spacing w:val="-22"/>
          <w:sz w:val="34"/>
          <w:szCs w:val="34"/>
        </w:rPr>
        <w:t>高性能不一定得到高效果，企业主体应充分挖掘设备功能的潜力，提高组合工艺</w:t>
      </w:r>
      <w:r>
        <w:rPr>
          <w:rFonts w:ascii="黑体" w:eastAsia="黑体" w:hAnsi="黑体" w:cs="黑体"/>
          <w:color w:val="BB646A"/>
          <w:spacing w:val="145"/>
          <w:sz w:val="34"/>
          <w:szCs w:val="34"/>
        </w:rPr>
        <w:t xml:space="preserve"> </w:t>
      </w:r>
      <w:r>
        <w:rPr>
          <w:rFonts w:ascii="黑体" w:eastAsia="黑体" w:hAnsi="黑体" w:cs="黑体"/>
          <w:b/>
          <w:bCs/>
          <w:color w:val="BB646A"/>
          <w:spacing w:val="-22"/>
          <w:sz w:val="34"/>
          <w:szCs w:val="34"/>
        </w:rPr>
        <w:t>的实际</w:t>
      </w:r>
      <w:r>
        <w:rPr>
          <w:rFonts w:ascii="黑体" w:eastAsia="黑体" w:hAnsi="黑体" w:cs="黑体"/>
          <w:color w:val="BB646A"/>
          <w:spacing w:val="-22"/>
          <w:sz w:val="34"/>
          <w:szCs w:val="34"/>
        </w:rPr>
        <w:t xml:space="preserve"> </w:t>
      </w:r>
      <w:r>
        <w:rPr>
          <w:rFonts w:ascii="黑体" w:eastAsia="黑体" w:hAnsi="黑体" w:cs="黑体"/>
          <w:b/>
          <w:bCs/>
          <w:color w:val="BB646A"/>
          <w:spacing w:val="-23"/>
          <w:sz w:val="34"/>
          <w:szCs w:val="34"/>
        </w:rPr>
        <w:t>净化水平；再根据当地环境质量要求确定最佳适</w:t>
      </w:r>
      <w:r>
        <w:rPr>
          <w:rFonts w:ascii="黑体" w:eastAsia="黑体" w:hAnsi="黑体" w:cs="黑体"/>
          <w:b/>
          <w:bCs/>
          <w:color w:val="BB646A"/>
          <w:spacing w:val="-24"/>
          <w:sz w:val="34"/>
          <w:szCs w:val="34"/>
        </w:rPr>
        <w:t>用技术方案。</w:t>
      </w:r>
    </w:p>
    <w:p>
      <w:pPr>
        <w:spacing w:before="314" w:line="288" w:lineRule="auto"/>
        <w:ind w:left="1024" w:right="514"/>
        <w:jc w:val="both"/>
        <w:rPr>
          <w:rFonts w:ascii="宋体" w:eastAsia="宋体" w:hAnsi="宋体" w:cs="宋体"/>
          <w:sz w:val="34"/>
          <w:szCs w:val="34"/>
        </w:rPr>
      </w:pPr>
      <w:r>
        <w:rPr>
          <w:rFonts w:ascii="宋体" w:eastAsia="宋体" w:hAnsi="宋体" w:cs="宋体"/>
          <w:b/>
          <w:bCs/>
          <w:spacing w:val="21"/>
          <w:sz w:val="34"/>
          <w:szCs w:val="34"/>
        </w:rPr>
        <w:t>烟气净化系统：</w:t>
      </w:r>
      <w:r>
        <w:rPr>
          <w:rFonts w:ascii="宋体" w:eastAsia="宋体" w:hAnsi="宋体" w:cs="宋体"/>
          <w:spacing w:val="-52"/>
          <w:sz w:val="34"/>
          <w:szCs w:val="34"/>
        </w:rPr>
        <w:t xml:space="preserve"> </w:t>
      </w:r>
      <w:r>
        <w:rPr>
          <w:rFonts w:ascii="宋体" w:eastAsia="宋体" w:hAnsi="宋体" w:cs="宋体"/>
          <w:spacing w:val="-94"/>
          <w:sz w:val="34"/>
          <w:szCs w:val="34"/>
          <w:u w:val="single" w:color="auto"/>
          <w:shd w:val="clear" w:color="auto" w:fill="FFFF00"/>
        </w:rPr>
        <w:t xml:space="preserve"> </w:t>
      </w:r>
      <w:r>
        <w:rPr>
          <w:rFonts w:ascii="宋体" w:eastAsia="宋体" w:hAnsi="宋体" w:cs="宋体"/>
          <w:b/>
          <w:bCs/>
          <w:spacing w:val="21"/>
          <w:sz w:val="34"/>
          <w:szCs w:val="34"/>
          <w:u w:val="single" w:color="auto"/>
          <w:shd w:val="clear" w:color="auto" w:fill="FFFF00"/>
        </w:rPr>
        <w:t>“</w:t>
      </w:r>
      <w:r>
        <w:rPr>
          <w:rFonts w:ascii="宋体" w:eastAsia="宋体" w:hAnsi="宋体" w:cs="宋体"/>
          <w:b/>
          <w:bCs/>
          <w:sz w:val="34"/>
          <w:szCs w:val="34"/>
          <w:u w:val="single" w:color="auto"/>
          <w:shd w:val="clear" w:color="auto" w:fill="FFFF00"/>
        </w:rPr>
        <w:t>SNCR</w:t>
      </w:r>
      <w:r>
        <w:rPr>
          <w:rFonts w:ascii="宋体" w:eastAsia="宋体" w:hAnsi="宋体" w:cs="宋体"/>
          <w:b/>
          <w:bCs/>
          <w:spacing w:val="21"/>
          <w:sz w:val="34"/>
          <w:szCs w:val="34"/>
          <w:u w:val="single" w:color="auto"/>
          <w:shd w:val="clear" w:color="auto" w:fill="FFFF00"/>
        </w:rPr>
        <w:t>+半干法+干法+活性炭喷射+布袋除尘”</w:t>
      </w:r>
      <w:r>
        <w:rPr>
          <w:rFonts w:ascii="宋体" w:eastAsia="宋体" w:hAnsi="宋体" w:cs="宋体"/>
          <w:b/>
          <w:bCs/>
          <w:spacing w:val="21"/>
          <w:sz w:val="34"/>
          <w:szCs w:val="34"/>
          <w:shd w:val="clear" w:color="auto" w:fill="FFFF00"/>
        </w:rPr>
        <w:t>是</w:t>
      </w:r>
      <w:r>
        <w:rPr>
          <w:rFonts w:ascii="宋体" w:eastAsia="宋体" w:hAnsi="宋体" w:cs="宋体"/>
          <w:b/>
          <w:bCs/>
          <w:spacing w:val="21"/>
          <w:sz w:val="34"/>
          <w:szCs w:val="34"/>
        </w:rPr>
        <w:t>可满足现行国</w:t>
      </w:r>
      <w:r>
        <w:rPr>
          <w:rFonts w:ascii="宋体" w:eastAsia="宋体" w:hAnsi="宋体" w:cs="宋体"/>
          <w:sz w:val="34"/>
          <w:szCs w:val="34"/>
        </w:rPr>
        <w:t xml:space="preserve">  </w:t>
      </w:r>
      <w:r>
        <w:rPr>
          <w:rFonts w:ascii="宋体" w:eastAsia="宋体" w:hAnsi="宋体" w:cs="宋体"/>
          <w:b/>
          <w:bCs/>
          <w:spacing w:val="12"/>
          <w:sz w:val="34"/>
          <w:szCs w:val="34"/>
        </w:rPr>
        <w:t>标的主流组合工艺。针对当地环境总量或环境质量更严</w:t>
      </w:r>
      <w:r>
        <w:rPr>
          <w:rFonts w:ascii="宋体" w:eastAsia="宋体" w:hAnsi="宋体" w:cs="宋体"/>
          <w:b/>
          <w:bCs/>
          <w:spacing w:val="11"/>
          <w:sz w:val="34"/>
          <w:szCs w:val="34"/>
        </w:rPr>
        <w:t>格的要求，采取增设</w:t>
      </w:r>
      <w:r>
        <w:rPr>
          <w:rFonts w:ascii="Times New Roman" w:eastAsia="Times New Roman" w:hAnsi="Times New Roman" w:cs="Times New Roman"/>
          <w:b/>
          <w:bCs/>
          <w:sz w:val="34"/>
          <w:szCs w:val="34"/>
        </w:rPr>
        <w:t>SCR</w:t>
      </w:r>
      <w:r>
        <w:rPr>
          <w:rFonts w:ascii="宋体" w:eastAsia="宋体" w:hAnsi="宋体" w:cs="宋体"/>
          <w:b/>
          <w:bCs/>
          <w:spacing w:val="11"/>
          <w:sz w:val="34"/>
          <w:szCs w:val="34"/>
        </w:rPr>
        <w:t>、</w:t>
      </w:r>
    </w:p>
    <w:p>
      <w:pPr>
        <w:spacing w:line="219" w:lineRule="auto"/>
        <w:ind w:left="1024"/>
        <w:rPr>
          <w:rFonts w:ascii="宋体" w:eastAsia="宋体" w:hAnsi="宋体" w:cs="宋体"/>
          <w:sz w:val="34"/>
          <w:szCs w:val="34"/>
        </w:rPr>
      </w:pPr>
      <w:r>
        <w:rPr>
          <w:rFonts w:ascii="宋体" w:eastAsia="宋体" w:hAnsi="宋体" w:cs="宋体"/>
          <w:b/>
          <w:bCs/>
          <w:spacing w:val="11"/>
          <w:sz w:val="34"/>
          <w:szCs w:val="34"/>
        </w:rPr>
        <w:t>湿法等高耗能的工艺。</w:t>
      </w:r>
    </w:p>
    <w:p>
      <w:pPr>
        <w:spacing w:before="289" w:line="213" w:lineRule="auto"/>
        <w:ind w:left="944"/>
        <w:rPr>
          <w:rFonts w:ascii="黑体" w:eastAsia="黑体" w:hAnsi="黑体" w:cs="黑体"/>
          <w:sz w:val="34"/>
          <w:szCs w:val="34"/>
        </w:rPr>
      </w:pPr>
      <w:r>
        <w:rPr>
          <w:rFonts w:ascii="黑体" w:eastAsia="黑体" w:hAnsi="黑体" w:cs="黑体"/>
          <w:b/>
          <w:bCs/>
          <w:color w:val="BB646A"/>
          <w:spacing w:val="-23"/>
          <w:sz w:val="34"/>
          <w:szCs w:val="34"/>
        </w:rPr>
        <w:t>适合于人类生存的环境质量只有适宜的相对要求，要避免绝对化倾向。</w:t>
      </w:r>
    </w:p>
    <w:p>
      <w:pPr>
        <w:spacing w:before="97" w:line="216" w:lineRule="auto"/>
        <w:ind w:left="944"/>
        <w:rPr>
          <w:rFonts w:ascii="宋体" w:eastAsia="宋体" w:hAnsi="宋体" w:cs="宋体"/>
          <w:sz w:val="25"/>
          <w:szCs w:val="25"/>
        </w:rPr>
      </w:pPr>
      <w:r>
        <w:rPr>
          <w:rFonts w:ascii="黑体" w:eastAsia="黑体" w:hAnsi="黑体" w:cs="黑体"/>
          <w:b/>
          <w:bCs/>
          <w:color w:val="BB646A"/>
          <w:spacing w:val="-22"/>
          <w:sz w:val="34"/>
          <w:szCs w:val="34"/>
        </w:rPr>
        <w:t>当前不应以不具我国法律效益，非绝对指标的欧盟标准作为执行标准。</w:t>
      </w:r>
      <w:r>
        <w:rPr>
          <w:rFonts w:ascii="黑体" w:eastAsia="黑体" w:hAnsi="黑体" w:cs="黑体"/>
          <w:color w:val="BB646A"/>
          <w:spacing w:val="-22"/>
          <w:sz w:val="34"/>
          <w:szCs w:val="34"/>
        </w:rPr>
        <w:t xml:space="preserve">                    </w:t>
      </w:r>
      <w:hyperlink w:anchor="bookmark1" w:history="1">
        <w:r>
          <w:rPr>
            <w:rFonts w:ascii="宋体" w:eastAsia="宋体" w:hAnsi="宋体" w:cs="宋体"/>
            <w:color w:val="78929E"/>
            <w:spacing w:val="-22"/>
            <w:position w:val="-7"/>
            <w:sz w:val="25"/>
            <w:szCs w:val="25"/>
          </w:rPr>
          <w:t>7</w:t>
        </w:r>
      </w:hyperlink>
    </w:p>
    <w:p>
      <w:pPr>
        <w:spacing w:line="216" w:lineRule="auto"/>
        <w:rPr>
          <w:rFonts w:ascii="宋体" w:eastAsia="宋体" w:hAnsi="宋体" w:cs="宋体"/>
          <w:sz w:val="25"/>
          <w:szCs w:val="25"/>
        </w:rPr>
        <w:sectPr>
          <w:headerReference w:type="default" r:id="rId18"/>
          <w:pgSz w:w="16840" w:h="11910"/>
          <w:pgMar w:top="400" w:right="1280" w:bottom="0" w:left="1259" w:header="0" w:footer="0" w:gutter="0"/>
          <w:pgNumType w:start="9"/>
          <w:cols w:space="708"/>
        </w:sectPr>
      </w:pPr>
    </w:p>
    <w:p>
      <w:pPr>
        <w:spacing w:before="312" w:line="217" w:lineRule="auto"/>
        <w:ind w:left="6430"/>
        <w:rPr>
          <w:rFonts w:ascii="黑体" w:eastAsia="黑体" w:hAnsi="黑体" w:cs="黑体"/>
          <w:sz w:val="40"/>
          <w:szCs w:val="40"/>
        </w:rPr>
      </w:pPr>
      <w:r>
        <w:pict>
          <v:shape id="IM 8" o:spid="_x0000_s1042" type="#_x0000_t75" style="width:291pt;height:0.5pt;margin-top:198.45pt;margin-left:456.45pt;mso-position-horizontal-relative:page;mso-position-vertical-relative:page;mso-wrap-distance-left:0;mso-wrap-distance-right:0;position:absolute;z-index:251662336" o:allowincell="f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color w:val="FEFE00"/>
          <w:spacing w:val="7"/>
          <w:sz w:val="40"/>
          <w:szCs w:val="40"/>
        </w:rPr>
        <w:t>基本规则、技术路线与排放指标控制|</w:t>
      </w:r>
    </w:p>
    <w:p>
      <w:pPr>
        <w:spacing w:before="237" w:line="20" w:lineRule="exact"/>
        <w:ind w:firstLine="9"/>
      </w:pPr>
      <w:r>
        <w:pict>
          <v:shape id="IM 10" o:spid="_x0000_i1043" type="#_x0000_t75" style="width:700.01pt;height:1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</w:p>
    <w:p>
      <w:pPr>
        <w:pStyle w:val="BodyText"/>
        <w:spacing w:line="283" w:lineRule="auto"/>
      </w:pPr>
    </w:p>
    <w:p>
      <w:pPr>
        <w:pStyle w:val="BodyText"/>
        <w:spacing w:line="284" w:lineRule="auto"/>
      </w:pPr>
    </w:p>
    <w:p>
      <w:pPr>
        <w:pStyle w:val="BodyText"/>
        <w:spacing w:line="284" w:lineRule="auto"/>
      </w:pPr>
    </w:p>
    <w:p>
      <w:pPr>
        <w:spacing w:before="107" w:line="219" w:lineRule="auto"/>
        <w:ind w:left="1014"/>
        <w:rPr>
          <w:rFonts w:ascii="黑体" w:eastAsia="黑体" w:hAnsi="黑体" w:cs="黑体"/>
          <w:sz w:val="33"/>
          <w:szCs w:val="33"/>
        </w:rPr>
      </w:pPr>
      <w:r>
        <w:rPr>
          <w:rFonts w:ascii="黑体" w:eastAsia="黑体" w:hAnsi="黑体" w:cs="黑体"/>
          <w:b/>
          <w:bCs/>
          <w:color w:val="006126"/>
          <w:spacing w:val="-14"/>
          <w:sz w:val="33"/>
          <w:szCs w:val="33"/>
        </w:rPr>
        <w:t>按三条线原则进行烟气污染排放控制</w:t>
      </w:r>
    </w:p>
    <w:p>
      <w:pPr>
        <w:spacing w:before="178" w:line="219" w:lineRule="auto"/>
        <w:ind w:left="1889"/>
        <w:rPr>
          <w:rFonts w:ascii="黑体" w:eastAsia="黑体" w:hAnsi="黑体" w:cs="黑体"/>
          <w:sz w:val="33"/>
          <w:szCs w:val="33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33"/>
          <w:szCs w:val="33"/>
        </w:rPr>
        <w:t>l</w:t>
      </w:r>
      <w:r>
        <w:rPr>
          <w:rFonts w:ascii="Times New Roman" w:eastAsia="Times New Roman" w:hAnsi="Times New Roman" w:cs="Times New Roman"/>
          <w:b/>
          <w:bCs/>
          <w:spacing w:val="-45"/>
          <w:sz w:val="33"/>
          <w:szCs w:val="33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33"/>
          <w:szCs w:val="33"/>
        </w:rPr>
        <w:t>、</w:t>
      </w:r>
      <w:r>
        <w:rPr>
          <w:rFonts w:ascii="宋体" w:eastAsia="宋体" w:hAnsi="宋体" w:cs="宋体"/>
          <w:spacing w:val="-2"/>
          <w:sz w:val="33"/>
          <w:szCs w:val="33"/>
        </w:rPr>
        <w:t xml:space="preserve"> </w:t>
      </w:r>
      <w:r>
        <w:rPr>
          <w:rFonts w:ascii="黑体" w:eastAsia="黑体" w:hAnsi="黑体" w:cs="黑体"/>
          <w:b/>
          <w:bCs/>
          <w:spacing w:val="-2"/>
          <w:sz w:val="33"/>
          <w:szCs w:val="33"/>
        </w:rPr>
        <w:t>国标-</w:t>
      </w:r>
      <w:r>
        <w:rPr>
          <w:rFonts w:ascii="黑体" w:eastAsia="黑体" w:hAnsi="黑体" w:cs="黑体"/>
          <w:b/>
          <w:bCs/>
          <w:color w:val="BC0000"/>
          <w:spacing w:val="-2"/>
          <w:sz w:val="33"/>
          <w:szCs w:val="33"/>
        </w:rPr>
        <w:t>国家红线—绝对指标</w:t>
      </w:r>
    </w:p>
    <w:p>
      <w:pPr>
        <w:spacing w:before="228" w:line="620" w:lineRule="exact"/>
        <w:ind w:left="1914"/>
        <w:rPr>
          <w:rFonts w:ascii="黑体" w:eastAsia="黑体" w:hAnsi="黑体" w:cs="黑体"/>
          <w:sz w:val="33"/>
          <w:szCs w:val="33"/>
        </w:rPr>
      </w:pPr>
      <w:r>
        <w:pict>
          <v:shape id="文本框 16" o:spid="_x0000_s1044" type="#_x0000_t202" style="width:211.55pt;height:172.5pt;margin-top:17.45pt;margin-left:436.75pt;position:absolute;z-index:251661312" filled="f" stroked="f">
            <o:lock v:ext="edit" aspectratio="f"/>
            <v:textbox inset="0,0,0,0">
              <w:txbxContent>
                <w:p>
                  <w:pPr>
                    <w:spacing w:line="20" w:lineRule="exact"/>
                  </w:pPr>
                </w:p>
                <w:tbl>
                  <w:tblPr>
                    <w:tblStyle w:val="TableNormal00"/>
                    <w:tblInd w:w="2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000"/>
                  </w:tblPr>
                  <w:tblGrid>
                    <w:gridCol w:w="2090"/>
                    <w:gridCol w:w="2090"/>
                  </w:tblGrid>
                  <w:tr>
                    <w:tblPrEx>
                      <w:tblInd w:w="2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394"/>
                    </w:trPr>
                    <w:tc>
                      <w:tcPr>
                        <w:tcW w:w="2090" w:type="dxa"/>
                        <w:shd w:val="clear" w:color="auto" w:fill="578EAD"/>
                      </w:tcPr>
                      <w:p>
                        <w:pPr>
                          <w:pStyle w:val="TableText"/>
                          <w:spacing w:before="91" w:line="220" w:lineRule="auto"/>
                          <w:ind w:left="518"/>
                        </w:pPr>
                        <w:r>
                          <w:rPr>
                            <w:b/>
                            <w:bCs/>
                            <w:color w:val="FFFFFF"/>
                            <w:spacing w:val="-4"/>
                          </w:rPr>
                          <w:t>污染物名称</w:t>
                        </w:r>
                      </w:p>
                    </w:tc>
                    <w:tc>
                      <w:tcPr>
                        <w:tcW w:w="2090" w:type="dxa"/>
                        <w:shd w:val="clear" w:color="auto" w:fill="578EAD"/>
                      </w:tcPr>
                      <w:p>
                        <w:pPr>
                          <w:pStyle w:val="TableText"/>
                          <w:spacing w:before="90" w:line="219" w:lineRule="auto"/>
                          <w:ind w:left="407"/>
                        </w:pPr>
                        <w:r>
                          <w:rPr>
                            <w:b/>
                            <w:bCs/>
                            <w:color w:val="FFFFFF"/>
                            <w:spacing w:val="-4"/>
                          </w:rPr>
                          <w:t>不超排放限值</w:t>
                        </w:r>
                      </w:p>
                    </w:tc>
                  </w:tr>
                  <w:tr>
                    <w:tblPrEx>
                      <w:tblInd w:w="2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40"/>
                    </w:trPr>
                    <w:tc>
                      <w:tcPr>
                        <w:tcW w:w="2090" w:type="dxa"/>
                        <w:tcBorders>
                          <w:left w:val="single" w:sz="2" w:space="0" w:color="FFFFFF"/>
                          <w:right w:val="nil"/>
                        </w:tcBorders>
                        <w:shd w:val="clear" w:color="auto" w:fill="FFFFFF"/>
                      </w:tcPr>
                      <w:p>
                        <w:pPr>
                          <w:spacing w:line="30" w:lineRule="exact"/>
                          <w:rPr>
                            <w:sz w:val="2"/>
                          </w:rPr>
                        </w:pPr>
                      </w:p>
                    </w:tc>
                    <w:tc>
                      <w:tcPr>
                        <w:tcW w:w="2090" w:type="dxa"/>
                        <w:tcBorders>
                          <w:left w:val="nil"/>
                          <w:right w:val="single" w:sz="2" w:space="0" w:color="FFFFFF"/>
                        </w:tcBorders>
                        <w:shd w:val="clear" w:color="auto" w:fill="FFFFFF"/>
                      </w:tcPr>
                      <w:p>
                        <w:pPr>
                          <w:spacing w:line="30" w:lineRule="exact"/>
                          <w:rPr>
                            <w:sz w:val="2"/>
                          </w:rPr>
                        </w:pPr>
                      </w:p>
                    </w:tc>
                  </w:tr>
                  <w:tr>
                    <w:tblPrEx>
                      <w:tblInd w:w="2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389"/>
                    </w:trPr>
                    <w:tc>
                      <w:tcPr>
                        <w:tcW w:w="2090" w:type="dxa"/>
                        <w:shd w:val="clear" w:color="auto" w:fill="D1DAE1"/>
                      </w:tcPr>
                      <w:p>
                        <w:pPr>
                          <w:pStyle w:val="TableText"/>
                          <w:spacing w:before="143" w:line="183" w:lineRule="auto"/>
                          <w:ind w:left="935"/>
                        </w:pPr>
                        <w:r>
                          <w:rPr>
                            <w:color w:val="003D5B"/>
                            <w:spacing w:val="-2"/>
                          </w:rPr>
                          <w:t>CO</w:t>
                        </w:r>
                      </w:p>
                    </w:tc>
                    <w:tc>
                      <w:tcPr>
                        <w:tcW w:w="2090" w:type="dxa"/>
                        <w:shd w:val="clear" w:color="auto" w:fill="D1DAE1"/>
                      </w:tcPr>
                      <w:p>
                        <w:pPr>
                          <w:pStyle w:val="TableText"/>
                          <w:spacing w:before="142" w:line="184" w:lineRule="auto"/>
                          <w:ind w:left="874"/>
                        </w:pPr>
                        <w:r>
                          <w:rPr>
                            <w:color w:val="00476A"/>
                            <w:spacing w:val="-6"/>
                          </w:rPr>
                          <w:t>10%</w:t>
                        </w:r>
                      </w:p>
                    </w:tc>
                  </w:tr>
                  <w:tr>
                    <w:tblPrEx>
                      <w:tblInd w:w="2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419"/>
                    </w:trPr>
                    <w:tc>
                      <w:tcPr>
                        <w:tcW w:w="2090" w:type="dxa"/>
                        <w:shd w:val="clear" w:color="auto" w:fill="E7EBEE"/>
                      </w:tcPr>
                      <w:p>
                        <w:pPr>
                          <w:pStyle w:val="TableText"/>
                          <w:spacing w:before="144" w:line="183" w:lineRule="auto"/>
                          <w:ind w:left="824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spacing w:val="-4"/>
                          </w:rPr>
                          <w:t>SO</w:t>
                        </w:r>
                        <w:r>
                          <w:rPr>
                            <w:rFonts w:ascii="Calibri" w:eastAsia="Calibri" w:hAnsi="Calibri" w:cs="Calibri"/>
                            <w:spacing w:val="-4"/>
                          </w:rPr>
                          <w:t>₂</w:t>
                        </w:r>
                      </w:p>
                    </w:tc>
                    <w:tc>
                      <w:tcPr>
                        <w:tcW w:w="2090" w:type="dxa"/>
                        <w:shd w:val="clear" w:color="auto" w:fill="E7EBEE"/>
                      </w:tcPr>
                      <w:p>
                        <w:pPr>
                          <w:pStyle w:val="TableText"/>
                          <w:spacing w:before="164" w:line="183" w:lineRule="auto"/>
                          <w:ind w:left="874"/>
                        </w:pPr>
                        <w:r>
                          <w:rPr>
                            <w:spacing w:val="-3"/>
                          </w:rPr>
                          <w:t>20%</w:t>
                        </w:r>
                      </w:p>
                    </w:tc>
                  </w:tr>
                  <w:tr>
                    <w:tblPrEx>
                      <w:tblInd w:w="2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408"/>
                    </w:trPr>
                    <w:tc>
                      <w:tcPr>
                        <w:tcW w:w="2090" w:type="dxa"/>
                        <w:shd w:val="clear" w:color="auto" w:fill="D1DAE1"/>
                      </w:tcPr>
                      <w:p>
                        <w:pPr>
                          <w:pStyle w:val="TableText"/>
                          <w:spacing w:before="135" w:line="183" w:lineRule="auto"/>
                          <w:ind w:left="824"/>
                          <w:rPr>
                            <w:rFonts w:ascii="Calibri" w:eastAsia="Calibri" w:hAnsi="Calibri" w:cs="Calibri"/>
                          </w:rPr>
                        </w:pPr>
                        <w:r>
                          <w:rPr>
                            <w:color w:val="003F63"/>
                            <w:spacing w:val="-1"/>
                          </w:rPr>
                          <w:t>NO</w:t>
                        </w:r>
                        <w:r>
                          <w:rPr>
                            <w:rFonts w:ascii="Calibri" w:eastAsia="Calibri" w:hAnsi="Calibri" w:cs="Calibri"/>
                            <w:color w:val="003F63"/>
                            <w:spacing w:val="-1"/>
                          </w:rPr>
                          <w:t>₂</w:t>
                        </w:r>
                      </w:p>
                    </w:tc>
                    <w:tc>
                      <w:tcPr>
                        <w:tcW w:w="2090" w:type="dxa"/>
                        <w:shd w:val="clear" w:color="auto" w:fill="D1DAE1"/>
                      </w:tcPr>
                      <w:p>
                        <w:pPr>
                          <w:pStyle w:val="TableText"/>
                          <w:spacing w:before="155" w:line="183" w:lineRule="auto"/>
                          <w:ind w:left="874"/>
                        </w:pPr>
                        <w:r>
                          <w:rPr>
                            <w:spacing w:val="-3"/>
                          </w:rPr>
                          <w:t>20%</w:t>
                        </w:r>
                      </w:p>
                    </w:tc>
                  </w:tr>
                  <w:tr>
                    <w:tblPrEx>
                      <w:tblInd w:w="2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409"/>
                    </w:trPr>
                    <w:tc>
                      <w:tcPr>
                        <w:tcW w:w="2090" w:type="dxa"/>
                        <w:shd w:val="clear" w:color="auto" w:fill="E7EBEE"/>
                      </w:tcPr>
                      <w:p>
                        <w:pPr>
                          <w:pStyle w:val="TableText"/>
                          <w:spacing w:before="100" w:line="219" w:lineRule="auto"/>
                          <w:ind w:left="827"/>
                        </w:pPr>
                        <w:r>
                          <w:rPr>
                            <w:b/>
                            <w:bCs/>
                            <w:spacing w:val="-5"/>
                          </w:rPr>
                          <w:t>粉尘</w:t>
                        </w:r>
                      </w:p>
                    </w:tc>
                    <w:tc>
                      <w:tcPr>
                        <w:tcW w:w="2090" w:type="dxa"/>
                        <w:shd w:val="clear" w:color="auto" w:fill="E7EBEE"/>
                      </w:tcPr>
                      <w:p>
                        <w:pPr>
                          <w:pStyle w:val="TableText"/>
                          <w:spacing w:before="157" w:line="183" w:lineRule="auto"/>
                          <w:ind w:left="874"/>
                        </w:pPr>
                        <w:r>
                          <w:rPr>
                            <w:spacing w:val="-3"/>
                          </w:rPr>
                          <w:t>30%</w:t>
                        </w:r>
                      </w:p>
                    </w:tc>
                  </w:tr>
                  <w:tr>
                    <w:tblPrEx>
                      <w:tblInd w:w="2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418"/>
                    </w:trPr>
                    <w:tc>
                      <w:tcPr>
                        <w:tcW w:w="2090" w:type="dxa"/>
                        <w:shd w:val="clear" w:color="auto" w:fill="D1DAE1"/>
                      </w:tcPr>
                      <w:p>
                        <w:pPr>
                          <w:pStyle w:val="TableText"/>
                          <w:spacing w:before="110" w:line="219" w:lineRule="auto"/>
                          <w:ind w:left="617"/>
                        </w:pPr>
                        <w:r>
                          <w:rPr>
                            <w:b/>
                            <w:bCs/>
                            <w:color w:val="00486C"/>
                            <w:spacing w:val="-5"/>
                          </w:rPr>
                          <w:t>总有机碳</w:t>
                        </w:r>
                      </w:p>
                    </w:tc>
                    <w:tc>
                      <w:tcPr>
                        <w:tcW w:w="2090" w:type="dxa"/>
                        <w:shd w:val="clear" w:color="auto" w:fill="D1DAE1"/>
                      </w:tcPr>
                      <w:p>
                        <w:pPr>
                          <w:pStyle w:val="TableText"/>
                          <w:spacing w:before="168" w:line="183" w:lineRule="auto"/>
                          <w:ind w:left="874"/>
                        </w:pPr>
                        <w:r>
                          <w:rPr>
                            <w:color w:val="004669"/>
                            <w:spacing w:val="-3"/>
                          </w:rPr>
                          <w:t>30%</w:t>
                        </w:r>
                      </w:p>
                    </w:tc>
                  </w:tr>
                  <w:tr>
                    <w:tblPrEx>
                      <w:tblInd w:w="2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419"/>
                    </w:trPr>
                    <w:tc>
                      <w:tcPr>
                        <w:tcW w:w="2090" w:type="dxa"/>
                        <w:shd w:val="clear" w:color="auto" w:fill="E7EBEE"/>
                      </w:tcPr>
                      <w:p>
                        <w:pPr>
                          <w:pStyle w:val="TableText"/>
                          <w:spacing w:before="137" w:line="239" w:lineRule="auto"/>
                          <w:ind w:left="874"/>
                        </w:pPr>
                        <w:r>
                          <w:rPr>
                            <w:spacing w:val="-1"/>
                          </w:rPr>
                          <w:t>HCl</w:t>
                        </w:r>
                      </w:p>
                    </w:tc>
                    <w:tc>
                      <w:tcPr>
                        <w:tcW w:w="2090" w:type="dxa"/>
                        <w:shd w:val="clear" w:color="auto" w:fill="E7EBEE"/>
                      </w:tcPr>
                      <w:p>
                        <w:pPr>
                          <w:pStyle w:val="TableText"/>
                          <w:spacing w:before="170" w:line="183" w:lineRule="auto"/>
                          <w:ind w:left="874"/>
                        </w:pPr>
                        <w:r>
                          <w:rPr>
                            <w:spacing w:val="-2"/>
                          </w:rPr>
                          <w:t>40%</w:t>
                        </w:r>
                      </w:p>
                    </w:tc>
                  </w:tr>
                  <w:tr>
                    <w:tblPrEx>
                      <w:tblInd w:w="25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000"/>
                    </w:tblPrEx>
                    <w:trPr>
                      <w:trHeight w:val="413"/>
                    </w:trPr>
                    <w:tc>
                      <w:tcPr>
                        <w:tcW w:w="2090" w:type="dxa"/>
                        <w:shd w:val="clear" w:color="auto" w:fill="D1DAE1"/>
                      </w:tcPr>
                      <w:p>
                        <w:pPr>
                          <w:pStyle w:val="TableText"/>
                          <w:spacing w:before="162" w:line="182" w:lineRule="auto"/>
                          <w:ind w:left="935"/>
                        </w:pPr>
                        <w:r>
                          <w:rPr>
                            <w:color w:val="003F5E"/>
                            <w:spacing w:val="-1"/>
                          </w:rPr>
                          <w:t>HF</w:t>
                        </w:r>
                      </w:p>
                    </w:tc>
                    <w:tc>
                      <w:tcPr>
                        <w:tcW w:w="2090" w:type="dxa"/>
                        <w:shd w:val="clear" w:color="auto" w:fill="D1DAE1"/>
                      </w:tcPr>
                      <w:p>
                        <w:pPr>
                          <w:pStyle w:val="TableText"/>
                          <w:spacing w:before="161" w:line="183" w:lineRule="auto"/>
                          <w:ind w:left="874"/>
                        </w:pPr>
                        <w:r>
                          <w:rPr>
                            <w:spacing w:val="-2"/>
                          </w:rPr>
                          <w:t>40%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rFonts w:ascii="黑体" w:eastAsia="黑体" w:hAnsi="黑体" w:cs="黑体"/>
          <w:b/>
          <w:bCs/>
          <w:spacing w:val="9"/>
          <w:position w:val="21"/>
          <w:sz w:val="33"/>
          <w:szCs w:val="33"/>
        </w:rPr>
        <w:t>、环境容量</w:t>
      </w:r>
      <w:r>
        <w:rPr>
          <w:rFonts w:ascii="黑体" w:eastAsia="黑体" w:hAnsi="黑体" w:cs="黑体"/>
          <w:spacing w:val="-75"/>
          <w:position w:val="21"/>
          <w:sz w:val="33"/>
          <w:szCs w:val="33"/>
        </w:rPr>
        <w:t xml:space="preserve"> </w:t>
      </w:r>
      <w:r>
        <w:rPr>
          <w:rFonts w:ascii="黑体" w:eastAsia="黑体" w:hAnsi="黑体" w:cs="黑体"/>
          <w:b/>
          <w:bCs/>
          <w:spacing w:val="9"/>
          <w:position w:val="21"/>
          <w:sz w:val="33"/>
          <w:szCs w:val="33"/>
        </w:rPr>
        <w:t>-</w:t>
      </w:r>
      <w:r>
        <w:rPr>
          <w:rFonts w:ascii="黑体" w:eastAsia="黑体" w:hAnsi="黑体" w:cs="黑体"/>
          <w:b/>
          <w:bCs/>
          <w:color w:val="BC0000"/>
          <w:spacing w:val="9"/>
          <w:position w:val="21"/>
          <w:sz w:val="33"/>
          <w:szCs w:val="33"/>
        </w:rPr>
        <w:t>执法线—绝对指标</w:t>
      </w:r>
    </w:p>
    <w:p>
      <w:pPr>
        <w:spacing w:line="219" w:lineRule="auto"/>
        <w:ind w:left="1794"/>
        <w:rPr>
          <w:rFonts w:ascii="黑体" w:eastAsia="黑体" w:hAnsi="黑体" w:cs="黑体"/>
          <w:sz w:val="33"/>
          <w:szCs w:val="33"/>
        </w:rPr>
      </w:pPr>
      <w:r>
        <w:rPr>
          <w:rFonts w:ascii="黑体" w:eastAsia="黑体" w:hAnsi="黑体" w:cs="黑体"/>
          <w:b/>
          <w:bCs/>
          <w:sz w:val="33"/>
          <w:szCs w:val="33"/>
        </w:rPr>
        <w:t>Ⅲ、压线运行-</w:t>
      </w:r>
      <w:r>
        <w:rPr>
          <w:rFonts w:ascii="黑体" w:eastAsia="黑体" w:hAnsi="黑体" w:cs="黑体"/>
          <w:b/>
          <w:bCs/>
          <w:color w:val="BC0000"/>
          <w:sz w:val="33"/>
          <w:szCs w:val="33"/>
        </w:rPr>
        <w:t>内控线—相对指标</w:t>
      </w:r>
    </w:p>
    <w:p>
      <w:pPr>
        <w:pStyle w:val="BodyText"/>
        <w:spacing w:line="269" w:lineRule="auto"/>
      </w:pPr>
    </w:p>
    <w:p>
      <w:pPr>
        <w:pStyle w:val="BodyText"/>
        <w:spacing w:line="269" w:lineRule="auto"/>
      </w:pPr>
    </w:p>
    <w:p>
      <w:pPr>
        <w:pStyle w:val="BodyText"/>
        <w:spacing w:line="269" w:lineRule="auto"/>
      </w:pPr>
    </w:p>
    <w:p>
      <w:pPr>
        <w:spacing w:before="109" w:line="221" w:lineRule="auto"/>
        <w:ind w:left="1074"/>
        <w:rPr>
          <w:rFonts w:ascii="黑体" w:eastAsia="黑体" w:hAnsi="黑体" w:cs="黑体"/>
          <w:sz w:val="33"/>
          <w:szCs w:val="33"/>
        </w:rPr>
      </w:pPr>
      <w:r>
        <w:rPr>
          <w:rFonts w:ascii="黑体" w:eastAsia="黑体" w:hAnsi="黑体" w:cs="黑体"/>
          <w:b/>
          <w:bCs/>
          <w:color w:val="007703"/>
          <w:spacing w:val="-14"/>
          <w:sz w:val="33"/>
          <w:szCs w:val="33"/>
        </w:rPr>
        <w:t>我国标准与欧盟标准不存在误差规则的同一性</w:t>
      </w:r>
    </w:p>
    <w:p>
      <w:pPr>
        <w:spacing w:before="121" w:line="213" w:lineRule="auto"/>
        <w:ind w:left="1534"/>
        <w:rPr>
          <w:rFonts w:ascii="Times New Roman" w:eastAsia="Times New Roman" w:hAnsi="Times New Roman" w:cs="Times New Roman"/>
          <w:sz w:val="33"/>
          <w:szCs w:val="33"/>
        </w:rPr>
      </w:pPr>
      <w:r>
        <w:rPr>
          <w:rFonts w:ascii="黑体" w:eastAsia="黑体" w:hAnsi="黑体" w:cs="黑体"/>
          <w:b/>
          <w:bCs/>
          <w:spacing w:val="-30"/>
          <w:sz w:val="33"/>
          <w:szCs w:val="33"/>
        </w:rPr>
        <w:t>·指标含义：日均值，半小时100</w:t>
      </w:r>
      <w:r>
        <w:rPr>
          <w:rFonts w:ascii="Times New Roman" w:eastAsia="Times New Roman" w:hAnsi="Times New Roman" w:cs="Times New Roman"/>
          <w:b/>
          <w:bCs/>
          <w:spacing w:val="-30"/>
          <w:sz w:val="33"/>
          <w:szCs w:val="33"/>
        </w:rPr>
        <w:t>%</w:t>
      </w:r>
      <w:r>
        <w:rPr>
          <w:rFonts w:ascii="宋体" w:eastAsia="宋体" w:hAnsi="宋体" w:cs="宋体"/>
          <w:b/>
          <w:bCs/>
          <w:spacing w:val="-30"/>
          <w:sz w:val="33"/>
          <w:szCs w:val="33"/>
        </w:rPr>
        <w:t>、</w:t>
      </w:r>
      <w:r>
        <w:rPr>
          <w:rFonts w:ascii="Times New Roman" w:eastAsia="Times New Roman" w:hAnsi="Times New Roman" w:cs="Times New Roman"/>
          <w:b/>
          <w:bCs/>
          <w:spacing w:val="-30"/>
          <w:sz w:val="33"/>
          <w:szCs w:val="33"/>
        </w:rPr>
        <w:t>97%</w:t>
      </w:r>
    </w:p>
    <w:p>
      <w:pPr>
        <w:spacing w:before="150" w:line="483" w:lineRule="exact"/>
        <w:ind w:left="1534"/>
        <w:rPr>
          <w:rFonts w:ascii="黑体" w:eastAsia="黑体" w:hAnsi="黑体" w:cs="黑体"/>
          <w:sz w:val="33"/>
          <w:szCs w:val="33"/>
        </w:rPr>
      </w:pPr>
      <w:r>
        <w:rPr>
          <w:rFonts w:ascii="黑体" w:eastAsia="黑体" w:hAnsi="黑体" w:cs="黑体"/>
          <w:b/>
          <w:bCs/>
          <w:spacing w:val="-27"/>
          <w:position w:val="10"/>
          <w:sz w:val="33"/>
          <w:szCs w:val="33"/>
        </w:rPr>
        <w:t>·检测方法：执行检测标准不同</w:t>
      </w:r>
    </w:p>
    <w:p>
      <w:pPr>
        <w:spacing w:before="2" w:line="220" w:lineRule="auto"/>
        <w:ind w:left="1534"/>
        <w:rPr>
          <w:rFonts w:ascii="黑体" w:eastAsia="黑体" w:hAnsi="黑体" w:cs="黑体"/>
          <w:sz w:val="33"/>
          <w:szCs w:val="33"/>
        </w:rPr>
      </w:pPr>
      <w:r>
        <w:rPr>
          <w:rFonts w:ascii="黑体" w:eastAsia="黑体" w:hAnsi="黑体" w:cs="黑体"/>
          <w:b/>
          <w:bCs/>
          <w:spacing w:val="-30"/>
          <w:sz w:val="33"/>
          <w:szCs w:val="33"/>
        </w:rPr>
        <w:t>·检测仪器：种类与质量要求</w:t>
      </w:r>
    </w:p>
    <w:p>
      <w:pPr>
        <w:spacing w:before="105" w:line="221" w:lineRule="auto"/>
        <w:ind w:left="1533"/>
        <w:rPr>
          <w:rFonts w:ascii="宋体" w:eastAsia="宋体" w:hAnsi="宋体" w:cs="宋体"/>
          <w:sz w:val="33"/>
          <w:szCs w:val="33"/>
        </w:rPr>
      </w:pPr>
      <w:r>
        <w:rPr>
          <w:rFonts w:ascii="黑体" w:eastAsia="黑体" w:hAnsi="黑体" w:cs="黑体"/>
          <w:b/>
          <w:bCs/>
          <w:spacing w:val="-41"/>
          <w:sz w:val="33"/>
          <w:szCs w:val="33"/>
        </w:rPr>
        <w:t>·评价方法：2010/76/</w:t>
      </w:r>
      <w:r>
        <w:rPr>
          <w:rFonts w:ascii="宋体" w:eastAsia="宋体" w:hAnsi="宋体" w:cs="宋体"/>
          <w:b/>
          <w:bCs/>
          <w:spacing w:val="-41"/>
          <w:sz w:val="33"/>
          <w:szCs w:val="33"/>
        </w:rPr>
        <w:t>EC</w:t>
      </w:r>
    </w:p>
    <w:p>
      <w:pPr>
        <w:spacing w:before="89" w:line="183" w:lineRule="auto"/>
        <w:ind w:left="13960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color w:val="718C9C"/>
          <w:sz w:val="27"/>
          <w:szCs w:val="27"/>
        </w:rPr>
        <w:t>8</w:t>
      </w:r>
    </w:p>
    <w:p>
      <w:pPr>
        <w:spacing w:line="183" w:lineRule="auto"/>
        <w:rPr>
          <w:rFonts w:ascii="宋体" w:eastAsia="宋体" w:hAnsi="宋体" w:cs="宋体"/>
          <w:sz w:val="27"/>
          <w:szCs w:val="27"/>
        </w:rPr>
        <w:sectPr>
          <w:headerReference w:type="default" r:id="rId21"/>
          <w:pgSz w:w="16840" w:h="11910"/>
          <w:pgMar w:top="1910" w:right="1220" w:bottom="0" w:left="1170" w:header="1889" w:footer="0" w:gutter="0"/>
          <w:pgNumType w:start="10"/>
          <w:cols w:space="708"/>
        </w:sectPr>
      </w:pPr>
    </w:p>
    <w:p>
      <w:pPr>
        <w:pStyle w:val="BodyText"/>
        <w:spacing w:line="241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line="1040" w:lineRule="exact"/>
      </w:pPr>
      <w:r>
        <w:rPr>
          <w:position w:val="-20"/>
        </w:rPr>
        <w:pict>
          <v:group id="组合 17" o:spid="_x0000_i1045" style="width:715.05pt;height:52pt;mso-position-horizontal-relative:char;mso-position-vertical-relative:line" coordorigin="0,0" coordsize="14300,1040">
            <v:shape id="图片 18" o:spid="_x0000_s1046" type="#_x0000_t75" style="width:14300;height:1040;position:absolute" filled="f" stroked="f">
              <v:imagedata r:id="rId22" o:title=""/>
              <v:path o:extrusionok="f"/>
              <o:lock v:ext="edit" aspectratio="t"/>
            </v:shape>
            <v:shape id="文本框 19" o:spid="_x0000_s1047" type="#_x0000_t202" style="width:14340;height:108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378" w:line="220" w:lineRule="auto"/>
                      <w:ind w:left="137"/>
                      <w:outlineLvl w:val="6"/>
                      <w:rPr>
                        <w:rFonts w:ascii="黑体" w:eastAsia="黑体" w:hAnsi="黑体" w:cs="黑体"/>
                        <w:sz w:val="52"/>
                        <w:szCs w:val="52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color w:val="FFFFFF"/>
                        <w:spacing w:val="24"/>
                        <w:sz w:val="52"/>
                        <w:szCs w:val="52"/>
                      </w:rPr>
                      <w:t>一、垃圾焚烧的工程基础—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color w:val="FEFE00"/>
                        <w:spacing w:val="-35"/>
                        <w:w w:val="85"/>
                        <w:sz w:val="52"/>
                        <w:szCs w:val="52"/>
                      </w:rPr>
                      <w:t>适用于垃圾焚烧全过程分析的熵增原理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164" w:line="209" w:lineRule="auto"/>
        <w:ind w:left="163"/>
        <w:rPr>
          <w:rFonts w:ascii="黑体" w:eastAsia="黑体" w:hAnsi="黑体" w:cs="黑体"/>
          <w:sz w:val="25"/>
          <w:szCs w:val="25"/>
        </w:rPr>
      </w:pPr>
      <w:r>
        <w:rPr>
          <w:rFonts w:ascii="黑体" w:eastAsia="黑体" w:hAnsi="黑体" w:cs="黑体"/>
          <w:b/>
          <w:bCs/>
          <w:spacing w:val="-11"/>
          <w:sz w:val="25"/>
          <w:szCs w:val="25"/>
        </w:rPr>
        <w:t>①能量守恒—质能守恒是工程技术的理论基础。由热力学功能转换理论揭示出，为了做功</w:t>
      </w:r>
      <w:r>
        <w:rPr>
          <w:rFonts w:ascii="黑体" w:eastAsia="黑体" w:hAnsi="黑体" w:cs="黑体"/>
          <w:b/>
          <w:bCs/>
          <w:spacing w:val="-12"/>
          <w:sz w:val="25"/>
          <w:szCs w:val="25"/>
        </w:rPr>
        <w:t>，在一个系统中热能必须非均匀分布，其</w:t>
      </w:r>
    </w:p>
    <w:p>
      <w:pPr>
        <w:spacing w:line="204" w:lineRule="auto"/>
        <w:ind w:left="449"/>
        <w:rPr>
          <w:rFonts w:ascii="黑体" w:eastAsia="黑体" w:hAnsi="黑体" w:cs="黑体"/>
          <w:sz w:val="25"/>
          <w:szCs w:val="25"/>
        </w:rPr>
      </w:pPr>
      <w:r>
        <w:rPr>
          <w:rFonts w:ascii="黑体" w:eastAsia="黑体" w:hAnsi="黑体" w:cs="黑体"/>
          <w:spacing w:val="-6"/>
          <w:sz w:val="25"/>
          <w:szCs w:val="25"/>
        </w:rPr>
        <w:t>中某一部分热能</w:t>
      </w:r>
      <w:r>
        <w:rPr>
          <w:rFonts w:ascii="宋体" w:eastAsia="宋体" w:hAnsi="宋体" w:cs="宋体"/>
          <w:spacing w:val="-6"/>
          <w:sz w:val="25"/>
          <w:szCs w:val="25"/>
        </w:rPr>
        <w:t>N</w:t>
      </w:r>
      <w:r>
        <w:rPr>
          <w:rFonts w:ascii="黑体" w:eastAsia="黑体" w:hAnsi="黑体" w:cs="黑体"/>
          <w:spacing w:val="-6"/>
          <w:sz w:val="25"/>
          <w:szCs w:val="25"/>
        </w:rPr>
        <w:t>的密集程度大于平均值，另一部分</w:t>
      </w:r>
      <w:r>
        <w:rPr>
          <w:rFonts w:ascii="宋体" w:eastAsia="宋体" w:hAnsi="宋体" w:cs="宋体"/>
          <w:spacing w:val="-6"/>
          <w:sz w:val="25"/>
          <w:szCs w:val="25"/>
        </w:rPr>
        <w:t xml:space="preserve">N </w:t>
      </w:r>
      <w:r>
        <w:rPr>
          <w:rFonts w:ascii="黑体" w:eastAsia="黑体" w:hAnsi="黑体" w:cs="黑体"/>
          <w:spacing w:val="-6"/>
          <w:sz w:val="25"/>
          <w:szCs w:val="25"/>
        </w:rPr>
        <w:t>则小于平均值，可获得功的数量取决于这种密集程度差</w:t>
      </w:r>
      <w:r>
        <w:rPr>
          <w:rFonts w:ascii="宋体" w:eastAsia="宋体" w:hAnsi="宋体" w:cs="宋体"/>
          <w:spacing w:val="-6"/>
          <w:sz w:val="25"/>
          <w:szCs w:val="25"/>
        </w:rPr>
        <w:t>N=NN</w:t>
      </w:r>
      <w:r>
        <w:rPr>
          <w:rFonts w:ascii="宋体" w:eastAsia="宋体" w:hAnsi="宋体" w:cs="宋体"/>
          <w:spacing w:val="-7"/>
          <w:sz w:val="25"/>
          <w:szCs w:val="25"/>
        </w:rPr>
        <w:t xml:space="preserve">。   </w:t>
      </w:r>
      <w:r>
        <w:rPr>
          <w:rFonts w:ascii="黑体" w:eastAsia="黑体" w:hAnsi="黑体" w:cs="黑体"/>
          <w:spacing w:val="-7"/>
          <w:sz w:val="25"/>
          <w:szCs w:val="25"/>
        </w:rPr>
        <w:t>这种差</w:t>
      </w:r>
    </w:p>
    <w:p>
      <w:pPr>
        <w:spacing w:before="1" w:line="212" w:lineRule="auto"/>
        <w:ind w:left="453"/>
        <w:rPr>
          <w:rFonts w:ascii="黑体" w:eastAsia="黑体" w:hAnsi="黑体" w:cs="黑体"/>
          <w:sz w:val="25"/>
          <w:szCs w:val="25"/>
        </w:rPr>
      </w:pPr>
      <w:r>
        <w:rPr>
          <w:rFonts w:ascii="黑体" w:eastAsia="黑体" w:hAnsi="黑体" w:cs="黑体"/>
          <w:b/>
          <w:bCs/>
          <w:spacing w:val="-16"/>
          <w:sz w:val="25"/>
          <w:szCs w:val="25"/>
        </w:rPr>
        <w:t>异随着做功的过程而减小，当△</w:t>
      </w:r>
      <w:r>
        <w:rPr>
          <w:rFonts w:ascii="宋体" w:eastAsia="宋体" w:hAnsi="宋体" w:cs="宋体"/>
          <w:b/>
          <w:bCs/>
          <w:spacing w:val="-16"/>
          <w:sz w:val="25"/>
          <w:szCs w:val="25"/>
        </w:rPr>
        <w:t>N=0</w:t>
      </w:r>
      <w:r>
        <w:rPr>
          <w:rFonts w:ascii="宋体" w:eastAsia="宋体" w:hAnsi="宋体" w:cs="宋体"/>
          <w:spacing w:val="-16"/>
          <w:sz w:val="25"/>
          <w:szCs w:val="25"/>
        </w:rPr>
        <w:t xml:space="preserve"> </w:t>
      </w:r>
      <w:r>
        <w:rPr>
          <w:rFonts w:ascii="黑体" w:eastAsia="黑体" w:hAnsi="黑体" w:cs="黑体"/>
          <w:b/>
          <w:bCs/>
          <w:spacing w:val="-16"/>
          <w:sz w:val="25"/>
          <w:szCs w:val="25"/>
        </w:rPr>
        <w:t>即能量均匀分布时，就不能再做功了，尽管此时总能量依然存在着。</w:t>
      </w:r>
    </w:p>
    <w:p>
      <w:pPr>
        <w:spacing w:before="241" w:line="175" w:lineRule="auto"/>
        <w:ind w:left="163"/>
        <w:rPr>
          <w:rFonts w:ascii="黑体" w:eastAsia="黑体" w:hAnsi="黑体" w:cs="黑体"/>
          <w:sz w:val="25"/>
          <w:szCs w:val="25"/>
        </w:rPr>
      </w:pPr>
      <w:r>
        <w:rPr>
          <w:rFonts w:ascii="黑体" w:eastAsia="黑体" w:hAnsi="黑体" w:cs="黑体"/>
          <w:b/>
          <w:bCs/>
          <w:spacing w:val="-10"/>
          <w:sz w:val="25"/>
          <w:szCs w:val="25"/>
        </w:rPr>
        <w:t>②克劳修斯对热机热功转换效率</w:t>
      </w:r>
      <w:r>
        <w:rPr>
          <w:rFonts w:ascii="宋体" w:eastAsia="宋体" w:hAnsi="宋体" w:cs="宋体"/>
          <w:b/>
          <w:bCs/>
          <w:spacing w:val="-10"/>
          <w:sz w:val="25"/>
          <w:szCs w:val="25"/>
        </w:rPr>
        <w:t>FT/T≤1</w:t>
      </w:r>
      <w:r>
        <w:rPr>
          <w:rFonts w:ascii="宋体" w:eastAsia="宋体" w:hAnsi="宋体" w:cs="宋体"/>
          <w:spacing w:val="-45"/>
          <w:sz w:val="25"/>
          <w:szCs w:val="25"/>
        </w:rPr>
        <w:t xml:space="preserve"> </w:t>
      </w:r>
      <w:r>
        <w:rPr>
          <w:rFonts w:ascii="黑体" w:eastAsia="黑体" w:hAnsi="黑体" w:cs="黑体"/>
          <w:b/>
          <w:bCs/>
          <w:spacing w:val="-10"/>
          <w:sz w:val="25"/>
          <w:szCs w:val="25"/>
        </w:rPr>
        <w:t>解释：在没有摩擦的理想状况下，最高效率</w:t>
      </w:r>
      <w:r>
        <w:rPr>
          <w:rFonts w:ascii="宋体" w:eastAsia="宋体" w:hAnsi="宋体" w:cs="宋体"/>
          <w:b/>
          <w:bCs/>
          <w:spacing w:val="-10"/>
          <w:sz w:val="25"/>
          <w:szCs w:val="25"/>
        </w:rPr>
        <w:t>FT/Z=1</w:t>
      </w:r>
      <w:r>
        <w:rPr>
          <w:rFonts w:ascii="宋体" w:eastAsia="宋体" w:hAnsi="宋体" w:cs="宋体"/>
          <w:b/>
          <w:bCs/>
          <w:spacing w:val="-11"/>
          <w:sz w:val="25"/>
          <w:szCs w:val="25"/>
        </w:rPr>
        <w:t>。</w:t>
      </w:r>
      <w:r>
        <w:rPr>
          <w:rFonts w:ascii="宋体" w:eastAsia="宋体" w:hAnsi="宋体" w:cs="宋体"/>
          <w:spacing w:val="33"/>
          <w:sz w:val="25"/>
          <w:szCs w:val="25"/>
        </w:rPr>
        <w:t xml:space="preserve">  </w:t>
      </w:r>
      <w:r>
        <w:rPr>
          <w:rFonts w:ascii="黑体" w:eastAsia="黑体" w:hAnsi="黑体" w:cs="黑体"/>
          <w:b/>
          <w:bCs/>
          <w:spacing w:val="-11"/>
          <w:sz w:val="25"/>
          <w:szCs w:val="25"/>
        </w:rPr>
        <w:t>认识到正转变一功转变成热量可以</w:t>
      </w:r>
    </w:p>
    <w:p>
      <w:pPr>
        <w:spacing w:line="200" w:lineRule="auto"/>
        <w:ind w:left="453"/>
        <w:rPr>
          <w:rFonts w:ascii="黑体" w:eastAsia="黑体" w:hAnsi="黑体" w:cs="黑体"/>
          <w:sz w:val="25"/>
          <w:szCs w:val="25"/>
        </w:rPr>
      </w:pPr>
      <w:r>
        <w:rPr>
          <w:rFonts w:ascii="黑体" w:eastAsia="黑体" w:hAnsi="黑体" w:cs="黑体"/>
          <w:b/>
          <w:bCs/>
          <w:spacing w:val="-12"/>
          <w:sz w:val="25"/>
          <w:szCs w:val="25"/>
        </w:rPr>
        <w:t>自发进行，而负转变—热量转变成功，需要同时有一个正转变伴随发</w:t>
      </w:r>
      <w:r>
        <w:rPr>
          <w:rFonts w:ascii="黑体" w:eastAsia="黑体" w:hAnsi="黑体" w:cs="黑体"/>
          <w:b/>
          <w:bCs/>
          <w:spacing w:val="-13"/>
          <w:sz w:val="25"/>
          <w:szCs w:val="25"/>
        </w:rPr>
        <w:t>生，并且正转变的能量要大于负转变，意味着热力过程</w:t>
      </w:r>
    </w:p>
    <w:p>
      <w:pPr>
        <w:spacing w:before="21" w:line="229" w:lineRule="auto"/>
        <w:ind w:left="453" w:right="450"/>
        <w:rPr>
          <w:rFonts w:ascii="黑体" w:eastAsia="黑体" w:hAnsi="黑体" w:cs="黑体"/>
          <w:sz w:val="25"/>
          <w:szCs w:val="25"/>
        </w:rPr>
      </w:pPr>
      <w:r>
        <w:rPr>
          <w:rFonts w:ascii="黑体" w:eastAsia="黑体" w:hAnsi="黑体" w:cs="黑体"/>
          <w:b/>
          <w:bCs/>
          <w:spacing w:val="-7"/>
          <w:sz w:val="25"/>
          <w:szCs w:val="25"/>
        </w:rPr>
        <w:t>都是不可逆过程[&amp;</w:t>
      </w:r>
      <w:r>
        <w:rPr>
          <w:rFonts w:ascii="宋体" w:eastAsia="宋体" w:hAnsi="宋体" w:cs="宋体"/>
          <w:b/>
          <w:bCs/>
          <w:spacing w:val="-7"/>
          <w:sz w:val="25"/>
          <w:szCs w:val="25"/>
        </w:rPr>
        <w:t>D/T≤1,</w:t>
      </w:r>
      <w:r>
        <w:rPr>
          <w:rFonts w:ascii="黑体" w:eastAsia="黑体" w:hAnsi="黑体" w:cs="黑体"/>
          <w:b/>
          <w:bCs/>
          <w:spacing w:val="-7"/>
          <w:sz w:val="25"/>
          <w:szCs w:val="25"/>
        </w:rPr>
        <w:t>对其可逆过程&amp;</w:t>
      </w:r>
      <w:r>
        <w:rPr>
          <w:rFonts w:ascii="宋体" w:eastAsia="宋体" w:hAnsi="宋体" w:cs="宋体"/>
          <w:b/>
          <w:bCs/>
          <w:spacing w:val="-7"/>
          <w:sz w:val="25"/>
          <w:szCs w:val="25"/>
        </w:rPr>
        <w:t>QT,</w:t>
      </w:r>
      <w:r>
        <w:rPr>
          <w:rFonts w:ascii="黑体" w:eastAsia="黑体" w:hAnsi="黑体" w:cs="黑体"/>
          <w:b/>
          <w:bCs/>
          <w:spacing w:val="-7"/>
          <w:sz w:val="25"/>
          <w:szCs w:val="25"/>
        </w:rPr>
        <w:t>代表一个状态函数，定义为熵：&amp;-82</w:t>
      </w:r>
      <w:r>
        <w:rPr>
          <w:rFonts w:ascii="宋体" w:eastAsia="宋体" w:hAnsi="宋体" w:cs="宋体"/>
          <w:b/>
          <w:bCs/>
          <w:spacing w:val="-7"/>
          <w:sz w:val="25"/>
          <w:szCs w:val="25"/>
        </w:rPr>
        <w:t>T</w:t>
      </w:r>
      <w:r>
        <w:rPr>
          <w:rFonts w:ascii="宋体" w:eastAsia="宋体" w:hAnsi="宋体" w:cs="宋体"/>
          <w:spacing w:val="41"/>
          <w:sz w:val="25"/>
          <w:szCs w:val="25"/>
        </w:rPr>
        <w:t xml:space="preserve"> </w:t>
      </w:r>
      <w:r>
        <w:rPr>
          <w:rFonts w:ascii="黑体" w:eastAsia="黑体" w:hAnsi="黑体" w:cs="黑体"/>
          <w:b/>
          <w:bCs/>
          <w:spacing w:val="-7"/>
          <w:sz w:val="25"/>
          <w:szCs w:val="25"/>
        </w:rPr>
        <w:t>这就从能量品质角度规定了能量转换不可</w:t>
      </w:r>
      <w:r>
        <w:rPr>
          <w:rFonts w:ascii="黑体" w:eastAsia="黑体" w:hAnsi="黑体" w:cs="黑体"/>
          <w:sz w:val="25"/>
          <w:szCs w:val="25"/>
        </w:rPr>
        <w:t xml:space="preserve">  </w:t>
      </w:r>
      <w:r>
        <w:rPr>
          <w:rFonts w:ascii="黑体" w:eastAsia="黑体" w:hAnsi="黑体" w:cs="黑体"/>
          <w:b/>
          <w:bCs/>
          <w:spacing w:val="-15"/>
          <w:sz w:val="25"/>
          <w:szCs w:val="25"/>
        </w:rPr>
        <w:t>逆过程中的方向、条件和限度—熵增原理。</w:t>
      </w:r>
    </w:p>
    <w:p>
      <w:pPr>
        <w:spacing w:before="213" w:line="216" w:lineRule="auto"/>
        <w:ind w:left="348" w:right="495" w:hanging="18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1"/>
          <w:sz w:val="21"/>
          <w:szCs w:val="21"/>
        </w:rPr>
        <w:t>&gt;</w:t>
      </w:r>
      <w:r>
        <w:rPr>
          <w:rFonts w:ascii="宋体" w:eastAsia="宋体" w:hAnsi="宋体" w:cs="宋体"/>
          <w:spacing w:val="-30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1"/>
          <w:sz w:val="21"/>
          <w:szCs w:val="21"/>
        </w:rPr>
        <w:t>熵</w:t>
      </w:r>
      <w:r>
        <w:rPr>
          <w:rFonts w:ascii="宋体" w:eastAsia="宋体" w:hAnsi="宋体" w:cs="宋体"/>
          <w:b/>
          <w:bCs/>
          <w:spacing w:val="-11"/>
          <w:sz w:val="21"/>
          <w:szCs w:val="21"/>
        </w:rPr>
        <w:t>表示在孤立系统内的自然状态下不可用程度的量度，属物质内部状态的一个物理量，和质量守恒没有关系。熵值大小标志着系统无规则运动的状态</w:t>
      </w:r>
      <w:r>
        <w:rPr>
          <w:rFonts w:ascii="宋体" w:eastAsia="宋体" w:hAnsi="宋体" w:cs="宋体"/>
          <w:spacing w:val="-11"/>
          <w:sz w:val="21"/>
          <w:szCs w:val="21"/>
        </w:rPr>
        <w:t>，只</w:t>
      </w:r>
      <w:r>
        <w:rPr>
          <w:rFonts w:ascii="宋体" w:eastAsia="宋体" w:hAnsi="宋体" w:cs="宋体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10"/>
          <w:sz w:val="21"/>
          <w:szCs w:val="21"/>
        </w:rPr>
        <w:t>能推算出来，不能直接测量，更不具备横向</w:t>
      </w:r>
      <w:r>
        <w:rPr>
          <w:rFonts w:ascii="宋体" w:eastAsia="宋体" w:hAnsi="宋体" w:cs="宋体"/>
          <w:spacing w:val="-11"/>
          <w:sz w:val="21"/>
          <w:szCs w:val="21"/>
        </w:rPr>
        <w:t>可比性</w:t>
      </w:r>
    </w:p>
    <w:p>
      <w:pPr>
        <w:spacing w:before="147" w:line="259" w:lineRule="auto"/>
        <w:ind w:left="159" w:right="425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2"/>
          <w:sz w:val="21"/>
          <w:szCs w:val="21"/>
        </w:rPr>
        <w:t>&gt;</w:t>
      </w:r>
      <w:r>
        <w:rPr>
          <w:rFonts w:ascii="宋体" w:eastAsia="宋体" w:hAnsi="宋体" w:cs="宋体"/>
          <w:spacing w:val="-54"/>
          <w:sz w:val="21"/>
          <w:szCs w:val="21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21"/>
          <w:szCs w:val="21"/>
        </w:rPr>
        <w:t>孤立系统的熵变过程总是朝着熵增方向进行即</w:t>
      </w:r>
      <w:r>
        <w:rPr>
          <w:rFonts w:ascii="Times New Roman" w:eastAsia="Times New Roman" w:hAnsi="Times New Roman" w:cs="Times New Roman"/>
          <w:b/>
          <w:bCs/>
          <w:color w:val="EE0000"/>
          <w:spacing w:val="-12"/>
          <w:sz w:val="21"/>
          <w:szCs w:val="21"/>
        </w:rPr>
        <w:t>dS≥0</w:t>
      </w:r>
      <w:r>
        <w:rPr>
          <w:rFonts w:ascii="宋体" w:eastAsia="宋体" w:hAnsi="宋体" w:cs="宋体"/>
          <w:b/>
          <w:bCs/>
          <w:color w:val="EE0000"/>
          <w:spacing w:val="-12"/>
          <w:sz w:val="21"/>
          <w:szCs w:val="21"/>
        </w:rPr>
        <w:t>的过程，</w:t>
      </w:r>
      <w:r>
        <w:rPr>
          <w:rFonts w:ascii="Times New Roman" w:eastAsia="Times New Roman" w:hAnsi="Times New Roman" w:cs="Times New Roman"/>
          <w:b/>
          <w:bCs/>
          <w:color w:val="EE0000"/>
          <w:spacing w:val="-12"/>
          <w:sz w:val="21"/>
          <w:szCs w:val="21"/>
        </w:rPr>
        <w:t>dS&lt;0</w:t>
      </w:r>
      <w:r>
        <w:rPr>
          <w:rFonts w:ascii="宋体" w:eastAsia="宋体" w:hAnsi="宋体" w:cs="宋体"/>
          <w:b/>
          <w:bCs/>
          <w:spacing w:val="-12"/>
          <w:sz w:val="21"/>
          <w:szCs w:val="21"/>
        </w:rPr>
        <w:t>过程不会发生。熵在可逆过程即</w:t>
      </w:r>
      <w:r>
        <w:rPr>
          <w:rFonts w:ascii="宋体" w:eastAsia="宋体" w:hAnsi="宋体" w:cs="宋体"/>
          <w:b/>
          <w:bCs/>
          <w:color w:val="EE0000"/>
          <w:spacing w:val="-12"/>
          <w:sz w:val="21"/>
          <w:szCs w:val="21"/>
        </w:rPr>
        <w:t>理想过程，</w:t>
      </w:r>
      <w:r>
        <w:rPr>
          <w:rFonts w:ascii="宋体" w:eastAsia="宋体" w:hAnsi="宋体" w:cs="宋体"/>
          <w:color w:val="EE0000"/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EE0000"/>
          <w:spacing w:val="-12"/>
          <w:sz w:val="21"/>
          <w:szCs w:val="21"/>
        </w:rPr>
        <w:t>dS=0</w:t>
      </w:r>
      <w:r>
        <w:rPr>
          <w:rFonts w:ascii="宋体" w:eastAsia="宋体" w:hAnsi="宋体" w:cs="宋体"/>
          <w:b/>
          <w:bCs/>
          <w:spacing w:val="-12"/>
          <w:sz w:val="21"/>
          <w:szCs w:val="21"/>
        </w:rPr>
        <w:t>不变；在不可逆过程</w:t>
      </w:r>
      <w:r>
        <w:rPr>
          <w:rFonts w:ascii="Times New Roman" w:eastAsia="Times New Roman" w:hAnsi="Times New Roman" w:cs="Times New Roman"/>
          <w:b/>
          <w:bCs/>
          <w:color w:val="EE0000"/>
          <w:spacing w:val="-12"/>
          <w:sz w:val="21"/>
          <w:szCs w:val="21"/>
        </w:rPr>
        <w:t>dS&gt;0</w:t>
      </w:r>
      <w:r>
        <w:rPr>
          <w:rFonts w:ascii="Times New Roman" w:eastAsia="Times New Roman" w:hAnsi="Times New Roman" w:cs="Times New Roman"/>
          <w:b/>
          <w:bCs/>
          <w:color w:val="EE0000"/>
          <w:spacing w:val="21"/>
          <w:sz w:val="21"/>
          <w:szCs w:val="21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21"/>
          <w:szCs w:val="21"/>
        </w:rPr>
        <w:t>中总是增</w:t>
      </w:r>
      <w:r>
        <w:rPr>
          <w:rFonts w:ascii="宋体" w:eastAsia="宋体" w:hAnsi="宋体" w:cs="宋体"/>
          <w:b/>
          <w:bCs/>
          <w:spacing w:val="-13"/>
          <w:sz w:val="21"/>
          <w:szCs w:val="21"/>
        </w:rPr>
        <w:t>加</w:t>
      </w:r>
      <w:r>
        <w:rPr>
          <w:rFonts w:ascii="宋体" w:eastAsia="宋体" w:hAnsi="宋体" w:cs="宋体"/>
          <w:spacing w:val="-13"/>
          <w:sz w:val="21"/>
          <w:szCs w:val="21"/>
        </w:rPr>
        <w:t>的。</w:t>
      </w:r>
      <w:r>
        <w:rPr>
          <w:rFonts w:ascii="宋体" w:eastAsia="宋体" w:hAnsi="宋体" w:cs="宋体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5"/>
          <w:sz w:val="21"/>
          <w:szCs w:val="21"/>
        </w:rPr>
        <w:t xml:space="preserve">&gt;熵增原理作为普遍应用定律，基本表述： S </w:t>
      </w:r>
      <w:r>
        <w:rPr>
          <w:rFonts w:ascii="宋体" w:eastAsia="宋体" w:hAnsi="宋体" w:cs="宋体"/>
          <w:spacing w:val="-6"/>
          <w:sz w:val="21"/>
          <w:szCs w:val="21"/>
        </w:rPr>
        <w:t>(</w:t>
      </w:r>
      <w:r>
        <w:rPr>
          <w:rFonts w:ascii="宋体" w:eastAsia="宋体" w:hAnsi="宋体" w:cs="宋体"/>
          <w:spacing w:val="-4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6"/>
          <w:sz w:val="21"/>
          <w:szCs w:val="21"/>
        </w:rPr>
        <w:t>熵</w:t>
      </w:r>
      <w:r>
        <w:rPr>
          <w:rFonts w:ascii="宋体" w:eastAsia="宋体" w:hAnsi="宋体" w:cs="宋体"/>
          <w:spacing w:val="-4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6"/>
          <w:sz w:val="21"/>
          <w:szCs w:val="21"/>
        </w:rPr>
        <w:t>)</w:t>
      </w:r>
      <w:r>
        <w:rPr>
          <w:rFonts w:ascii="宋体" w:eastAsia="宋体" w:hAnsi="宋体" w:cs="宋体"/>
          <w:spacing w:val="-46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6"/>
          <w:sz w:val="21"/>
          <w:szCs w:val="21"/>
        </w:rPr>
        <w:t>=K</w:t>
      </w:r>
      <w:r>
        <w:rPr>
          <w:rFonts w:ascii="宋体" w:eastAsia="宋体" w:hAnsi="宋体" w:cs="宋体"/>
          <w:spacing w:val="25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6"/>
          <w:sz w:val="21"/>
          <w:szCs w:val="21"/>
        </w:rPr>
        <w:t>(常数)logW</w:t>
      </w:r>
      <w:r>
        <w:rPr>
          <w:rFonts w:ascii="宋体" w:eastAsia="宋体" w:hAnsi="宋体" w:cs="宋体"/>
          <w:spacing w:val="46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6"/>
          <w:sz w:val="21"/>
          <w:szCs w:val="21"/>
        </w:rPr>
        <w:t>(给定状态概率)</w:t>
      </w:r>
    </w:p>
    <w:p>
      <w:pPr>
        <w:spacing w:before="113" w:line="219" w:lineRule="auto"/>
        <w:ind w:left="15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8"/>
          <w:sz w:val="21"/>
          <w:szCs w:val="21"/>
        </w:rPr>
        <w:t>&gt;以垃圾熵作为物质生命周期形态变异量度的理论基础，也是认知垃圾焚烧的理论工具。</w:t>
      </w:r>
    </w:p>
    <w:p>
      <w:pPr>
        <w:spacing w:before="157" w:line="236" w:lineRule="auto"/>
        <w:ind w:left="452" w:right="489" w:hanging="293"/>
        <w:rPr>
          <w:rFonts w:ascii="黑体" w:eastAsia="黑体" w:hAnsi="黑体" w:cs="黑体"/>
          <w:sz w:val="25"/>
          <w:szCs w:val="25"/>
        </w:rPr>
      </w:pPr>
      <w:r>
        <w:rPr>
          <w:rFonts w:ascii="黑体" w:eastAsia="黑体" w:hAnsi="黑体" w:cs="黑体"/>
          <w:spacing w:val="-12"/>
          <w:sz w:val="25"/>
          <w:szCs w:val="25"/>
        </w:rPr>
        <w:t>③</w:t>
      </w:r>
      <w:r>
        <w:rPr>
          <w:rFonts w:ascii="黑体" w:eastAsia="黑体" w:hAnsi="黑体" w:cs="黑体"/>
          <w:b/>
          <w:bCs/>
          <w:color w:val="C10000"/>
          <w:spacing w:val="-12"/>
          <w:sz w:val="25"/>
          <w:szCs w:val="25"/>
        </w:rPr>
        <w:t>从一切自发过程都是单向不可逆的熵增原理，可得出生态经济系统不可持续发展</w:t>
      </w:r>
      <w:r>
        <w:rPr>
          <w:rFonts w:ascii="黑体" w:eastAsia="黑体" w:hAnsi="黑体" w:cs="黑体"/>
          <w:color w:val="C10000"/>
          <w:spacing w:val="-12"/>
          <w:sz w:val="25"/>
          <w:szCs w:val="25"/>
        </w:rPr>
        <w:t>的结论。要实现可持续发展</w:t>
      </w:r>
      <w:r>
        <w:rPr>
          <w:rFonts w:ascii="黑体" w:eastAsia="黑体" w:hAnsi="黑体" w:cs="黑体"/>
          <w:color w:val="C10000"/>
          <w:spacing w:val="-13"/>
          <w:sz w:val="25"/>
          <w:szCs w:val="25"/>
        </w:rPr>
        <w:t>，就要减少系统正熵</w:t>
      </w:r>
      <w:r>
        <w:rPr>
          <w:rFonts w:ascii="黑体" w:eastAsia="黑体" w:hAnsi="黑体" w:cs="黑体"/>
          <w:color w:val="C10000"/>
          <w:sz w:val="25"/>
          <w:szCs w:val="25"/>
        </w:rPr>
        <w:t xml:space="preserve"> </w:t>
      </w:r>
      <w:r>
        <w:rPr>
          <w:rFonts w:ascii="黑体" w:eastAsia="黑体" w:hAnsi="黑体" w:cs="黑体"/>
          <w:b/>
          <w:bCs/>
          <w:color w:val="C00000"/>
          <w:spacing w:val="-12"/>
          <w:sz w:val="25"/>
          <w:szCs w:val="25"/>
        </w:rPr>
        <w:t>值，延缓熵增过程。这种熵不可能从孤立系统内部取得，必须向外部开</w:t>
      </w:r>
      <w:r>
        <w:rPr>
          <w:rFonts w:ascii="黑体" w:eastAsia="黑体" w:hAnsi="黑体" w:cs="黑体"/>
          <w:color w:val="C00000"/>
          <w:spacing w:val="-12"/>
          <w:sz w:val="25"/>
          <w:szCs w:val="25"/>
        </w:rPr>
        <w:t>放-引入负熵，成为如下开放系统平衡模型：</w:t>
      </w:r>
    </w:p>
    <w:p>
      <w:pPr>
        <w:spacing w:before="192" w:line="212" w:lineRule="auto"/>
        <w:ind w:left="1300"/>
        <w:rPr>
          <w:rFonts w:ascii="宋体" w:eastAsia="宋体" w:hAnsi="宋体" w:cs="宋体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 xml:space="preserve">dBS     </w:t>
      </w:r>
      <w:r>
        <w:rPr>
          <w:rFonts w:ascii="宋体" w:eastAsia="宋体" w:hAnsi="宋体" w:cs="宋体"/>
          <w:spacing w:val="-6"/>
          <w:sz w:val="21"/>
          <w:szCs w:val="21"/>
        </w:rPr>
        <w:t>式中：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d,S</w:t>
      </w:r>
      <w:r>
        <w:rPr>
          <w:rFonts w:ascii="宋体" w:eastAsia="宋体" w:hAnsi="宋体" w:cs="宋体"/>
          <w:spacing w:val="-6"/>
          <w:sz w:val="21"/>
          <w:szCs w:val="21"/>
        </w:rPr>
        <w:t>为孤立系统内的功能退</w:t>
      </w:r>
      <w:r>
        <w:rPr>
          <w:rFonts w:ascii="宋体" w:eastAsia="宋体" w:hAnsi="宋体" w:cs="宋体"/>
          <w:spacing w:val="-7"/>
          <w:sz w:val="21"/>
          <w:szCs w:val="21"/>
        </w:rPr>
        <w:t>化和/或能量衰减的熵增，为正值。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d.S</w:t>
      </w:r>
      <w:r>
        <w:rPr>
          <w:rFonts w:ascii="宋体" w:eastAsia="宋体" w:hAnsi="宋体" w:cs="宋体"/>
          <w:spacing w:val="-7"/>
          <w:sz w:val="21"/>
          <w:szCs w:val="21"/>
        </w:rPr>
        <w:t>为与外界交换能量和物质引起的熵变，称为负熵；熵值可正(即</w:t>
      </w:r>
    </w:p>
    <w:p>
      <w:pPr>
        <w:spacing w:before="63" w:line="219" w:lineRule="auto"/>
        <w:ind w:left="324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正熵流)、可负(负熵流)、可为零。从上式可知：</w:t>
      </w:r>
    </w:p>
    <w:p>
      <w:pPr>
        <w:spacing w:before="104" w:line="360" w:lineRule="exact"/>
        <w:ind w:left="352"/>
        <w:rPr>
          <w:rFonts w:ascii="宋体" w:eastAsia="宋体" w:hAnsi="宋体" w:cs="宋体"/>
        </w:rPr>
      </w:pPr>
      <w:r>
        <w:rPr>
          <w:rFonts w:ascii="宋体" w:eastAsia="宋体" w:hAnsi="宋体" w:cs="宋体"/>
          <w:b/>
          <w:bCs/>
          <w:spacing w:val="-5"/>
          <w:position w:val="11"/>
          <w:sz w:val="21"/>
          <w:szCs w:val="21"/>
        </w:rPr>
        <w:t>&gt;若</w:t>
      </w:r>
      <w:r>
        <w:rPr>
          <w:rFonts w:ascii="Times New Roman" w:eastAsia="Times New Roman" w:hAnsi="Times New Roman" w:cs="Times New Roman"/>
          <w:b/>
          <w:bCs/>
          <w:spacing w:val="-5"/>
          <w:position w:val="11"/>
          <w:sz w:val="21"/>
          <w:szCs w:val="21"/>
        </w:rPr>
        <w:t xml:space="preserve">d₂S&lt;0   </w:t>
      </w:r>
      <w:r>
        <w:rPr>
          <w:rFonts w:ascii="宋体" w:eastAsia="宋体" w:hAnsi="宋体" w:cs="宋体"/>
          <w:b/>
          <w:bCs/>
          <w:spacing w:val="-5"/>
          <w:position w:val="11"/>
          <w:sz w:val="21"/>
          <w:szCs w:val="21"/>
        </w:rPr>
        <w:t>(负熵流)且|</w:t>
      </w:r>
      <w:r>
        <w:rPr>
          <w:rFonts w:ascii="Times New Roman" w:eastAsia="Times New Roman" w:hAnsi="Times New Roman" w:cs="Times New Roman"/>
          <w:b/>
          <w:bCs/>
          <w:spacing w:val="-5"/>
          <w:position w:val="11"/>
          <w:sz w:val="21"/>
          <w:szCs w:val="21"/>
        </w:rPr>
        <w:t>d₂S|&gt;d,S;</w:t>
      </w:r>
      <w:r>
        <w:rPr>
          <w:rFonts w:ascii="Times New Roman" w:eastAsia="Times New Roman" w:hAnsi="Times New Roman" w:cs="Times New Roman"/>
          <w:b/>
          <w:bCs/>
          <w:spacing w:val="26"/>
          <w:position w:val="11"/>
          <w:sz w:val="21"/>
          <w:szCs w:val="21"/>
        </w:rPr>
        <w:t xml:space="preserve">  </w:t>
      </w:r>
      <w:r>
        <w:rPr>
          <w:rFonts w:ascii="宋体" w:eastAsia="宋体" w:hAnsi="宋体" w:cs="宋体"/>
          <w:b/>
          <w:bCs/>
          <w:spacing w:val="-5"/>
          <w:position w:val="11"/>
          <w:sz w:val="21"/>
          <w:szCs w:val="21"/>
        </w:rPr>
        <w:t>则</w:t>
      </w:r>
      <w:r>
        <w:rPr>
          <w:rFonts w:ascii="Times New Roman" w:eastAsia="Times New Roman" w:hAnsi="Times New Roman" w:cs="Times New Roman"/>
          <w:b/>
          <w:bCs/>
          <w:spacing w:val="-5"/>
          <w:position w:val="11"/>
          <w:sz w:val="21"/>
          <w:szCs w:val="21"/>
        </w:rPr>
        <w:t>dS=dS+d,S&lt;0</w:t>
      </w:r>
      <w:r>
        <w:rPr>
          <w:rFonts w:ascii="Times New Roman" w:eastAsia="Times New Roman" w:hAnsi="Times New Roman" w:cs="Times New Roman"/>
          <w:b/>
          <w:bCs/>
          <w:spacing w:val="-18"/>
          <w:position w:val="11"/>
          <w:sz w:val="21"/>
          <w:szCs w:val="21"/>
        </w:rPr>
        <w:t xml:space="preserve"> </w:t>
      </w:r>
      <w:r>
        <w:rPr>
          <w:rFonts w:ascii="宋体" w:eastAsia="宋体" w:hAnsi="宋体" w:cs="宋体"/>
          <w:b/>
          <w:bCs/>
          <w:spacing w:val="-5"/>
          <w:position w:val="11"/>
          <w:sz w:val="21"/>
          <w:szCs w:val="21"/>
        </w:rPr>
        <w:t>表示负熵流使开放系统熵减，实现可持续</w:t>
      </w:r>
      <w:r>
        <w:rPr>
          <w:rFonts w:ascii="宋体" w:eastAsia="宋体" w:hAnsi="宋体" w:cs="宋体"/>
          <w:spacing w:val="-5"/>
          <w:position w:val="11"/>
          <w:sz w:val="21"/>
          <w:szCs w:val="21"/>
        </w:rPr>
        <w:t>。</w:t>
      </w:r>
    </w:p>
    <w:p>
      <w:pPr>
        <w:spacing w:line="214" w:lineRule="auto"/>
        <w:ind w:left="352"/>
        <w:rPr>
          <w:rFonts w:ascii="宋体" w:eastAsia="宋体" w:hAnsi="宋体" w:cs="宋体"/>
        </w:rPr>
      </w:pPr>
      <w:r>
        <w:rPr>
          <w:rFonts w:ascii="宋体" w:eastAsia="宋体" w:hAnsi="宋体" w:cs="宋体"/>
          <w:b/>
          <w:bCs/>
          <w:spacing w:val="-5"/>
          <w:sz w:val="21"/>
          <w:szCs w:val="21"/>
        </w:rPr>
        <w:t>&gt;如|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 xml:space="preserve">d.S|&lt;d₁S;  </w:t>
      </w:r>
      <w:r>
        <w:rPr>
          <w:rFonts w:ascii="宋体" w:eastAsia="宋体" w:hAnsi="宋体" w:cs="宋体"/>
          <w:b/>
          <w:bCs/>
          <w:spacing w:val="-5"/>
          <w:sz w:val="21"/>
          <w:szCs w:val="21"/>
        </w:rPr>
        <w:t>则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dS=d₂S+d,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S&gt;0</w:t>
      </w:r>
      <w:r>
        <w:rPr>
          <w:rFonts w:ascii="宋体" w:eastAsia="宋体" w:hAnsi="宋体" w:cs="宋体"/>
          <w:b/>
          <w:bCs/>
          <w:spacing w:val="-6"/>
          <w:sz w:val="21"/>
          <w:szCs w:val="21"/>
        </w:rPr>
        <w:t>表示负熵流延缓开放系统熵增</w:t>
      </w:r>
      <w:r>
        <w:rPr>
          <w:rFonts w:ascii="宋体" w:eastAsia="宋体" w:hAnsi="宋体" w:cs="宋体"/>
          <w:spacing w:val="-6"/>
          <w:sz w:val="21"/>
          <w:szCs w:val="21"/>
        </w:rPr>
        <w:t>。</w:t>
      </w:r>
    </w:p>
    <w:p>
      <w:pPr>
        <w:spacing w:before="128" w:line="212" w:lineRule="auto"/>
        <w:ind w:left="352"/>
        <w:rPr>
          <w:rFonts w:ascii="宋体" w:eastAsia="宋体" w:hAnsi="宋体" w:cs="宋体"/>
        </w:rPr>
      </w:pPr>
      <w:r>
        <w:rPr>
          <w:rFonts w:ascii="宋体" w:eastAsia="宋体" w:hAnsi="宋体" w:cs="宋体"/>
          <w:b/>
          <w:bCs/>
          <w:spacing w:val="-5"/>
          <w:sz w:val="21"/>
          <w:szCs w:val="21"/>
        </w:rPr>
        <w:t>&gt;若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d₂S&gt;0</w:t>
      </w:r>
      <w:r>
        <w:rPr>
          <w:rFonts w:ascii="Times New Roman" w:eastAsia="Times New Roman" w:hAnsi="Times New Roman" w:cs="Times New Roman"/>
          <w:b/>
          <w:bCs/>
          <w:spacing w:val="22"/>
          <w:w w:val="101"/>
          <w:sz w:val="21"/>
          <w:szCs w:val="21"/>
        </w:rPr>
        <w:t xml:space="preserve">  </w:t>
      </w:r>
      <w:r>
        <w:rPr>
          <w:rFonts w:ascii="宋体" w:eastAsia="宋体" w:hAnsi="宋体" w:cs="宋体"/>
          <w:b/>
          <w:bCs/>
          <w:spacing w:val="-5"/>
          <w:sz w:val="21"/>
          <w:szCs w:val="21"/>
        </w:rPr>
        <w:t>(正熵流)则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dS=d₂S+d,S&gt;0</w:t>
      </w:r>
      <w:r>
        <w:rPr>
          <w:rFonts w:ascii="宋体" w:eastAsia="宋体" w:hAnsi="宋体" w:cs="宋体"/>
          <w:b/>
          <w:bCs/>
          <w:spacing w:val="-5"/>
          <w:sz w:val="21"/>
          <w:szCs w:val="21"/>
        </w:rPr>
        <w:t>表示正熵流使开</w:t>
      </w:r>
      <w:r>
        <w:rPr>
          <w:rFonts w:ascii="宋体" w:eastAsia="宋体" w:hAnsi="宋体" w:cs="宋体"/>
          <w:b/>
          <w:bCs/>
          <w:spacing w:val="-6"/>
          <w:sz w:val="21"/>
          <w:szCs w:val="21"/>
        </w:rPr>
        <w:t>放系统熵增；更加不可持续。</w:t>
      </w:r>
    </w:p>
    <w:p>
      <w:pPr>
        <w:spacing w:line="212" w:lineRule="auto"/>
        <w:rPr>
          <w:rFonts w:ascii="宋体" w:eastAsia="宋体" w:hAnsi="宋体" w:cs="宋体"/>
        </w:rPr>
        <w:sectPr>
          <w:headerReference w:type="default" r:id="rId23"/>
          <w:pgSz w:w="16840" w:h="11910"/>
          <w:pgMar w:top="400" w:right="1259" w:bottom="0" w:left="1280" w:header="0" w:footer="0" w:gutter="0"/>
          <w:pgNumType w:start="11"/>
          <w:cols w:space="708"/>
        </w:sectPr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spacing w:line="1030" w:lineRule="exact"/>
      </w:pPr>
      <w:r>
        <w:rPr>
          <w:position w:val="-20"/>
        </w:rPr>
        <w:pict>
          <v:shape id="文本框 20" o:spid="_x0000_i1048" type="#_x0000_t202" style="width:706.05pt;height:51.5pt;mso-position-horizontal-relative:char;mso-position-vertical-relative:line" filled="t" fillcolor="#7492a0" stroked="f">
            <o:lock v:ext="edit" aspectratio="f"/>
            <v:textbox inset="0,0,0,0">
              <w:txbxContent>
                <w:p>
                  <w:pPr>
                    <w:spacing w:before="243" w:line="222" w:lineRule="auto"/>
                    <w:ind w:left="6079"/>
                    <w:rPr>
                      <w:rFonts w:ascii="黑体" w:eastAsia="黑体" w:hAnsi="黑体" w:cs="黑体"/>
                      <w:sz w:val="66"/>
                      <w:szCs w:val="66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-62"/>
                      <w:sz w:val="66"/>
                      <w:szCs w:val="66"/>
                    </w:rPr>
                    <w:t>目</w:t>
                  </w:r>
                  <w:r>
                    <w:rPr>
                      <w:rFonts w:ascii="黑体" w:eastAsia="黑体" w:hAnsi="黑体" w:cs="黑体"/>
                      <w:color w:val="FFFFFF"/>
                      <w:spacing w:val="4"/>
                      <w:sz w:val="66"/>
                      <w:szCs w:val="66"/>
                    </w:rPr>
                    <w:t xml:space="preserve">  </w:t>
                  </w: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-62"/>
                      <w:sz w:val="66"/>
                      <w:szCs w:val="66"/>
                    </w:rPr>
                    <w:t>录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BodyText"/>
        <w:spacing w:line="389" w:lineRule="auto"/>
      </w:pPr>
    </w:p>
    <w:p>
      <w:pPr>
        <w:spacing w:before="156" w:line="220" w:lineRule="auto"/>
        <w:ind w:left="1286"/>
        <w:outlineLvl w:val="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2"/>
          <w:sz w:val="48"/>
          <w:szCs w:val="48"/>
        </w:rPr>
        <w:t>一、垃圾焚烧的基础</w:t>
      </w:r>
    </w:p>
    <w:p>
      <w:pPr>
        <w:pStyle w:val="BodyText"/>
        <w:spacing w:line="290" w:lineRule="auto"/>
      </w:pPr>
    </w:p>
    <w:p>
      <w:pPr>
        <w:spacing w:before="156" w:line="220" w:lineRule="auto"/>
        <w:ind w:left="1276"/>
        <w:outlineLvl w:val="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color w:val="FC0000"/>
          <w:spacing w:val="-8"/>
          <w:sz w:val="48"/>
          <w:szCs w:val="48"/>
        </w:rPr>
        <w:t>二、垃圾焚烧常态化安全、可靠、环保运行</w:t>
      </w:r>
    </w:p>
    <w:p>
      <w:pPr>
        <w:pStyle w:val="BodyText"/>
        <w:spacing w:line="379" w:lineRule="auto"/>
      </w:pPr>
    </w:p>
    <w:p>
      <w:pPr>
        <w:spacing w:before="156" w:line="980" w:lineRule="exact"/>
        <w:ind w:left="128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8"/>
          <w:position w:val="37"/>
          <w:sz w:val="48"/>
          <w:szCs w:val="48"/>
        </w:rPr>
        <w:t>三、垃圾焚烧锅炉(炉膛功能性特征)</w:t>
      </w:r>
    </w:p>
    <w:p>
      <w:pPr>
        <w:spacing w:line="220" w:lineRule="auto"/>
        <w:ind w:left="128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3"/>
          <w:sz w:val="48"/>
          <w:szCs w:val="48"/>
        </w:rPr>
        <w:t>四、</w:t>
      </w:r>
      <w:r>
        <w:rPr>
          <w:rFonts w:ascii="黑体" w:eastAsia="黑体" w:hAnsi="黑体" w:cs="黑体"/>
          <w:spacing w:val="-114"/>
          <w:sz w:val="48"/>
          <w:szCs w:val="48"/>
        </w:rPr>
        <w:t xml:space="preserve"> </w:t>
      </w:r>
      <w:r>
        <w:rPr>
          <w:rFonts w:ascii="黑体" w:eastAsia="黑体" w:hAnsi="黑体" w:cs="黑体"/>
          <w:b/>
          <w:bCs/>
          <w:spacing w:val="3"/>
          <w:sz w:val="48"/>
          <w:szCs w:val="48"/>
        </w:rPr>
        <w:t>垃圾焚烧锅炉(压力等级)</w:t>
      </w:r>
    </w:p>
    <w:p>
      <w:pPr>
        <w:pStyle w:val="BodyText"/>
        <w:spacing w:line="269" w:lineRule="auto"/>
      </w:pPr>
    </w:p>
    <w:p>
      <w:pPr>
        <w:spacing w:before="156" w:line="931" w:lineRule="exact"/>
        <w:ind w:left="128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7"/>
          <w:position w:val="33"/>
          <w:sz w:val="48"/>
          <w:szCs w:val="48"/>
        </w:rPr>
        <w:t>五、生活垃圾焚烧过程的二噁英类工程控制措</w:t>
      </w:r>
      <w:r>
        <w:rPr>
          <w:rFonts w:ascii="黑体" w:eastAsia="黑体" w:hAnsi="黑体" w:cs="黑体"/>
          <w:b/>
          <w:bCs/>
          <w:spacing w:val="-8"/>
          <w:position w:val="33"/>
          <w:sz w:val="48"/>
          <w:szCs w:val="48"/>
        </w:rPr>
        <w:t>施研究</w:t>
      </w:r>
    </w:p>
    <w:p>
      <w:pPr>
        <w:spacing w:line="220" w:lineRule="auto"/>
        <w:ind w:left="128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9"/>
          <w:sz w:val="48"/>
          <w:szCs w:val="48"/>
        </w:rPr>
        <w:t>六、生活垃圾高效清洁焚烧基础</w:t>
      </w:r>
    </w:p>
    <w:p>
      <w:pPr>
        <w:pStyle w:val="BodyText"/>
        <w:spacing w:line="387" w:lineRule="auto"/>
      </w:pPr>
    </w:p>
    <w:p>
      <w:pPr>
        <w:spacing w:before="94" w:line="184" w:lineRule="auto"/>
        <w:ind w:left="13644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color w:val="1E78A6"/>
          <w:spacing w:val="-12"/>
          <w:sz w:val="29"/>
          <w:szCs w:val="29"/>
        </w:rPr>
        <w:t>10</w:t>
      </w:r>
    </w:p>
    <w:p>
      <w:pPr>
        <w:spacing w:line="184" w:lineRule="auto"/>
        <w:rPr>
          <w:rFonts w:ascii="宋体" w:eastAsia="宋体" w:hAnsi="宋体" w:cs="宋体"/>
          <w:sz w:val="29"/>
          <w:szCs w:val="29"/>
        </w:rPr>
        <w:sectPr>
          <w:headerReference w:type="default" r:id="rId24"/>
          <w:pgSz w:w="16840" w:h="11910"/>
          <w:pgMar w:top="400" w:right="1309" w:bottom="0" w:left="1410" w:header="0" w:footer="0" w:gutter="0"/>
          <w:pgNumType w:start="12"/>
          <w:cols w:space="708"/>
        </w:sectPr>
      </w:pPr>
    </w:p>
    <w:p>
      <w:pPr>
        <w:pStyle w:val="BodyText"/>
        <w:spacing w:line="241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line="1040" w:lineRule="exact"/>
        <w:ind w:firstLine="1250"/>
      </w:pPr>
      <w:r>
        <w:rPr>
          <w:position w:val="-20"/>
        </w:rPr>
        <w:pict>
          <v:shape id="文本框 21" o:spid="_x0000_i1049" type="#_x0000_t202" style="width:713pt;height:52pt;mso-position-horizontal-relative:char;mso-position-vertical-relative:line" filled="t" fillcolor="#74919f" stroked="f">
            <o:lock v:ext="edit" aspectratio="f"/>
            <v:textbox inset="0,0,0,0">
              <w:txbxContent>
                <w:p>
                  <w:pPr>
                    <w:spacing w:before="368" w:line="220" w:lineRule="auto"/>
                    <w:ind w:left="477"/>
                    <w:outlineLvl w:val="6"/>
                    <w:rPr>
                      <w:rFonts w:ascii="黑体" w:eastAsia="黑体" w:hAnsi="黑体" w:cs="黑体"/>
                      <w:sz w:val="54"/>
                      <w:szCs w:val="54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11"/>
                      <w:sz w:val="54"/>
                      <w:szCs w:val="54"/>
                    </w:rPr>
                    <w:t>二、生活垃圾焚烧的3</w:t>
                  </w:r>
                  <w:r>
                    <w:rPr>
                      <w:rFonts w:ascii="宋体" w:eastAsia="宋体" w:hAnsi="宋体" w:cs="宋体"/>
                      <w:b/>
                      <w:bCs/>
                      <w:color w:val="FFFFFF"/>
                      <w:spacing w:val="11"/>
                      <w:sz w:val="54"/>
                      <w:szCs w:val="54"/>
                    </w:rPr>
                    <w:t>T</w:t>
                  </w: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11"/>
                      <w:sz w:val="54"/>
                      <w:szCs w:val="54"/>
                    </w:rPr>
                    <w:t>与炉膛热力过程</w:t>
                  </w:r>
                </w:p>
              </w:txbxContent>
            </v:textbox>
            <w10:wrap type="none"/>
            <w10:anchorlock/>
          </v:shape>
        </w:pict>
      </w:r>
    </w:p>
    <w:p>
      <w:pPr>
        <w:spacing w:before="295" w:line="219" w:lineRule="auto"/>
        <w:ind w:left="1503"/>
        <w:outlineLvl w:val="6"/>
        <w:rPr>
          <w:rFonts w:ascii="宋体" w:eastAsia="宋体" w:hAnsi="宋体" w:cs="宋体"/>
          <w:sz w:val="26"/>
          <w:szCs w:val="26"/>
        </w:rPr>
      </w:pPr>
      <w:r>
        <w:pict>
          <v:shape id="IM 12" o:spid="_x0000_s1050" type="#_x0000_t75" style="width:842pt;height:595.5pt;margin-top:-145pt;margin-left:0;mso-wrap-distance-left:0;mso-wrap-distance-right:0;position:absolute;z-index:-25165312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b/>
          <w:bCs/>
          <w:spacing w:val="17"/>
          <w:sz w:val="26"/>
          <w:szCs w:val="26"/>
        </w:rPr>
        <w:t>2.1燃烧特征示意(借用拼图，勿翻印)</w:t>
      </w:r>
    </w:p>
    <w:p>
      <w:pPr>
        <w:spacing w:before="128"/>
        <w:ind w:left="9930"/>
        <w:rPr>
          <w:rFonts w:ascii="宋体" w:eastAsia="宋体" w:hAnsi="宋体" w:cs="宋体"/>
          <w:sz w:val="38"/>
          <w:szCs w:val="38"/>
        </w:rPr>
      </w:pPr>
      <w:r>
        <w:pict>
          <v:shape id="文本框 22" o:spid="_x0000_s1051" type="#_x0000_t202" style="width:21.15pt;height:13.75pt;margin-top:3.7pt;margin-left:528.5pt;position:absolute;z-index:251666432" filled="f" stroked="f">
            <o:lock v:ext="edit" aspectratio="f"/>
            <v:textbox inset="0,0,0,0">
              <w:txbxContent>
                <w:p>
                  <w:pPr>
                    <w:spacing w:before="20" w:line="188" w:lineRule="auto"/>
                    <w:ind w:left="20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3"/>
                      <w:sz w:val="26"/>
                      <w:szCs w:val="26"/>
                    </w:rPr>
                    <w:t>a&gt;1</w:t>
                  </w:r>
                </w:p>
              </w:txbxContent>
            </v:textbox>
          </v:shape>
        </w:pict>
      </w:r>
      <w:r>
        <w:pict>
          <v:shape id="文本框 23" o:spid="_x0000_s1052" type="#_x0000_t202" style="width:21.15pt;height:13.75pt;margin-top:7.7pt;margin-left:596.5pt;position:absolute;z-index:251668480" filled="f" stroked="f">
            <o:lock v:ext="edit" aspectratio="f"/>
            <v:textbox inset="0,0,0,0">
              <w:txbxContent>
                <w:p>
                  <w:pPr>
                    <w:spacing w:before="20" w:line="188" w:lineRule="auto"/>
                    <w:ind w:left="20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3"/>
                      <w:sz w:val="26"/>
                      <w:szCs w:val="26"/>
                    </w:rPr>
                    <w:t>a&lt;1</w:t>
                  </w:r>
                </w:p>
              </w:txbxContent>
            </v:textbox>
          </v:shape>
        </w:pict>
      </w:r>
      <w:r>
        <w:pict>
          <v:shape id="文本框 24" o:spid="_x0000_s1053" type="#_x0000_t202" style="width:21.15pt;height:13.75pt;margin-top:7.7pt;margin-left:676.45pt;position:absolute;z-index:251667456" filled="f" stroked="f">
            <o:lock v:ext="edit" aspectratio="f"/>
            <v:textbox inset="0,0,0,0">
              <w:txbxContent>
                <w:p>
                  <w:pPr>
                    <w:spacing w:before="20" w:line="188" w:lineRule="auto"/>
                    <w:ind w:left="20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3"/>
                      <w:sz w:val="26"/>
                      <w:szCs w:val="26"/>
                    </w:rPr>
                    <w:t>a&gt;1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z w:val="38"/>
          <w:szCs w:val="38"/>
        </w:rPr>
        <w:t>%</w:t>
      </w:r>
    </w:p>
    <w:p>
      <w:pPr>
        <w:spacing w:before="109" w:line="184" w:lineRule="auto"/>
        <w:ind w:left="9779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-3"/>
          <w:sz w:val="19"/>
          <w:szCs w:val="19"/>
        </w:rPr>
        <w:t>21</w:t>
      </w:r>
    </w:p>
    <w:p>
      <w:pPr>
        <w:spacing w:before="71" w:line="233" w:lineRule="auto"/>
        <w:ind w:left="9779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z w:val="19"/>
          <w:szCs w:val="19"/>
        </w:rPr>
        <w:t>%</w:t>
      </w:r>
    </w:p>
    <w:p>
      <w:pPr>
        <w:spacing w:line="188" w:lineRule="auto"/>
        <w:ind w:left="10599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pacing w:val="11"/>
          <w:sz w:val="26"/>
          <w:szCs w:val="26"/>
        </w:rPr>
        <w:t>O₂’</w:t>
      </w:r>
    </w:p>
    <w:p>
      <w:pPr>
        <w:pStyle w:val="BodyText"/>
        <w:spacing w:line="317" w:lineRule="auto"/>
      </w:pPr>
    </w:p>
    <w:p>
      <w:pPr>
        <w:pStyle w:val="BodyText"/>
        <w:spacing w:before="75" w:line="198" w:lineRule="auto"/>
        <w:ind w:left="12579"/>
        <w:rPr>
          <w:sz w:val="26"/>
          <w:szCs w:val="26"/>
        </w:rPr>
      </w:pPr>
      <w:r>
        <w:pict>
          <v:shape id="文本框 25" o:spid="_x0000_s1054" type="#_x0000_t202" style="width:25.2pt;height:15.15pt;margin-top:-1.35pt;margin-left:565.45pt;position:absolute;z-index:251665408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98" w:lineRule="auto"/>
                    <w:ind w:left="20"/>
                    <w:rPr>
                      <w:rFonts w:ascii="Calibri" w:eastAsia="Calibri" w:hAnsi="Calibri" w:cs="Calibri"/>
                      <w:sz w:val="26"/>
                      <w:szCs w:val="26"/>
                    </w:rPr>
                  </w:pPr>
                  <w:r>
                    <w:rPr>
                      <w:spacing w:val="-5"/>
                      <w:sz w:val="26"/>
                      <w:szCs w:val="26"/>
                    </w:rPr>
                    <w:t>CO</w:t>
                  </w:r>
                  <w:r>
                    <w:rPr>
                      <w:rFonts w:ascii="Calibri" w:eastAsia="Calibri" w:hAnsi="Calibri" w:cs="Calibri"/>
                      <w:spacing w:val="-5"/>
                      <w:sz w:val="26"/>
                      <w:szCs w:val="26"/>
                    </w:rPr>
                    <w:t>₂</w:t>
                  </w:r>
                </w:p>
              </w:txbxContent>
            </v:textbox>
          </v:shape>
        </w:pict>
      </w:r>
      <w:r>
        <w:pict>
          <v:shape id="文本框 26" o:spid="_x0000_s1055" type="#_x0000_t202" style="width:41.4pt;height:10.95pt;margin-top:8.5pt;margin-left:342.95pt;position:absolute;z-index:25166438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96" w:lineRule="auto"/>
                    <w:ind w:left="20"/>
                    <w:rPr>
                      <w:sz w:val="19"/>
                      <w:szCs w:val="19"/>
                    </w:rPr>
                  </w:pPr>
                  <w:r>
                    <w:rPr>
                      <w:spacing w:val="-2"/>
                      <w:sz w:val="19"/>
                      <w:szCs w:val="19"/>
                    </w:rPr>
                    <w:t>Radiation</w:t>
                  </w:r>
                </w:p>
              </w:txbxContent>
            </v:textbox>
          </v:shape>
        </w:pict>
      </w:r>
      <w:r>
        <w:rPr>
          <w:spacing w:val="-4"/>
          <w:sz w:val="26"/>
          <w:szCs w:val="26"/>
        </w:rPr>
        <w:t>CO</w:t>
      </w:r>
    </w:p>
    <w:p>
      <w:pPr>
        <w:pStyle w:val="BodyText"/>
        <w:spacing w:line="256" w:lineRule="auto"/>
      </w:pPr>
    </w:p>
    <w:p>
      <w:pPr>
        <w:pStyle w:val="BodyText"/>
        <w:spacing w:line="257" w:lineRule="auto"/>
      </w:pPr>
    </w:p>
    <w:p>
      <w:pPr>
        <w:spacing w:before="110" w:line="185" w:lineRule="auto"/>
        <w:ind w:left="12290"/>
        <w:rPr>
          <w:rFonts w:ascii="Times New Roman" w:eastAsia="Times New Roman" w:hAnsi="Times New Roman" w:cs="Times New Roman"/>
          <w:sz w:val="38"/>
          <w:szCs w:val="38"/>
        </w:rPr>
      </w:pPr>
      <w:r>
        <w:pict>
          <v:shape id="文本框 27" o:spid="_x0000_s1056" type="#_x0000_t202" style="width:21.4pt;height:10.95pt;margin-top:7.6pt;margin-left:399.45pt;position:absolute;z-index:25166950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196" w:lineRule="auto"/>
                    <w:ind w:left="20"/>
                    <w:rPr>
                      <w:sz w:val="19"/>
                      <w:szCs w:val="19"/>
                    </w:rPr>
                  </w:pPr>
                  <w:r>
                    <w:rPr>
                      <w:color w:val="3C7083"/>
                      <w:spacing w:val="-3"/>
                      <w:sz w:val="19"/>
                      <w:szCs w:val="19"/>
                    </w:rPr>
                    <w:t>Loss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color w:val="000204"/>
          <w:spacing w:val="-3"/>
          <w:sz w:val="38"/>
          <w:szCs w:val="38"/>
        </w:rPr>
        <w:t>H₂</w:t>
      </w:r>
    </w:p>
    <w:p>
      <w:pPr>
        <w:spacing w:before="22" w:line="188" w:lineRule="auto"/>
        <w:ind w:left="1174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E65C00"/>
          <w:spacing w:val="-3"/>
          <w:sz w:val="26"/>
          <w:szCs w:val="26"/>
        </w:rPr>
        <w:t>CH₄</w:t>
      </w:r>
    </w:p>
    <w:p>
      <w:pPr>
        <w:pStyle w:val="BodyText"/>
        <w:spacing w:line="285" w:lineRule="auto"/>
      </w:pPr>
    </w:p>
    <w:p>
      <w:pPr>
        <w:pStyle w:val="BodyText"/>
        <w:spacing w:line="285" w:lineRule="auto"/>
      </w:pPr>
    </w:p>
    <w:p>
      <w:pPr>
        <w:pStyle w:val="BodyText"/>
        <w:spacing w:line="285" w:lineRule="auto"/>
      </w:pPr>
    </w:p>
    <w:p>
      <w:pPr>
        <w:pStyle w:val="BodyText"/>
        <w:spacing w:line="285" w:lineRule="auto"/>
      </w:pPr>
    </w:p>
    <w:p>
      <w:pPr>
        <w:spacing w:before="85" w:line="213" w:lineRule="auto"/>
        <w:ind w:left="1503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b/>
          <w:bCs/>
          <w:spacing w:val="-22"/>
          <w:sz w:val="26"/>
          <w:szCs w:val="26"/>
        </w:rPr>
        <w:t>可靠性概念：系统设备的可靠性是指在规定条件下和规定时间</w:t>
      </w:r>
      <w:r>
        <w:rPr>
          <w:rFonts w:ascii="黑体" w:eastAsia="黑体" w:hAnsi="黑体" w:cs="黑体"/>
          <w:b/>
          <w:bCs/>
          <w:spacing w:val="-23"/>
          <w:sz w:val="26"/>
          <w:szCs w:val="26"/>
        </w:rPr>
        <w:t>内，完成规定功能的能力，是一种综合能力的体现。</w:t>
      </w:r>
    </w:p>
    <w:p>
      <w:pPr>
        <w:spacing w:before="144" w:line="213" w:lineRule="auto"/>
        <w:ind w:left="1499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spacing w:val="-19"/>
          <w:sz w:val="26"/>
          <w:szCs w:val="26"/>
        </w:rPr>
        <w:t>固有可靠性是由设备本身的功能、结构、材料、制造等过程决定；使用的可靠性除受固有可靠性的决</w:t>
      </w:r>
      <w:r>
        <w:rPr>
          <w:rFonts w:ascii="黑体" w:eastAsia="黑体" w:hAnsi="黑体" w:cs="黑体"/>
          <w:spacing w:val="-20"/>
          <w:sz w:val="26"/>
          <w:szCs w:val="26"/>
        </w:rPr>
        <w:t>定因素约束，还受到安装、调</w:t>
      </w:r>
    </w:p>
    <w:p>
      <w:pPr>
        <w:spacing w:before="17" w:line="213" w:lineRule="auto"/>
        <w:ind w:left="1503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b/>
          <w:bCs/>
          <w:spacing w:val="-22"/>
          <w:sz w:val="26"/>
          <w:szCs w:val="26"/>
        </w:rPr>
        <w:t>试、使用过程的制约，因此，理论上的可靠性是要通过不同系统、设备过程的不同量化指标的积累结</w:t>
      </w:r>
      <w:r>
        <w:rPr>
          <w:rFonts w:ascii="黑体" w:eastAsia="黑体" w:hAnsi="黑体" w:cs="黑体"/>
          <w:b/>
          <w:bCs/>
          <w:spacing w:val="-23"/>
          <w:sz w:val="26"/>
          <w:szCs w:val="26"/>
        </w:rPr>
        <w:t>果。</w:t>
      </w:r>
    </w:p>
    <w:p>
      <w:pPr>
        <w:spacing w:before="141" w:line="229" w:lineRule="auto"/>
        <w:ind w:left="1503" w:right="1433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b/>
          <w:bCs/>
          <w:spacing w:val="-26"/>
          <w:sz w:val="26"/>
          <w:szCs w:val="26"/>
        </w:rPr>
        <w:t>实际上要把所有系统设备的量化指标全部累计起来更是不现实的。</w:t>
      </w:r>
      <w:r>
        <w:rPr>
          <w:rFonts w:ascii="黑体" w:eastAsia="黑体" w:hAnsi="黑体" w:cs="黑体"/>
          <w:spacing w:val="44"/>
          <w:sz w:val="26"/>
          <w:szCs w:val="26"/>
        </w:rPr>
        <w:t xml:space="preserve"> </w:t>
      </w:r>
      <w:r>
        <w:rPr>
          <w:rFonts w:ascii="黑体" w:eastAsia="黑体" w:hAnsi="黑体" w:cs="黑体"/>
          <w:b/>
          <w:bCs/>
          <w:spacing w:val="-26"/>
          <w:sz w:val="26"/>
          <w:szCs w:val="26"/>
        </w:rPr>
        <w:t>一般是给出焚烧线运行过程的重要可靠性指标，根据实际运行情</w:t>
      </w:r>
      <w:r>
        <w:rPr>
          <w:rFonts w:ascii="黑体" w:eastAsia="黑体" w:hAnsi="黑体" w:cs="黑体"/>
          <w:spacing w:val="-26"/>
          <w:sz w:val="26"/>
          <w:szCs w:val="26"/>
        </w:rPr>
        <w:t>，</w:t>
      </w:r>
      <w:r>
        <w:rPr>
          <w:rFonts w:ascii="黑体" w:eastAsia="黑体" w:hAnsi="黑体" w:cs="黑体"/>
          <w:sz w:val="26"/>
          <w:szCs w:val="26"/>
        </w:rPr>
        <w:t xml:space="preserve">  </w:t>
      </w:r>
      <w:r>
        <w:rPr>
          <w:rFonts w:ascii="黑体" w:eastAsia="黑体" w:hAnsi="黑体" w:cs="黑体"/>
          <w:b/>
          <w:bCs/>
          <w:spacing w:val="-19"/>
          <w:sz w:val="26"/>
          <w:szCs w:val="26"/>
        </w:rPr>
        <w:t>况调整与补偿。</w:t>
      </w:r>
    </w:p>
    <w:p>
      <w:pPr>
        <w:spacing w:line="229" w:lineRule="auto"/>
        <w:rPr>
          <w:rFonts w:ascii="黑体" w:eastAsia="黑体" w:hAnsi="黑体" w:cs="黑体"/>
          <w:sz w:val="26"/>
          <w:szCs w:val="26"/>
        </w:rPr>
        <w:sectPr>
          <w:headerReference w:type="default" r:id="rId26"/>
          <w:pgSz w:w="16840" w:h="11910"/>
          <w:pgMar w:top="400" w:right="0" w:bottom="0" w:left="0" w:header="0" w:footer="0" w:gutter="0"/>
          <w:pgNumType w:start="13"/>
          <w:cols w:space="708"/>
        </w:sectPr>
      </w:pPr>
    </w:p>
    <w:p>
      <w:pPr>
        <w:pStyle w:val="BodyText"/>
        <w:spacing w:line="273" w:lineRule="auto"/>
      </w:pPr>
      <w:r>
        <w:pict>
          <v:shape id="IM 14" o:spid="_x0000_s1057" type="#_x0000_t75" style="width:174.5pt;height:115.5pt;margin-top:200.95pt;margin-left:592.45pt;mso-position-horizontal-relative:page;mso-position-vertical-relative:page;mso-wrap-distance-left:0;mso-wrap-distance-right:0;position:absolute;z-index:-251644928" o:allowincell="f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pStyle w:val="BodyText"/>
        <w:spacing w:line="273" w:lineRule="auto"/>
      </w:pPr>
    </w:p>
    <w:p>
      <w:pPr>
        <w:pStyle w:val="BodyText"/>
        <w:spacing w:line="274" w:lineRule="auto"/>
      </w:pPr>
    </w:p>
    <w:p>
      <w:pPr>
        <w:pStyle w:val="BodyText"/>
        <w:spacing w:line="274" w:lineRule="auto"/>
      </w:pPr>
    </w:p>
    <w:p>
      <w:pPr>
        <w:pStyle w:val="BodyText"/>
        <w:spacing w:line="274" w:lineRule="auto"/>
      </w:pPr>
    </w:p>
    <w:p>
      <w:pPr>
        <w:pStyle w:val="BodyText"/>
        <w:spacing w:line="274" w:lineRule="auto"/>
      </w:pPr>
    </w:p>
    <w:p>
      <w:pPr>
        <w:spacing w:before="176" w:line="220" w:lineRule="auto"/>
        <w:ind w:left="467"/>
        <w:outlineLvl w:val="6"/>
        <w:rPr>
          <w:rFonts w:ascii="黑体" w:eastAsia="黑体" w:hAnsi="黑体" w:cs="黑体"/>
          <w:sz w:val="54"/>
          <w:szCs w:val="54"/>
        </w:rPr>
      </w:pPr>
      <w:r>
        <w:pict>
          <v:shape id="IM 16" o:spid="_x0000_s1058" type="#_x0000_t75" style="width:713pt;height:390pt;margin-top:-9.55pt;margin-left:0;mso-wrap-distance-left:0;mso-wrap-distance-right:0;position:absolute;z-index:-251645952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color w:val="FFFFFF"/>
          <w:spacing w:val="11"/>
          <w:sz w:val="54"/>
          <w:szCs w:val="54"/>
        </w:rPr>
        <w:t>二、生活垃圾焚烧的3</w:t>
      </w:r>
      <w:r>
        <w:rPr>
          <w:rFonts w:ascii="宋体" w:eastAsia="宋体" w:hAnsi="宋体" w:cs="宋体"/>
          <w:b/>
          <w:bCs/>
          <w:color w:val="FFFFFF"/>
          <w:spacing w:val="11"/>
          <w:sz w:val="54"/>
          <w:szCs w:val="54"/>
        </w:rPr>
        <w:t>T</w:t>
      </w:r>
      <w:r>
        <w:rPr>
          <w:rFonts w:ascii="黑体" w:eastAsia="黑体" w:hAnsi="黑体" w:cs="黑体"/>
          <w:b/>
          <w:bCs/>
          <w:color w:val="FFFFFF"/>
          <w:spacing w:val="11"/>
          <w:sz w:val="54"/>
          <w:szCs w:val="54"/>
        </w:rPr>
        <w:t>与炉膛热力过程</w:t>
      </w:r>
    </w:p>
    <w:p>
      <w:pPr>
        <w:pStyle w:val="BodyText"/>
        <w:spacing w:line="308" w:lineRule="auto"/>
      </w:pPr>
    </w:p>
    <w:p>
      <w:pPr>
        <w:spacing w:before="104" w:line="219" w:lineRule="auto"/>
        <w:ind w:left="264"/>
        <w:outlineLvl w:val="6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-8"/>
          <w:sz w:val="32"/>
          <w:szCs w:val="32"/>
        </w:rPr>
        <w:t>2.2焚烧过程——炉膛3</w:t>
      </w:r>
      <w:r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</w:rPr>
        <w:t>T</w:t>
      </w:r>
      <w:r>
        <w:rPr>
          <w:rFonts w:ascii="宋体" w:eastAsia="宋体" w:hAnsi="宋体" w:cs="宋体"/>
          <w:b/>
          <w:bCs/>
          <w:spacing w:val="-8"/>
          <w:sz w:val="32"/>
          <w:szCs w:val="32"/>
        </w:rPr>
        <w:t>中的温度概念</w:t>
      </w:r>
    </w:p>
    <w:p>
      <w:pPr>
        <w:spacing w:before="289" w:line="218" w:lineRule="auto"/>
        <w:ind w:left="264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-2"/>
          <w:sz w:val="32"/>
          <w:szCs w:val="32"/>
        </w:rPr>
        <w:t>包括熄火、爆燃以及防治结渣、腐蚀等燃烧过程及初级减排控制的工程</w:t>
      </w:r>
    </w:p>
    <w:p>
      <w:pPr>
        <w:spacing w:before="83" w:line="460" w:lineRule="exact"/>
        <w:ind w:left="264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8"/>
          <w:position w:val="10"/>
          <w:sz w:val="32"/>
          <w:szCs w:val="32"/>
        </w:rPr>
        <w:t>基础——阿累尼乌斯定律</w:t>
      </w:r>
      <w:r>
        <w:rPr>
          <w:rFonts w:ascii="Times New Roman" w:eastAsia="Times New Roman" w:hAnsi="Times New Roman" w:cs="Times New Roman"/>
          <w:b/>
          <w:bCs/>
          <w:spacing w:val="8"/>
          <w:position w:val="10"/>
          <w:sz w:val="32"/>
          <w:szCs w:val="32"/>
        </w:rPr>
        <w:t>k==k₀</w:t>
      </w:r>
      <w:r>
        <w:rPr>
          <w:rFonts w:ascii="Times New Roman" w:eastAsia="Times New Roman" w:hAnsi="Times New Roman" w:cs="Times New Roman"/>
          <w:b/>
          <w:bCs/>
          <w:position w:val="10"/>
          <w:sz w:val="32"/>
          <w:szCs w:val="32"/>
        </w:rPr>
        <w:t>exp</w:t>
      </w:r>
      <w:r>
        <w:rPr>
          <w:rFonts w:ascii="Times New Roman" w:eastAsia="Times New Roman" w:hAnsi="Times New Roman" w:cs="Times New Roman"/>
          <w:b/>
          <w:bCs/>
          <w:spacing w:val="8"/>
          <w:position w:val="10"/>
          <w:sz w:val="32"/>
          <w:szCs w:val="32"/>
        </w:rPr>
        <w:t>(-E/</w:t>
      </w:r>
      <w:r>
        <w:rPr>
          <w:rFonts w:ascii="Times New Roman" w:eastAsia="Times New Roman" w:hAnsi="Times New Roman" w:cs="Times New Roman"/>
          <w:b/>
          <w:bCs/>
          <w:position w:val="10"/>
          <w:sz w:val="32"/>
          <w:szCs w:val="32"/>
        </w:rPr>
        <w:t>RT</w:t>
      </w:r>
      <w:r>
        <w:rPr>
          <w:rFonts w:ascii="Times New Roman" w:eastAsia="Times New Roman" w:hAnsi="Times New Roman" w:cs="Times New Roman"/>
          <w:b/>
          <w:bCs/>
          <w:spacing w:val="8"/>
          <w:position w:val="10"/>
          <w:sz w:val="32"/>
          <w:szCs w:val="32"/>
        </w:rPr>
        <w:t>)</w:t>
      </w:r>
      <w:r>
        <w:rPr>
          <w:rFonts w:ascii="宋体" w:eastAsia="宋体" w:hAnsi="宋体" w:cs="宋体"/>
          <w:b/>
          <w:bCs/>
          <w:spacing w:val="8"/>
          <w:position w:val="10"/>
          <w:sz w:val="32"/>
          <w:szCs w:val="32"/>
        </w:rPr>
        <w:t>的</w:t>
      </w:r>
      <w:r>
        <w:rPr>
          <w:rFonts w:ascii="Times New Roman" w:eastAsia="Times New Roman" w:hAnsi="Times New Roman" w:cs="Times New Roman"/>
          <w:b/>
          <w:bCs/>
          <w:spacing w:val="8"/>
          <w:position w:val="10"/>
          <w:sz w:val="32"/>
          <w:szCs w:val="32"/>
        </w:rPr>
        <w:t>S</w:t>
      </w:r>
      <w:r>
        <w:rPr>
          <w:rFonts w:ascii="宋体" w:eastAsia="宋体" w:hAnsi="宋体" w:cs="宋体"/>
          <w:b/>
          <w:bCs/>
          <w:spacing w:val="8"/>
          <w:position w:val="10"/>
          <w:sz w:val="32"/>
          <w:szCs w:val="32"/>
        </w:rPr>
        <w:t>形反应常数指数曲线(</w:t>
      </w:r>
      <w:r>
        <w:rPr>
          <w:rFonts w:ascii="宋体" w:eastAsia="宋体" w:hAnsi="宋体" w:cs="宋体"/>
          <w:b/>
          <w:bCs/>
          <w:spacing w:val="7"/>
          <w:position w:val="10"/>
          <w:sz w:val="32"/>
          <w:szCs w:val="32"/>
        </w:rPr>
        <w:t>右，</w:t>
      </w:r>
    </w:p>
    <w:p>
      <w:pPr>
        <w:spacing w:before="1" w:line="218" w:lineRule="auto"/>
        <w:ind w:left="264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-1"/>
          <w:sz w:val="32"/>
          <w:szCs w:val="32"/>
        </w:rPr>
        <w:t>图</w:t>
      </w:r>
      <w:r>
        <w:rPr>
          <w:rFonts w:ascii="宋体" w:eastAsia="宋体" w:hAnsi="宋体" w:cs="宋体"/>
          <w:spacing w:val="-43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32"/>
          <w:szCs w:val="32"/>
        </w:rPr>
        <w:t>)</w:t>
      </w:r>
      <w:r>
        <w:rPr>
          <w:rFonts w:ascii="宋体" w:eastAsia="宋体" w:hAnsi="宋体" w:cs="宋体"/>
          <w:spacing w:val="-1"/>
          <w:sz w:val="32"/>
          <w:szCs w:val="32"/>
        </w:rPr>
        <w:t xml:space="preserve">  </w:t>
      </w:r>
      <w:r>
        <w:rPr>
          <w:rFonts w:ascii="宋体" w:eastAsia="宋体" w:hAnsi="宋体" w:cs="宋体"/>
          <w:b/>
          <w:bCs/>
          <w:spacing w:val="-1"/>
          <w:sz w:val="32"/>
          <w:szCs w:val="32"/>
        </w:rPr>
        <w:t>温度初始升高对燃烧化学反应速度有巨大影响，拐点温度</w:t>
      </w:r>
    </w:p>
    <w:p>
      <w:pPr>
        <w:spacing w:before="88" w:line="216" w:lineRule="auto"/>
        <w:ind w:left="264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3"/>
          <w:sz w:val="32"/>
          <w:szCs w:val="32"/>
        </w:rPr>
        <w:t>a≈10000K,</w:t>
      </w:r>
      <w:r>
        <w:rPr>
          <w:rFonts w:ascii="宋体" w:eastAsia="宋体" w:hAnsi="宋体" w:cs="宋体"/>
          <w:spacing w:val="-27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3"/>
          <w:sz w:val="32"/>
          <w:szCs w:val="32"/>
        </w:rPr>
        <w:t>一般燃烧过程达不到，故实际燃烧过程仅表现在初</w:t>
      </w:r>
      <w:r>
        <w:rPr>
          <w:rFonts w:ascii="宋体" w:eastAsia="宋体" w:hAnsi="宋体" w:cs="宋体"/>
          <w:b/>
          <w:bCs/>
          <w:spacing w:val="2"/>
          <w:sz w:val="32"/>
          <w:szCs w:val="32"/>
        </w:rPr>
        <w:t>始升高段</w:t>
      </w:r>
    </w:p>
    <w:p>
      <w:pPr>
        <w:pStyle w:val="BodyText"/>
        <w:spacing w:line="347" w:lineRule="auto"/>
      </w:pPr>
    </w:p>
    <w:p>
      <w:pPr>
        <w:pStyle w:val="BodyText"/>
        <w:spacing w:line="348" w:lineRule="auto"/>
      </w:pPr>
    </w:p>
    <w:p>
      <w:pPr>
        <w:spacing w:before="104" w:line="475" w:lineRule="exact"/>
        <w:ind w:left="264"/>
        <w:rPr>
          <w:rFonts w:ascii="黑体" w:eastAsia="黑体" w:hAnsi="黑体" w:cs="黑体"/>
          <w:sz w:val="32"/>
          <w:szCs w:val="32"/>
        </w:rPr>
      </w:pPr>
      <w:r>
        <w:pict>
          <v:shape id="文本框 28" o:spid="_x0000_s1059" type="#_x0000_t202" style="width:167.3pt;height:15.1pt;margin-top:7pt;margin-left:536pt;position:absolute;z-index:251672576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ind w:left="20"/>
                    <w:rPr>
                      <w:rFonts w:ascii="宋体" w:eastAsia="宋体" w:hAnsi="宋体" w:cs="宋体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图3-1</w:t>
                  </w:r>
                  <w:r>
                    <w:rPr>
                      <w:rFonts w:ascii="宋体" w:eastAsia="宋体" w:hAnsi="宋体" w:cs="宋体"/>
                      <w:spacing w:val="91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反应常数</w:t>
                  </w: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k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对温度</w:t>
                  </w:r>
                  <w:r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  <w:t xml:space="preserve">T </w:t>
                  </w:r>
                  <w:r>
                    <w:rPr>
                      <w:rFonts w:ascii="宋体" w:eastAsia="宋体" w:hAnsi="宋体" w:cs="宋体"/>
                      <w:sz w:val="22"/>
                      <w:szCs w:val="22"/>
                    </w:rPr>
                    <w:t>的曲线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b/>
          <w:bCs/>
          <w:position w:val="11"/>
          <w:sz w:val="32"/>
          <w:szCs w:val="32"/>
        </w:rPr>
        <w:t>①垃圾在炉膛焚烧过程需要</w:t>
      </w:r>
      <w:r>
        <w:rPr>
          <w:rFonts w:ascii="黑体" w:eastAsia="黑体" w:hAnsi="黑体" w:cs="黑体"/>
          <w:b/>
          <w:bCs/>
          <w:color w:val="C00000"/>
          <w:position w:val="11"/>
          <w:sz w:val="32"/>
          <w:szCs w:val="32"/>
        </w:rPr>
        <w:t>根据不同功能阶</w:t>
      </w:r>
      <w:r>
        <w:rPr>
          <w:rFonts w:ascii="黑体" w:eastAsia="黑体" w:hAnsi="黑体" w:cs="黑体"/>
          <w:b/>
          <w:bCs/>
          <w:color w:val="C00000"/>
          <w:spacing w:val="-1"/>
          <w:position w:val="11"/>
          <w:sz w:val="32"/>
          <w:szCs w:val="32"/>
        </w:rPr>
        <w:t>段，将不同区域位置状态参</w:t>
      </w:r>
    </w:p>
    <w:p>
      <w:pPr>
        <w:spacing w:before="1" w:line="221" w:lineRule="auto"/>
        <w:ind w:left="264"/>
        <w:rPr>
          <w:rFonts w:ascii="宋体" w:eastAsia="宋体" w:hAnsi="宋体" w:cs="宋体"/>
          <w:sz w:val="32"/>
          <w:szCs w:val="32"/>
        </w:rPr>
      </w:pPr>
      <w:r>
        <w:rPr>
          <w:rFonts w:ascii="黑体" w:eastAsia="黑体" w:hAnsi="黑体" w:cs="黑体"/>
          <w:b/>
          <w:bCs/>
          <w:color w:val="B50006"/>
          <w:spacing w:val="7"/>
          <w:sz w:val="32"/>
          <w:szCs w:val="32"/>
        </w:rPr>
        <w:t>数的温度控制在一定范围内并赋予其特定含义</w:t>
      </w:r>
      <w:r>
        <w:rPr>
          <w:rFonts w:ascii="宋体" w:eastAsia="宋体" w:hAnsi="宋体" w:cs="宋体"/>
          <w:b/>
          <w:bCs/>
          <w:spacing w:val="7"/>
          <w:sz w:val="32"/>
          <w:szCs w:val="32"/>
        </w:rPr>
        <w:t>，也就有理论燃烧温度(</w:t>
      </w:r>
    </w:p>
    <w:p>
      <w:pPr>
        <w:spacing w:before="67" w:line="225" w:lineRule="auto"/>
        <w:ind w:left="264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1"/>
          <w:sz w:val="32"/>
          <w:szCs w:val="32"/>
        </w:rPr>
        <w:t>绝热</w:t>
      </w:r>
    </w:p>
    <w:p>
      <w:pPr>
        <w:spacing w:before="67" w:line="247" w:lineRule="auto"/>
        <w:ind w:left="339" w:right="776" w:hanging="75"/>
        <w:rPr>
          <w:rFonts w:ascii="黑体" w:eastAsia="黑体" w:hAnsi="黑体" w:cs="黑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4"/>
          <w:sz w:val="32"/>
          <w:szCs w:val="32"/>
        </w:rPr>
        <w:t>温度)炉膛主控温度、炉膛出口温度等。②</w:t>
      </w:r>
      <w:r>
        <w:rPr>
          <w:rFonts w:ascii="宋体" w:eastAsia="宋体" w:hAnsi="宋体" w:cs="宋体"/>
          <w:b/>
          <w:bCs/>
          <w:color w:val="C00000"/>
          <w:spacing w:val="4"/>
          <w:sz w:val="32"/>
          <w:szCs w:val="32"/>
        </w:rPr>
        <w:t>在炉内各瞬时状态温度均</w:t>
      </w:r>
      <w:r>
        <w:rPr>
          <w:rFonts w:ascii="宋体" w:eastAsia="宋体" w:hAnsi="宋体" w:cs="宋体"/>
          <w:b/>
          <w:bCs/>
          <w:color w:val="C00000"/>
          <w:spacing w:val="3"/>
          <w:sz w:val="32"/>
          <w:szCs w:val="32"/>
        </w:rPr>
        <w:t>呈</w:t>
      </w:r>
      <w:r>
        <w:rPr>
          <w:rFonts w:ascii="黑体" w:eastAsia="黑体" w:hAnsi="黑体" w:cs="黑体"/>
          <w:color w:val="C00000"/>
          <w:spacing w:val="3"/>
          <w:sz w:val="32"/>
          <w:szCs w:val="32"/>
        </w:rPr>
        <w:t>绝对不均匀分布的特征</w:t>
      </w:r>
      <w:r>
        <w:rPr>
          <w:rFonts w:ascii="黑体" w:eastAsia="黑体" w:hAnsi="黑体" w:cs="黑体"/>
          <w:color w:val="C00000"/>
          <w:sz w:val="32"/>
          <w:szCs w:val="32"/>
        </w:rPr>
        <w:t xml:space="preserve"> </w:t>
      </w:r>
      <w:r>
        <w:rPr>
          <w:rFonts w:ascii="黑体" w:eastAsia="黑体" w:hAnsi="黑体" w:cs="黑体"/>
          <w:color w:val="B50006"/>
          <w:spacing w:val="-2"/>
          <w:sz w:val="32"/>
          <w:szCs w:val="32"/>
        </w:rPr>
        <w:t>,</w:t>
      </w:r>
      <w:r>
        <w:rPr>
          <w:rFonts w:ascii="黑体" w:eastAsia="黑体" w:hAnsi="黑体" w:cs="黑体"/>
          <w:color w:val="B50006"/>
          <w:spacing w:val="60"/>
          <w:sz w:val="32"/>
          <w:szCs w:val="32"/>
        </w:rPr>
        <w:t xml:space="preserve">  </w:t>
      </w:r>
      <w:r>
        <w:rPr>
          <w:rFonts w:ascii="黑体" w:eastAsia="黑体" w:hAnsi="黑体" w:cs="黑体"/>
          <w:b/>
          <w:bCs/>
          <w:color w:val="C00000"/>
          <w:spacing w:val="-2"/>
          <w:sz w:val="32"/>
          <w:szCs w:val="32"/>
        </w:rPr>
        <w:t>故而多采用某段时间的平均温度即相对稳定的温度作为</w:t>
      </w:r>
      <w:r>
        <w:rPr>
          <w:rFonts w:ascii="黑体" w:eastAsia="黑体" w:hAnsi="黑体" w:cs="黑体"/>
          <w:b/>
          <w:bCs/>
          <w:color w:val="C00000"/>
          <w:spacing w:val="-3"/>
          <w:sz w:val="32"/>
          <w:szCs w:val="32"/>
        </w:rPr>
        <w:t>运行监控指标。</w:t>
      </w:r>
    </w:p>
    <w:p>
      <w:pPr>
        <w:spacing w:before="331" w:line="238" w:lineRule="auto"/>
        <w:ind w:left="354" w:right="207" w:hanging="90"/>
        <w:rPr>
          <w:rFonts w:ascii="宋体" w:eastAsia="宋体" w:hAnsi="宋体" w:cs="宋体"/>
          <w:sz w:val="22"/>
          <w:szCs w:val="22"/>
        </w:rPr>
      </w:pPr>
      <w:r>
        <w:rPr>
          <w:rFonts w:ascii="黑体" w:eastAsia="黑体" w:hAnsi="黑体" w:cs="黑体"/>
          <w:b/>
          <w:bCs/>
          <w:color w:val="C40006"/>
          <w:spacing w:val="-3"/>
          <w:sz w:val="32"/>
          <w:szCs w:val="32"/>
        </w:rPr>
        <w:t>炉膛温度属概念性温度，泛指锅炉炉膛内火焰与高温烟气的温度，不是状态参数。</w:t>
      </w:r>
      <w:r>
        <w:rPr>
          <w:rFonts w:ascii="黑体" w:eastAsia="黑体" w:hAnsi="黑体" w:cs="黑体"/>
          <w:b/>
          <w:bCs/>
          <w:spacing w:val="-3"/>
          <w:sz w:val="32"/>
          <w:szCs w:val="32"/>
        </w:rPr>
        <w:t>控制包括安全</w:t>
      </w:r>
      <w:r>
        <w:rPr>
          <w:rFonts w:ascii="黑体" w:eastAsia="黑体" w:hAnsi="黑体" w:cs="黑体"/>
          <w:spacing w:val="-3"/>
          <w:sz w:val="32"/>
          <w:szCs w:val="32"/>
        </w:rPr>
        <w:t xml:space="preserve">   </w:t>
      </w:r>
      <w:r>
        <w:rPr>
          <w:rFonts w:ascii="宋体" w:eastAsia="宋体" w:hAnsi="宋体" w:cs="宋体"/>
          <w:b/>
          <w:bCs/>
          <w:spacing w:val="-1"/>
          <w:sz w:val="32"/>
          <w:szCs w:val="32"/>
        </w:rPr>
        <w:t>可靠运行与初级减排的并重任务，也是垃圾焚烧锅炉运行的基本原则。技术层面：</w:t>
      </w:r>
      <w:r>
        <w:rPr>
          <w:rFonts w:ascii="宋体" w:eastAsia="宋体" w:hAnsi="宋体" w:cs="宋体"/>
          <w:b/>
          <w:bCs/>
          <w:color w:val="BF0000"/>
          <w:spacing w:val="-1"/>
          <w:sz w:val="32"/>
          <w:szCs w:val="32"/>
        </w:rPr>
        <w:t>初级减排的</w:t>
      </w:r>
      <w:r>
        <w:rPr>
          <w:rFonts w:ascii="宋体" w:eastAsia="宋体" w:hAnsi="宋体" w:cs="宋体"/>
          <w:color w:val="BF0000"/>
          <w:spacing w:val="101"/>
          <w:sz w:val="32"/>
          <w:szCs w:val="32"/>
        </w:rPr>
        <w:t xml:space="preserve"> </w:t>
      </w:r>
      <w:r>
        <w:rPr>
          <w:rFonts w:ascii="宋体" w:eastAsia="宋体" w:hAnsi="宋体" w:cs="宋体"/>
          <w:color w:val="718D9C"/>
          <w:spacing w:val="-1"/>
          <w:position w:val="12"/>
          <w:sz w:val="22"/>
          <w:szCs w:val="22"/>
        </w:rPr>
        <w:t>42</w:t>
      </w:r>
    </w:p>
    <w:p>
      <w:pPr>
        <w:spacing w:line="238" w:lineRule="auto"/>
        <w:rPr>
          <w:rFonts w:ascii="宋体" w:eastAsia="宋体" w:hAnsi="宋体" w:cs="宋体"/>
          <w:sz w:val="22"/>
          <w:szCs w:val="22"/>
        </w:rPr>
        <w:sectPr>
          <w:headerReference w:type="default" r:id="rId29"/>
          <w:pgSz w:w="16840" w:h="11910"/>
          <w:pgMar w:top="400" w:right="1319" w:bottom="0" w:left="1259" w:header="0" w:footer="0" w:gutter="0"/>
          <w:pgNumType w:start="14"/>
          <w:cols w:space="708"/>
        </w:sectPr>
      </w:pPr>
    </w:p>
    <w:p>
      <w:pPr>
        <w:pStyle w:val="BodyText"/>
        <w:spacing w:line="275" w:lineRule="auto"/>
      </w:pPr>
    </w:p>
    <w:p>
      <w:pPr>
        <w:pStyle w:val="BodyText"/>
        <w:spacing w:line="275" w:lineRule="auto"/>
      </w:pPr>
    </w:p>
    <w:p>
      <w:pPr>
        <w:pStyle w:val="BodyText"/>
        <w:spacing w:line="275" w:lineRule="auto"/>
      </w:pPr>
    </w:p>
    <w:p>
      <w:pPr>
        <w:pStyle w:val="BodyText"/>
        <w:spacing w:line="275" w:lineRule="auto"/>
      </w:pPr>
    </w:p>
    <w:p>
      <w:pPr>
        <w:pStyle w:val="BodyText"/>
        <w:spacing w:line="276" w:lineRule="auto"/>
      </w:pPr>
    </w:p>
    <w:p>
      <w:pPr>
        <w:pStyle w:val="BodyText"/>
        <w:spacing w:line="276" w:lineRule="auto"/>
      </w:pPr>
    </w:p>
    <w:p>
      <w:pPr>
        <w:spacing w:before="176" w:line="220" w:lineRule="auto"/>
        <w:ind w:left="1747"/>
        <w:outlineLvl w:val="6"/>
        <w:rPr>
          <w:rFonts w:ascii="黑体" w:eastAsia="黑体" w:hAnsi="黑体" w:cs="黑体"/>
          <w:sz w:val="54"/>
          <w:szCs w:val="54"/>
        </w:rPr>
      </w:pPr>
      <w:r>
        <w:pict>
          <v:shape id="IM 18" o:spid="_x0000_s1060" type="#_x0000_t75" style="width:842pt;height:595.5pt;margin-top:-103.05pt;margin-left:0;mso-wrap-distance-left:0;mso-wrap-distance-right:0;position:absolute;z-index:-25164288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b/>
          <w:bCs/>
          <w:color w:val="FFFFFF"/>
          <w:spacing w:val="11"/>
          <w:sz w:val="54"/>
          <w:szCs w:val="54"/>
        </w:rPr>
        <w:t>二、生活垃圾焚烧的3</w:t>
      </w:r>
      <w:r>
        <w:rPr>
          <w:rFonts w:ascii="宋体" w:eastAsia="宋体" w:hAnsi="宋体" w:cs="宋体"/>
          <w:b/>
          <w:bCs/>
          <w:color w:val="FFFFFF"/>
          <w:spacing w:val="11"/>
          <w:sz w:val="54"/>
          <w:szCs w:val="54"/>
        </w:rPr>
        <w:t>T</w:t>
      </w:r>
      <w:r>
        <w:rPr>
          <w:rFonts w:ascii="黑体" w:eastAsia="黑体" w:hAnsi="黑体" w:cs="黑体"/>
          <w:b/>
          <w:bCs/>
          <w:color w:val="FFFFFF"/>
          <w:spacing w:val="11"/>
          <w:sz w:val="54"/>
          <w:szCs w:val="54"/>
        </w:rPr>
        <w:t>与炉膛热力过程</w:t>
      </w:r>
    </w:p>
    <w:p>
      <w:pPr>
        <w:pStyle w:val="BodyText"/>
        <w:spacing w:line="378" w:lineRule="auto"/>
      </w:pPr>
    </w:p>
    <w:p>
      <w:pPr>
        <w:spacing w:before="104" w:line="219" w:lineRule="auto"/>
        <w:ind w:left="1864"/>
        <w:outlineLvl w:val="6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-9"/>
          <w:sz w:val="32"/>
          <w:szCs w:val="32"/>
        </w:rPr>
        <w:t>2.3焚烧过程——炉膛3</w:t>
      </w:r>
      <w:r>
        <w:rPr>
          <w:rFonts w:ascii="Times New Roman" w:eastAsia="Times New Roman" w:hAnsi="Times New Roman" w:cs="Times New Roman"/>
          <w:b/>
          <w:bCs/>
          <w:spacing w:val="-9"/>
          <w:sz w:val="32"/>
          <w:szCs w:val="32"/>
        </w:rPr>
        <w:t>T</w:t>
      </w:r>
      <w:r>
        <w:rPr>
          <w:rFonts w:ascii="宋体" w:eastAsia="宋体" w:hAnsi="宋体" w:cs="宋体"/>
          <w:b/>
          <w:bCs/>
          <w:spacing w:val="-9"/>
          <w:sz w:val="32"/>
          <w:szCs w:val="32"/>
        </w:rPr>
        <w:t>的时间概念</w:t>
      </w:r>
    </w:p>
    <w:p>
      <w:pPr>
        <w:pStyle w:val="BodyText"/>
        <w:spacing w:line="247" w:lineRule="auto"/>
      </w:pPr>
    </w:p>
    <w:p>
      <w:pPr>
        <w:pStyle w:val="BodyText"/>
        <w:spacing w:before="104"/>
        <w:ind w:left="1864" w:right="2319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3T是以炉膛烟风侧状态控制为主的基本原则；3</w:t>
      </w:r>
      <w:r>
        <w:rPr>
          <w:b/>
          <w:bCs/>
          <w:sz w:val="32"/>
          <w:szCs w:val="32"/>
        </w:rPr>
        <w:t>T+E</w:t>
      </w:r>
      <w:r>
        <w:rPr>
          <w:rFonts w:ascii="宋体" w:eastAsia="宋体" w:hAnsi="宋体" w:cs="宋体"/>
          <w:b/>
          <w:bCs/>
          <w:sz w:val="32"/>
          <w:szCs w:val="32"/>
        </w:rPr>
        <w:t>的</w:t>
      </w:r>
      <w:r>
        <w:rPr>
          <w:b/>
          <w:bCs/>
          <w:sz w:val="32"/>
          <w:szCs w:val="32"/>
        </w:rPr>
        <w:t>E</w:t>
      </w:r>
      <w:r>
        <w:rPr>
          <w:rFonts w:ascii="宋体" w:eastAsia="宋体" w:hAnsi="宋体" w:cs="宋体"/>
          <w:b/>
          <w:bCs/>
          <w:sz w:val="32"/>
          <w:szCs w:val="32"/>
        </w:rPr>
        <w:t>是燃烧三原则之一，也是3</w:t>
      </w:r>
      <w:r>
        <w:rPr>
          <w:b/>
          <w:bCs/>
          <w:sz w:val="32"/>
          <w:szCs w:val="32"/>
        </w:rPr>
        <w:t>T</w:t>
      </w:r>
      <w:r>
        <w:rPr>
          <w:rFonts w:ascii="宋体" w:eastAsia="宋体" w:hAnsi="宋体" w:cs="宋体"/>
          <w:b/>
          <w:bCs/>
          <w:sz w:val="32"/>
          <w:szCs w:val="32"/>
        </w:rPr>
        <w:t>原则重</w:t>
      </w:r>
      <w:r>
        <w:rPr>
          <w:rFonts w:ascii="宋体" w:eastAsia="宋体" w:hAnsi="宋体" w:cs="宋体"/>
          <w:spacing w:val="2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7"/>
          <w:sz w:val="32"/>
          <w:szCs w:val="32"/>
        </w:rPr>
        <w:t>要控制手段，理论上无需单独列出。</w:t>
      </w:r>
    </w:p>
    <w:p>
      <w:pPr>
        <w:pStyle w:val="BodyText"/>
        <w:spacing w:line="268" w:lineRule="auto"/>
      </w:pPr>
    </w:p>
    <w:p>
      <w:pPr>
        <w:spacing w:before="104" w:line="217" w:lineRule="auto"/>
        <w:ind w:left="1864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-8"/>
          <w:sz w:val="32"/>
          <w:szCs w:val="32"/>
        </w:rPr>
        <w:t>炉排上固态3</w:t>
      </w:r>
      <w:r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</w:rPr>
        <w:t>T</w:t>
      </w:r>
      <w:r>
        <w:rPr>
          <w:rFonts w:ascii="宋体" w:eastAsia="宋体" w:hAnsi="宋体" w:cs="宋体"/>
          <w:b/>
          <w:bCs/>
          <w:spacing w:val="-8"/>
          <w:sz w:val="32"/>
          <w:szCs w:val="32"/>
        </w:rPr>
        <w:t>燃烧，包括①垃圾在炉排上从点火到燃烬燃烧过程</w:t>
      </w:r>
      <w:r>
        <w:rPr>
          <w:rFonts w:ascii="宋体" w:eastAsia="宋体" w:hAnsi="宋体" w:cs="宋体"/>
          <w:b/>
          <w:bCs/>
          <w:spacing w:val="-9"/>
          <w:sz w:val="32"/>
          <w:szCs w:val="32"/>
        </w:rPr>
        <w:t>经历的时间，</w:t>
      </w:r>
      <w:r>
        <w:rPr>
          <w:rFonts w:ascii="宋体" w:eastAsia="宋体" w:hAnsi="宋体" w:cs="宋体"/>
          <w:spacing w:val="92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9"/>
          <w:sz w:val="32"/>
          <w:szCs w:val="32"/>
        </w:rPr>
        <w:t>一般在</w:t>
      </w:r>
    </w:p>
    <w:p>
      <w:pPr>
        <w:spacing w:before="59" w:line="276" w:lineRule="auto"/>
        <w:ind w:left="1864" w:right="2102"/>
        <w:jc w:val="both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-4"/>
          <w:sz w:val="32"/>
          <w:szCs w:val="32"/>
        </w:rPr>
        <w:t>40~90min,</w:t>
      </w:r>
      <w:r>
        <w:rPr>
          <w:rFonts w:ascii="宋体" w:eastAsia="宋体" w:hAnsi="宋体" w:cs="宋体"/>
          <w:spacing w:val="-4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4"/>
          <w:sz w:val="32"/>
          <w:szCs w:val="32"/>
        </w:rPr>
        <w:t>最高~120</w:t>
      </w:r>
      <w:r>
        <w:rPr>
          <w:rFonts w:ascii="Times New Roman" w:eastAsia="Times New Roman" w:hAnsi="Times New Roman" w:cs="Times New Roman"/>
          <w:b/>
          <w:bCs/>
          <w:spacing w:val="-4"/>
          <w:sz w:val="32"/>
          <w:szCs w:val="32"/>
        </w:rPr>
        <w:t xml:space="preserve">min;  </w:t>
      </w:r>
      <w:r>
        <w:rPr>
          <w:rFonts w:ascii="宋体" w:eastAsia="宋体" w:hAnsi="宋体" w:cs="宋体"/>
          <w:b/>
          <w:bCs/>
          <w:spacing w:val="-4"/>
          <w:sz w:val="32"/>
          <w:szCs w:val="32"/>
        </w:rPr>
        <w:t>根据垃圾可燃物、含水量及无机成分</w:t>
      </w:r>
      <w:r>
        <w:rPr>
          <w:rFonts w:ascii="宋体" w:eastAsia="宋体" w:hAnsi="宋体" w:cs="宋体"/>
          <w:b/>
          <w:bCs/>
          <w:spacing w:val="-5"/>
          <w:sz w:val="32"/>
          <w:szCs w:val="32"/>
        </w:rPr>
        <w:t>特点在一定范围内调整；</w:t>
      </w:r>
      <w:r>
        <w:rPr>
          <w:rFonts w:ascii="宋体" w:eastAsia="宋体" w:hAnsi="宋体" w:cs="宋体"/>
          <w:spacing w:val="45"/>
          <w:sz w:val="32"/>
          <w:szCs w:val="32"/>
        </w:rPr>
        <w:t xml:space="preserve"> </w:t>
      </w:r>
      <w:r>
        <w:rPr>
          <w:rFonts w:ascii="宋体" w:eastAsia="宋体" w:hAnsi="宋体" w:cs="宋体"/>
          <w:spacing w:val="-5"/>
          <w:sz w:val="32"/>
          <w:szCs w:val="32"/>
        </w:rPr>
        <w:t>②</w:t>
      </w:r>
      <w:r>
        <w:rPr>
          <w:rFonts w:ascii="宋体" w:eastAsia="宋体" w:hAnsi="宋体" w:cs="宋体"/>
          <w:sz w:val="32"/>
          <w:szCs w:val="32"/>
        </w:rPr>
        <w:t xml:space="preserve">  </w:t>
      </w:r>
      <w:r>
        <w:rPr>
          <w:rFonts w:ascii="宋体" w:eastAsia="宋体" w:hAnsi="宋体" w:cs="宋体"/>
          <w:b/>
          <w:bCs/>
          <w:spacing w:val="-2"/>
          <w:sz w:val="32"/>
          <w:szCs w:val="32"/>
        </w:rPr>
        <w:t>燃烧与燃烬温度及炉排表面温度；③保证充分燃烧的搅动与跌落的紊流过程。</w:t>
      </w:r>
      <w:r>
        <w:rPr>
          <w:rFonts w:ascii="宋体" w:eastAsia="宋体" w:hAnsi="宋体" w:cs="宋体"/>
          <w:b/>
          <w:bCs/>
          <w:color w:val="C50006"/>
          <w:spacing w:val="-2"/>
          <w:sz w:val="32"/>
          <w:szCs w:val="32"/>
        </w:rPr>
        <w:t>运行控制指标</w:t>
      </w:r>
    </w:p>
    <w:p>
      <w:pPr>
        <w:spacing w:before="1" w:line="218" w:lineRule="auto"/>
        <w:ind w:left="1859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color w:val="B10000"/>
          <w:spacing w:val="-2"/>
          <w:sz w:val="32"/>
          <w:szCs w:val="32"/>
        </w:rPr>
        <w:t xml:space="preserve">:   </w:t>
      </w:r>
      <w:r>
        <w:rPr>
          <w:rFonts w:ascii="宋体" w:eastAsia="宋体" w:hAnsi="宋体" w:cs="宋体"/>
          <w:b/>
          <w:bCs/>
          <w:color w:val="C50006"/>
          <w:spacing w:val="-2"/>
          <w:sz w:val="32"/>
          <w:szCs w:val="32"/>
        </w:rPr>
        <w:t>基于环保运行控制炉渣热灼减率、</w:t>
      </w:r>
      <w:r>
        <w:rPr>
          <w:rFonts w:ascii="宋体" w:eastAsia="宋体" w:hAnsi="宋体" w:cs="宋体"/>
          <w:b/>
          <w:bCs/>
          <w:color w:val="B10000"/>
          <w:spacing w:val="-2"/>
          <w:sz w:val="32"/>
          <w:szCs w:val="32"/>
        </w:rPr>
        <w:t>CO</w:t>
      </w:r>
      <w:r>
        <w:rPr>
          <w:rFonts w:ascii="宋体" w:eastAsia="宋体" w:hAnsi="宋体" w:cs="宋体"/>
          <w:color w:val="B10000"/>
          <w:spacing w:val="-2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color w:val="C50006"/>
          <w:spacing w:val="-2"/>
          <w:sz w:val="32"/>
          <w:szCs w:val="32"/>
        </w:rPr>
        <w:t>完全燃烧</w:t>
      </w:r>
      <w:r>
        <w:rPr>
          <w:rFonts w:ascii="宋体" w:eastAsia="宋体" w:hAnsi="宋体" w:cs="宋体"/>
          <w:b/>
          <w:bCs/>
          <w:color w:val="C50006"/>
          <w:spacing w:val="-3"/>
          <w:sz w:val="32"/>
          <w:szCs w:val="32"/>
        </w:rPr>
        <w:t>，以及火焰锋面，灰熔点监控等。</w:t>
      </w:r>
    </w:p>
    <w:p>
      <w:pPr>
        <w:pStyle w:val="BodyText"/>
        <w:spacing w:line="256" w:lineRule="auto"/>
      </w:pPr>
    </w:p>
    <w:p>
      <w:pPr>
        <w:spacing w:before="104" w:line="251" w:lineRule="auto"/>
        <w:ind w:left="1864" w:right="2093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color w:val="C40006"/>
          <w:spacing w:val="-2"/>
          <w:sz w:val="32"/>
          <w:szCs w:val="32"/>
        </w:rPr>
        <w:t>炉膛内气态挥发分3</w:t>
      </w:r>
      <w:r>
        <w:rPr>
          <w:rFonts w:ascii="宋体" w:eastAsia="宋体" w:hAnsi="宋体" w:cs="宋体"/>
          <w:b/>
          <w:bCs/>
          <w:color w:val="C20000"/>
          <w:spacing w:val="-2"/>
          <w:sz w:val="32"/>
          <w:szCs w:val="32"/>
        </w:rPr>
        <w:t>T</w:t>
      </w:r>
      <w:r>
        <w:rPr>
          <w:rFonts w:ascii="宋体" w:eastAsia="宋体" w:hAnsi="宋体" w:cs="宋体"/>
          <w:b/>
          <w:bCs/>
          <w:color w:val="C40006"/>
          <w:spacing w:val="-2"/>
          <w:sz w:val="32"/>
          <w:szCs w:val="32"/>
        </w:rPr>
        <w:t>燃烧与高温烟气滞留时间与传热，包括以充分燃烧、最佳传热、主</w:t>
      </w:r>
      <w:r>
        <w:rPr>
          <w:rFonts w:ascii="宋体" w:eastAsia="宋体" w:hAnsi="宋体" w:cs="宋体"/>
          <w:color w:val="C40006"/>
          <w:spacing w:val="-2"/>
          <w:sz w:val="32"/>
          <w:szCs w:val="32"/>
        </w:rPr>
        <w:t xml:space="preserve">控   </w:t>
      </w:r>
      <w:r>
        <w:rPr>
          <w:rFonts w:ascii="宋体" w:eastAsia="宋体" w:hAnsi="宋体" w:cs="宋体"/>
          <w:b/>
          <w:bCs/>
          <w:color w:val="C40006"/>
          <w:spacing w:val="-1"/>
          <w:sz w:val="32"/>
          <w:szCs w:val="32"/>
        </w:rPr>
        <w:t>温</w:t>
      </w:r>
      <w:r>
        <w:rPr>
          <w:rFonts w:ascii="宋体" w:eastAsia="宋体" w:hAnsi="宋体" w:cs="宋体"/>
          <w:color w:val="C40006"/>
          <w:spacing w:val="-1"/>
          <w:sz w:val="32"/>
          <w:szCs w:val="32"/>
        </w:rPr>
        <w:t xml:space="preserve">  </w:t>
      </w:r>
      <w:r>
        <w:rPr>
          <w:rFonts w:ascii="宋体" w:eastAsia="宋体" w:hAnsi="宋体" w:cs="宋体"/>
          <w:b/>
          <w:bCs/>
          <w:color w:val="C40006"/>
          <w:spacing w:val="-1"/>
          <w:sz w:val="32"/>
          <w:szCs w:val="32"/>
        </w:rPr>
        <w:t>度、可靠污控运行。</w:t>
      </w:r>
      <w:r>
        <w:rPr>
          <w:rFonts w:ascii="宋体" w:eastAsia="宋体" w:hAnsi="宋体" w:cs="宋体"/>
          <w:b/>
          <w:bCs/>
          <w:spacing w:val="-1"/>
          <w:sz w:val="32"/>
          <w:szCs w:val="32"/>
        </w:rPr>
        <w:t>其中，①燃烧速率很快，不进行火焰燃烧时</w:t>
      </w:r>
      <w:r>
        <w:rPr>
          <w:rFonts w:ascii="宋体" w:eastAsia="宋体" w:hAnsi="宋体" w:cs="宋体"/>
          <w:b/>
          <w:bCs/>
          <w:spacing w:val="-2"/>
          <w:sz w:val="32"/>
          <w:szCs w:val="32"/>
        </w:rPr>
        <w:t>间控制。②控制高温烟</w:t>
      </w:r>
      <w:r>
        <w:rPr>
          <w:rFonts w:ascii="宋体" w:eastAsia="宋体" w:hAnsi="宋体" w:cs="宋体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32"/>
          <w:szCs w:val="32"/>
        </w:rPr>
        <w:t>气在</w:t>
      </w:r>
      <w:r>
        <w:rPr>
          <w:rFonts w:ascii="宋体" w:eastAsia="宋体" w:hAnsi="宋体" w:cs="宋体"/>
          <w:spacing w:val="149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32"/>
          <w:szCs w:val="32"/>
        </w:rPr>
        <w:t>炉膛与对流受热面滞留时间。锅炉结构确定后，在炉膛内由焚烧烟气量约束高温烟气</w:t>
      </w:r>
      <w:r>
        <w:rPr>
          <w:rFonts w:ascii="宋体" w:eastAsia="宋体" w:hAnsi="宋体" w:cs="宋体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32"/>
          <w:szCs w:val="32"/>
        </w:rPr>
        <w:t>滞留时</w:t>
      </w:r>
      <w:r>
        <w:rPr>
          <w:rFonts w:ascii="宋体" w:eastAsia="宋体" w:hAnsi="宋体" w:cs="宋体"/>
          <w:spacing w:val="151"/>
          <w:sz w:val="32"/>
          <w:szCs w:val="32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32"/>
          <w:szCs w:val="32"/>
        </w:rPr>
        <w:t>间；在对流受热面停留时间根据锅炉原理由制造厂确定。实际运行烟气量与</w:t>
      </w:r>
      <w:r>
        <w:rPr>
          <w:rFonts w:ascii="宋体" w:eastAsia="宋体" w:hAnsi="宋体" w:cs="宋体"/>
          <w:b/>
          <w:bCs/>
          <w:spacing w:val="-2"/>
          <w:sz w:val="32"/>
          <w:szCs w:val="32"/>
        </w:rPr>
        <w:t>设计烟</w:t>
      </w:r>
    </w:p>
    <w:p>
      <w:pPr>
        <w:spacing w:before="100" w:line="171" w:lineRule="auto"/>
        <w:ind w:left="1864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spacing w:val="16"/>
          <w:sz w:val="32"/>
          <w:szCs w:val="32"/>
        </w:rPr>
        <w:t>气量有差异。</w:t>
      </w:r>
    </w:p>
    <w:p>
      <w:pPr>
        <w:spacing w:before="1" w:line="170" w:lineRule="auto"/>
        <w:ind w:left="15054"/>
        <w:rPr>
          <w:rFonts w:ascii="宋体" w:eastAsia="宋体" w:hAnsi="宋体" w:cs="宋体"/>
          <w:sz w:val="32"/>
          <w:szCs w:val="32"/>
        </w:rPr>
      </w:pPr>
      <w:r>
        <w:rPr>
          <w:rFonts w:ascii="宋体" w:eastAsia="宋体" w:hAnsi="宋体" w:cs="宋体"/>
          <w:b/>
          <w:bCs/>
          <w:color w:val="1E78A6"/>
          <w:spacing w:val="-13"/>
          <w:sz w:val="32"/>
          <w:szCs w:val="32"/>
        </w:rPr>
        <w:t>13</w:t>
      </w:r>
    </w:p>
    <w:p>
      <w:pPr>
        <w:spacing w:line="170" w:lineRule="auto"/>
        <w:rPr>
          <w:rFonts w:ascii="宋体" w:eastAsia="宋体" w:hAnsi="宋体" w:cs="宋体"/>
          <w:sz w:val="32"/>
          <w:szCs w:val="32"/>
        </w:rPr>
        <w:sectPr>
          <w:headerReference w:type="default" r:id="rId31"/>
          <w:pgSz w:w="16840" w:h="11910"/>
          <w:pgMar w:top="400" w:right="0" w:bottom="0" w:left="0" w:header="0" w:footer="0" w:gutter="0"/>
          <w:pgNumType w:start="15"/>
          <w:cols w:space="708"/>
        </w:sectPr>
      </w:pPr>
    </w:p>
    <w:p>
      <w:pPr>
        <w:pStyle w:val="BodyText"/>
        <w:spacing w:line="241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line="1040" w:lineRule="exact"/>
      </w:pPr>
      <w:r>
        <w:rPr>
          <w:position w:val="-20"/>
        </w:rPr>
        <w:pict>
          <v:shape id="文本框 29" o:spid="_x0000_i1061" type="#_x0000_t202" style="width:713.55pt;height:52pt;mso-position-horizontal-relative:char;mso-position-vertical-relative:line" filled="t" fillcolor="#74919f" stroked="f">
            <o:lock v:ext="edit" aspectratio="f"/>
            <v:textbox inset="0,0,0,0">
              <w:txbxContent>
                <w:p>
                  <w:pPr>
                    <w:spacing w:before="348" w:line="220" w:lineRule="auto"/>
                    <w:ind w:left="447"/>
                    <w:outlineLvl w:val="6"/>
                    <w:rPr>
                      <w:rFonts w:ascii="黑体" w:eastAsia="黑体" w:hAnsi="黑体" w:cs="黑体"/>
                      <w:sz w:val="54"/>
                      <w:szCs w:val="54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1"/>
                      <w:sz w:val="54"/>
                      <w:szCs w:val="54"/>
                    </w:rPr>
                    <w:t>二、</w:t>
                  </w:r>
                  <w:r>
                    <w:rPr>
                      <w:rFonts w:ascii="黑体" w:eastAsia="黑体" w:hAnsi="黑体" w:cs="黑体"/>
                      <w:color w:val="FFFFFF"/>
                      <w:spacing w:val="-108"/>
                      <w:sz w:val="54"/>
                      <w:szCs w:val="54"/>
                    </w:rPr>
                    <w:t xml:space="preserve"> </w:t>
                  </w: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1"/>
                      <w:sz w:val="54"/>
                      <w:szCs w:val="54"/>
                    </w:rPr>
                    <w:t>生活垃圾焚烧的3</w:t>
                  </w:r>
                  <w:r>
                    <w:rPr>
                      <w:rFonts w:ascii="宋体" w:eastAsia="宋体" w:hAnsi="宋体" w:cs="宋体"/>
                      <w:b/>
                      <w:bCs/>
                      <w:color w:val="FFFFFF"/>
                      <w:spacing w:val="1"/>
                      <w:sz w:val="54"/>
                      <w:szCs w:val="54"/>
                    </w:rPr>
                    <w:t>T</w:t>
                  </w: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1"/>
                      <w:sz w:val="54"/>
                      <w:szCs w:val="54"/>
                    </w:rPr>
                    <w:t>与炉膛热力过程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BodyText"/>
        <w:spacing w:line="360" w:lineRule="auto"/>
      </w:pPr>
    </w:p>
    <w:p>
      <w:pPr>
        <w:spacing w:before="104" w:line="219" w:lineRule="auto"/>
        <w:ind w:left="444"/>
        <w:outlineLvl w:val="6"/>
        <w:rPr>
          <w:rFonts w:ascii="宋体" w:eastAsia="宋体" w:hAnsi="宋体" w:cs="宋体"/>
          <w:sz w:val="32"/>
          <w:szCs w:val="32"/>
        </w:rPr>
      </w:pPr>
      <w:r>
        <w:pict>
          <v:shape id="IM 20" o:spid="_x0000_s1062" type="#_x0000_t75" style="width:680pt;height:327.5pt;margin-top:-7.1pt;margin-left:15.5pt;mso-wrap-distance-left:0;mso-wrap-distance-right:0;position:absolute;z-index:-251641856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b/>
          <w:bCs/>
          <w:spacing w:val="-11"/>
          <w:sz w:val="32"/>
          <w:szCs w:val="32"/>
        </w:rPr>
        <w:t>2.4焚烧过程——常态化安全/可靠/环保运行的指标控制</w:t>
      </w:r>
    </w:p>
    <w:p>
      <w:pPr>
        <w:spacing w:before="213" w:line="212" w:lineRule="auto"/>
        <w:ind w:left="49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1)</w:t>
      </w:r>
      <w:r>
        <w:rPr>
          <w:rFonts w:ascii="宋体" w:eastAsia="宋体" w:hAnsi="宋体" w:cs="宋体"/>
          <w:spacing w:val="105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z w:val="28"/>
          <w:szCs w:val="28"/>
        </w:rPr>
        <w:t>在月均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LHV</w:t>
      </w:r>
      <w:r>
        <w:rPr>
          <w:rFonts w:ascii="宋体" w:eastAsia="宋体" w:hAnsi="宋体" w:cs="宋体"/>
          <w:b/>
          <w:bCs/>
          <w:sz w:val="28"/>
          <w:szCs w:val="28"/>
        </w:rPr>
        <w:t>值≥5000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kJ/kg,</w:t>
      </w:r>
      <w:r>
        <w:rPr>
          <w:rFonts w:ascii="Times New Roman" w:eastAsia="Times New Roman" w:hAnsi="Times New Roman" w:cs="Times New Roman"/>
          <w:b/>
          <w:bCs/>
          <w:spacing w:val="27"/>
          <w:sz w:val="28"/>
          <w:szCs w:val="28"/>
        </w:rPr>
        <w:t xml:space="preserve">  </w:t>
      </w:r>
      <w:r>
        <w:rPr>
          <w:rFonts w:ascii="宋体" w:eastAsia="宋体" w:hAnsi="宋体" w:cs="宋体"/>
          <w:b/>
          <w:bCs/>
          <w:sz w:val="28"/>
          <w:szCs w:val="28"/>
        </w:rPr>
        <w:t>不低于额定处理量70%条件下连续稳定运行。焚烧垃圾量按处理规模的</w:t>
      </w:r>
    </w:p>
    <w:p>
      <w:pPr>
        <w:spacing w:before="91" w:line="239" w:lineRule="auto"/>
        <w:ind w:left="983" w:right="678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11"/>
          <w:sz w:val="28"/>
          <w:szCs w:val="28"/>
        </w:rPr>
        <w:t>80%~100%,最低70%控制。超负荷处理量10%且持续时间不超过</w:t>
      </w:r>
      <w:r>
        <w:rPr>
          <w:rFonts w:ascii="宋体" w:eastAsia="宋体" w:hAnsi="宋体" w:cs="宋体"/>
          <w:b/>
          <w:bCs/>
          <w:spacing w:val="10"/>
          <w:sz w:val="28"/>
          <w:szCs w:val="28"/>
        </w:rPr>
        <w:t>4h/d。要严格按处理规模与适宜运行</w:t>
      </w:r>
      <w:r>
        <w:rPr>
          <w:rFonts w:ascii="宋体" w:eastAsia="宋体" w:hAnsi="宋体" w:cs="宋体"/>
          <w:sz w:val="28"/>
          <w:szCs w:val="28"/>
        </w:rPr>
        <w:t xml:space="preserve">  </w:t>
      </w:r>
      <w:r>
        <w:rPr>
          <w:rFonts w:ascii="宋体" w:eastAsia="宋体" w:hAnsi="宋体" w:cs="宋体"/>
          <w:b/>
          <w:bCs/>
          <w:spacing w:val="-8"/>
          <w:sz w:val="28"/>
          <w:szCs w:val="28"/>
        </w:rPr>
        <w:t>管理制度运行，不连续超烧。</w:t>
      </w:r>
    </w:p>
    <w:p>
      <w:pPr>
        <w:spacing w:before="287" w:line="243" w:lineRule="auto"/>
        <w:ind w:left="983" w:right="642" w:hanging="543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2"/>
          <w:sz w:val="28"/>
          <w:szCs w:val="28"/>
        </w:rPr>
        <w:t xml:space="preserve">2)  </w:t>
      </w:r>
      <w:r>
        <w:rPr>
          <w:rFonts w:ascii="宋体" w:eastAsia="宋体" w:hAnsi="宋体" w:cs="宋体"/>
          <w:b/>
          <w:bCs/>
          <w:spacing w:val="-2"/>
          <w:sz w:val="28"/>
          <w:szCs w:val="28"/>
        </w:rPr>
        <w:t>基于保护环境与安全经济运行要求，合理控制计划检修时间，降低非计划</w:t>
      </w: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停运系数，年计划停运不超过</w:t>
      </w:r>
      <w:r>
        <w:rPr>
          <w:rFonts w:ascii="宋体" w:eastAsia="宋体" w:hAnsi="宋体" w:cs="宋体"/>
          <w:spacing w:val="-3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2"/>
          <w:sz w:val="28"/>
          <w:szCs w:val="28"/>
        </w:rPr>
        <w:t>3次，非计划停运不宜超过2次，计划停运系数不超过8.6%;锅炉的全年(8760h)</w:t>
      </w:r>
      <w:r>
        <w:rPr>
          <w:rFonts w:ascii="宋体" w:eastAsia="宋体" w:hAnsi="宋体" w:cs="宋体"/>
          <w:spacing w:val="2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2"/>
          <w:sz w:val="28"/>
          <w:szCs w:val="28"/>
        </w:rPr>
        <w:t>被迫停用率≤8</w:t>
      </w:r>
      <w:r>
        <w:rPr>
          <w:rFonts w:ascii="宋体" w:eastAsia="宋体" w:hAnsi="宋体" w:cs="宋体"/>
          <w:spacing w:val="2"/>
          <w:sz w:val="28"/>
          <w:szCs w:val="28"/>
        </w:rPr>
        <w:t>0</w:t>
      </w:r>
      <w:r>
        <w:rPr>
          <w:rFonts w:ascii="宋体" w:eastAsia="宋体" w:hAnsi="宋体" w:cs="宋体"/>
          <w:spacing w:val="1"/>
          <w:sz w:val="28"/>
          <w:szCs w:val="28"/>
        </w:rPr>
        <w:t>h。</w:t>
      </w:r>
      <w:r>
        <w:rPr>
          <w:rFonts w:ascii="宋体" w:eastAsia="宋体" w:hAnsi="宋体" w:cs="宋体"/>
          <w:spacing w:val="-61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1"/>
          <w:sz w:val="28"/>
          <w:szCs w:val="28"/>
        </w:rPr>
        <w:t xml:space="preserve">保 </w:t>
      </w:r>
      <w:r>
        <w:rPr>
          <w:rFonts w:ascii="宋体" w:eastAsia="宋体" w:hAnsi="宋体" w:cs="宋体"/>
          <w:b/>
          <w:bCs/>
          <w:spacing w:val="2"/>
          <w:sz w:val="28"/>
          <w:szCs w:val="28"/>
        </w:rPr>
        <w:t>持焚烧线年累计运行时间≥8000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h</w:t>
      </w:r>
      <w:r>
        <w:rPr>
          <w:rFonts w:ascii="宋体" w:eastAsia="宋体" w:hAnsi="宋体" w:cs="宋体"/>
          <w:b/>
          <w:bCs/>
          <w:spacing w:val="2"/>
          <w:sz w:val="28"/>
          <w:szCs w:val="28"/>
        </w:rPr>
        <w:t>。设备运行系数91~94%,不应</w:t>
      </w:r>
      <w:r>
        <w:rPr>
          <w:rFonts w:ascii="宋体" w:eastAsia="宋体" w:hAnsi="宋体" w:cs="宋体"/>
          <w:b/>
          <w:bCs/>
          <w:spacing w:val="1"/>
          <w:sz w:val="28"/>
          <w:szCs w:val="28"/>
        </w:rPr>
        <w:t>追求过高，以免设备疲劳损伤。</w:t>
      </w:r>
    </w:p>
    <w:p>
      <w:pPr>
        <w:pStyle w:val="BodyText"/>
        <w:spacing w:before="315"/>
        <w:ind w:left="983" w:right="689" w:hanging="543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3"/>
          <w:sz w:val="28"/>
          <w:szCs w:val="28"/>
        </w:rPr>
        <w:t>3</w:t>
      </w:r>
      <w:r>
        <w:rPr>
          <w:rFonts w:ascii="宋体" w:eastAsia="宋体" w:hAnsi="宋体" w:cs="宋体"/>
          <w:b/>
          <w:bCs/>
          <w:color w:val="242C32"/>
          <w:spacing w:val="-3"/>
          <w:sz w:val="28"/>
          <w:szCs w:val="28"/>
        </w:rPr>
        <w:t>)</w:t>
      </w:r>
      <w:r>
        <w:rPr>
          <w:rFonts w:ascii="宋体" w:eastAsia="宋体" w:hAnsi="宋体" w:cs="宋体"/>
          <w:color w:val="242C32"/>
          <w:spacing w:val="126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切实按检修计划实施运行维护保养，保证主设备的寿命期不低于25年。锅炉受压元件的有效工作寿</w:t>
      </w:r>
      <w:r>
        <w:rPr>
          <w:rFonts w:ascii="宋体" w:eastAsia="宋体" w:hAnsi="宋体" w:cs="宋体"/>
          <w:spacing w:val="-3"/>
          <w:sz w:val="28"/>
          <w:szCs w:val="28"/>
        </w:rPr>
        <w:t xml:space="preserve">命不 </w:t>
      </w:r>
      <w:r>
        <w:rPr>
          <w:rFonts w:ascii="宋体" w:eastAsia="宋体" w:hAnsi="宋体" w:cs="宋体"/>
          <w:b/>
          <w:bCs/>
          <w:spacing w:val="-8"/>
          <w:sz w:val="28"/>
          <w:szCs w:val="28"/>
        </w:rPr>
        <w:t>低于200000</w:t>
      </w:r>
      <w:r>
        <w:rPr>
          <w:b/>
          <w:bCs/>
          <w:spacing w:val="-8"/>
          <w:sz w:val="28"/>
          <w:szCs w:val="28"/>
        </w:rPr>
        <w:t>h</w:t>
      </w:r>
      <w:r>
        <w:rPr>
          <w:rFonts w:ascii="宋体" w:eastAsia="宋体" w:hAnsi="宋体" w:cs="宋体"/>
          <w:b/>
          <w:bCs/>
          <w:spacing w:val="-8"/>
          <w:sz w:val="28"/>
          <w:szCs w:val="28"/>
        </w:rPr>
        <w:t>。</w:t>
      </w:r>
    </w:p>
    <w:p>
      <w:pPr>
        <w:spacing w:before="283" w:line="245" w:lineRule="auto"/>
        <w:ind w:left="983" w:right="850" w:hanging="543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3"/>
          <w:sz w:val="28"/>
          <w:szCs w:val="28"/>
        </w:rPr>
        <w:t>4)</w:t>
      </w:r>
      <w:r>
        <w:rPr>
          <w:rFonts w:ascii="宋体" w:eastAsia="宋体" w:hAnsi="宋体" w:cs="宋体"/>
          <w:spacing w:val="124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炉膛出口烟气经半辐射烟气通道，以不高于650℃进入对流通</w:t>
      </w:r>
      <w:r>
        <w:rPr>
          <w:rFonts w:ascii="宋体" w:eastAsia="宋体" w:hAnsi="宋体" w:cs="宋体"/>
          <w:b/>
          <w:bCs/>
          <w:spacing w:val="-4"/>
          <w:sz w:val="28"/>
          <w:szCs w:val="28"/>
        </w:rPr>
        <w:t>道。排烟温度应高于酸性污染物中最高露</w:t>
      </w:r>
      <w:r>
        <w:rPr>
          <w:rFonts w:ascii="宋体" w:eastAsia="宋体" w:hAnsi="宋体" w:cs="宋体"/>
          <w:spacing w:val="-4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4"/>
          <w:sz w:val="28"/>
          <w:szCs w:val="28"/>
        </w:rPr>
        <w:t>点温度，且大修后4000h以内，排烟温度180~210℃,运行8000h≤250℃。</w:t>
      </w:r>
      <w:r>
        <w:rPr>
          <w:rFonts w:ascii="宋体" w:eastAsia="宋体" w:hAnsi="宋体" w:cs="宋体"/>
          <w:spacing w:val="46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4"/>
          <w:sz w:val="28"/>
          <w:szCs w:val="28"/>
        </w:rPr>
        <w:t>锅炉出口烟气含氧量控</w:t>
      </w:r>
      <w:r>
        <w:rPr>
          <w:rFonts w:ascii="宋体" w:eastAsia="宋体" w:hAnsi="宋体" w:cs="宋体"/>
          <w:spacing w:val="-4"/>
          <w:sz w:val="28"/>
          <w:szCs w:val="28"/>
        </w:rPr>
        <w:t>制在</w:t>
      </w:r>
      <w:r>
        <w:rPr>
          <w:rFonts w:ascii="宋体" w:eastAsia="宋体" w:hAnsi="宋体" w:cs="宋体"/>
          <w:sz w:val="28"/>
          <w:szCs w:val="28"/>
        </w:rPr>
        <w:t xml:space="preserve">   </w:t>
      </w:r>
      <w:r>
        <w:rPr>
          <w:rFonts w:ascii="宋体" w:eastAsia="宋体" w:hAnsi="宋体" w:cs="宋体"/>
          <w:b/>
          <w:bCs/>
          <w:spacing w:val="2"/>
          <w:sz w:val="28"/>
          <w:szCs w:val="28"/>
        </w:rPr>
        <w:t>8%±2%,低氧燃烧不受此限制，</w:t>
      </w:r>
      <w:r>
        <w:rPr>
          <w:rFonts w:ascii="宋体" w:eastAsia="宋体" w:hAnsi="宋体" w:cs="宋体"/>
          <w:spacing w:val="-52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z w:val="28"/>
          <w:szCs w:val="28"/>
        </w:rPr>
        <w:t>tg</w:t>
      </w:r>
      <w:r>
        <w:rPr>
          <w:rFonts w:ascii="宋体" w:eastAsia="宋体" w:hAnsi="宋体" w:cs="宋体"/>
          <w:b/>
          <w:bCs/>
          <w:spacing w:val="2"/>
          <w:sz w:val="28"/>
          <w:szCs w:val="28"/>
        </w:rPr>
        <w:t>130</w:t>
      </w:r>
      <w:r>
        <w:rPr>
          <w:rFonts w:ascii="宋体" w:eastAsia="宋体" w:hAnsi="宋体" w:cs="宋体"/>
          <w:b/>
          <w:bCs/>
          <w:spacing w:val="1"/>
          <w:sz w:val="28"/>
          <w:szCs w:val="28"/>
        </w:rPr>
        <w:t>~140℃(</w:t>
      </w:r>
      <w:r>
        <w:rPr>
          <w:rFonts w:ascii="宋体" w:eastAsia="宋体" w:hAnsi="宋体" w:cs="宋体"/>
          <w:b/>
          <w:bCs/>
          <w:sz w:val="28"/>
          <w:szCs w:val="28"/>
        </w:rPr>
        <w:t>FSB</w:t>
      </w:r>
      <w:r>
        <w:rPr>
          <w:rFonts w:ascii="宋体" w:eastAsia="宋体" w:hAnsi="宋体" w:cs="宋体"/>
          <w:b/>
          <w:bCs/>
          <w:spacing w:val="1"/>
          <w:sz w:val="28"/>
          <w:szCs w:val="28"/>
        </w:rPr>
        <w:t>150℃)。</w:t>
      </w:r>
      <w:r>
        <w:rPr>
          <w:rFonts w:ascii="宋体" w:eastAsia="宋体" w:hAnsi="宋体" w:cs="宋体"/>
          <w:spacing w:val="78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28"/>
          <w:szCs w:val="28"/>
        </w:rPr>
        <w:t>垃圾焚烧锅炉总热效率≥78%。</w:t>
      </w:r>
    </w:p>
    <w:p>
      <w:pPr>
        <w:pStyle w:val="BodyText"/>
        <w:spacing w:line="252" w:lineRule="auto"/>
      </w:pPr>
    </w:p>
    <w:p>
      <w:pPr>
        <w:spacing w:before="92" w:line="176" w:lineRule="auto"/>
        <w:ind w:left="44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5)</w:t>
      </w:r>
      <w:r>
        <w:rPr>
          <w:rFonts w:ascii="宋体" w:eastAsia="宋体" w:hAnsi="宋体" w:cs="宋体"/>
          <w:spacing w:val="117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设计炉膛结构承压能力在500Pa~-200Pa;</w:t>
      </w:r>
      <w:r>
        <w:rPr>
          <w:rFonts w:ascii="宋体" w:eastAsia="宋体" w:hAnsi="宋体" w:cs="宋体"/>
          <w:spacing w:val="-5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运行时的炉膛负压控制在-50~-100Pa。</w:t>
      </w:r>
    </w:p>
    <w:p>
      <w:pPr>
        <w:spacing w:before="1" w:line="175" w:lineRule="auto"/>
        <w:ind w:left="1378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color w:val="758F9F"/>
          <w:spacing w:val="-8"/>
          <w:sz w:val="28"/>
          <w:szCs w:val="28"/>
        </w:rPr>
        <w:t>14</w:t>
      </w:r>
    </w:p>
    <w:p>
      <w:pPr>
        <w:spacing w:line="175" w:lineRule="auto"/>
        <w:rPr>
          <w:rFonts w:ascii="宋体" w:eastAsia="宋体" w:hAnsi="宋体" w:cs="宋体"/>
          <w:sz w:val="28"/>
          <w:szCs w:val="28"/>
        </w:rPr>
        <w:sectPr>
          <w:headerReference w:type="default" r:id="rId33"/>
          <w:pgSz w:w="16840" w:h="11910"/>
          <w:pgMar w:top="400" w:right="1289" w:bottom="0" w:left="1280" w:header="0" w:footer="0" w:gutter="0"/>
          <w:pgNumType w:start="16"/>
          <w:cols w:space="708"/>
        </w:sectPr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spacing w:line="1030" w:lineRule="exact"/>
      </w:pPr>
      <w:r>
        <w:rPr>
          <w:position w:val="-20"/>
        </w:rPr>
        <w:pict>
          <v:shape id="文本框 30" o:spid="_x0000_i1063" type="#_x0000_t202" style="width:706.05pt;height:51.5pt;mso-position-horizontal-relative:char;mso-position-vertical-relative:line" filled="t" fillcolor="#7492a0" stroked="f">
            <o:lock v:ext="edit" aspectratio="f"/>
            <v:textbox inset="0,0,0,0">
              <w:txbxContent>
                <w:p>
                  <w:pPr>
                    <w:spacing w:before="243" w:line="222" w:lineRule="auto"/>
                    <w:ind w:left="6069"/>
                    <w:rPr>
                      <w:rFonts w:ascii="黑体" w:eastAsia="黑体" w:hAnsi="黑体" w:cs="黑体"/>
                      <w:sz w:val="66"/>
                      <w:szCs w:val="66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-62"/>
                      <w:sz w:val="66"/>
                      <w:szCs w:val="66"/>
                    </w:rPr>
                    <w:t>目</w:t>
                  </w:r>
                  <w:r>
                    <w:rPr>
                      <w:rFonts w:ascii="黑体" w:eastAsia="黑体" w:hAnsi="黑体" w:cs="黑体"/>
                      <w:color w:val="FFFFFF"/>
                      <w:spacing w:val="4"/>
                      <w:sz w:val="66"/>
                      <w:szCs w:val="66"/>
                    </w:rPr>
                    <w:t xml:space="preserve">  </w:t>
                  </w:r>
                  <w:r>
                    <w:rPr>
                      <w:rFonts w:ascii="黑体" w:eastAsia="黑体" w:hAnsi="黑体" w:cs="黑体"/>
                      <w:b/>
                      <w:bCs/>
                      <w:color w:val="FFFFFF"/>
                      <w:spacing w:val="-62"/>
                      <w:sz w:val="66"/>
                      <w:szCs w:val="66"/>
                    </w:rPr>
                    <w:t>录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BodyText"/>
        <w:spacing w:line="468" w:lineRule="auto"/>
      </w:pPr>
    </w:p>
    <w:p>
      <w:pPr>
        <w:spacing w:before="156" w:line="220" w:lineRule="auto"/>
        <w:ind w:left="1276"/>
        <w:outlineLvl w:val="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2"/>
          <w:sz w:val="48"/>
          <w:szCs w:val="48"/>
        </w:rPr>
        <w:t>一、垃圾焚烧的基础</w:t>
      </w:r>
    </w:p>
    <w:p>
      <w:pPr>
        <w:spacing w:before="318" w:line="220" w:lineRule="auto"/>
        <w:ind w:left="1276"/>
        <w:outlineLvl w:val="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8"/>
          <w:sz w:val="48"/>
          <w:szCs w:val="48"/>
        </w:rPr>
        <w:t>二、垃圾焚烧常态化安全、可靠、环保运行</w:t>
      </w:r>
    </w:p>
    <w:p>
      <w:pPr>
        <w:pStyle w:val="BodyText"/>
        <w:spacing w:line="270" w:lineRule="auto"/>
      </w:pPr>
    </w:p>
    <w:p>
      <w:pPr>
        <w:spacing w:before="156" w:line="220" w:lineRule="auto"/>
        <w:ind w:left="1266"/>
        <w:outlineLvl w:val="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color w:val="FA0000"/>
          <w:spacing w:val="8"/>
          <w:sz w:val="48"/>
          <w:szCs w:val="48"/>
        </w:rPr>
        <w:t>三、垃圾焚烧锅炉(炉膛功能性特征)</w:t>
      </w:r>
    </w:p>
    <w:p>
      <w:pPr>
        <w:pStyle w:val="BodyText"/>
        <w:spacing w:line="409" w:lineRule="auto"/>
      </w:pPr>
    </w:p>
    <w:p>
      <w:pPr>
        <w:spacing w:before="156" w:line="220" w:lineRule="auto"/>
        <w:ind w:left="1276"/>
        <w:outlineLvl w:val="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3"/>
          <w:sz w:val="48"/>
          <w:szCs w:val="48"/>
        </w:rPr>
        <w:t>四、</w:t>
      </w:r>
      <w:r>
        <w:rPr>
          <w:rFonts w:ascii="黑体" w:eastAsia="黑体" w:hAnsi="黑体" w:cs="黑体"/>
          <w:spacing w:val="-114"/>
          <w:sz w:val="48"/>
          <w:szCs w:val="48"/>
        </w:rPr>
        <w:t xml:space="preserve"> </w:t>
      </w:r>
      <w:r>
        <w:rPr>
          <w:rFonts w:ascii="黑体" w:eastAsia="黑体" w:hAnsi="黑体" w:cs="黑体"/>
          <w:b/>
          <w:bCs/>
          <w:spacing w:val="3"/>
          <w:sz w:val="48"/>
          <w:szCs w:val="48"/>
        </w:rPr>
        <w:t>垃圾焚烧锅炉(压力等级)</w:t>
      </w:r>
    </w:p>
    <w:p>
      <w:pPr>
        <w:pStyle w:val="BodyText"/>
        <w:spacing w:line="269" w:lineRule="auto"/>
      </w:pPr>
    </w:p>
    <w:p>
      <w:pPr>
        <w:spacing w:before="157" w:line="930" w:lineRule="exact"/>
        <w:ind w:left="127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7"/>
          <w:position w:val="33"/>
          <w:sz w:val="48"/>
          <w:szCs w:val="48"/>
        </w:rPr>
        <w:t>五、生活垃圾焚烧过程的二噁英类工程控制措</w:t>
      </w:r>
      <w:r>
        <w:rPr>
          <w:rFonts w:ascii="黑体" w:eastAsia="黑体" w:hAnsi="黑体" w:cs="黑体"/>
          <w:b/>
          <w:bCs/>
          <w:spacing w:val="-8"/>
          <w:position w:val="33"/>
          <w:sz w:val="48"/>
          <w:szCs w:val="48"/>
        </w:rPr>
        <w:t>施研究</w:t>
      </w:r>
    </w:p>
    <w:p>
      <w:pPr>
        <w:spacing w:line="220" w:lineRule="auto"/>
        <w:ind w:left="1276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/>
          <w:b/>
          <w:bCs/>
          <w:spacing w:val="-9"/>
          <w:sz w:val="48"/>
          <w:szCs w:val="48"/>
        </w:rPr>
        <w:t>六、生活垃圾高效清洁焚烧基础</w:t>
      </w:r>
    </w:p>
    <w:p>
      <w:pPr>
        <w:pStyle w:val="BodyText"/>
        <w:spacing w:line="387" w:lineRule="auto"/>
      </w:pPr>
    </w:p>
    <w:p>
      <w:pPr>
        <w:spacing w:before="95" w:line="184" w:lineRule="auto"/>
        <w:ind w:left="13634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b/>
          <w:bCs/>
          <w:color w:val="1E78A6"/>
          <w:spacing w:val="-12"/>
          <w:sz w:val="29"/>
          <w:szCs w:val="29"/>
        </w:rPr>
        <w:t>15</w:t>
      </w:r>
    </w:p>
    <w:p>
      <w:pPr>
        <w:spacing w:line="184" w:lineRule="auto"/>
        <w:rPr>
          <w:rFonts w:ascii="宋体" w:eastAsia="宋体" w:hAnsi="宋体" w:cs="宋体"/>
          <w:sz w:val="29"/>
          <w:szCs w:val="29"/>
        </w:rPr>
        <w:sectPr>
          <w:headerReference w:type="default" r:id="rId34"/>
          <w:pgSz w:w="16840" w:h="11910"/>
          <w:pgMar w:top="400" w:right="1300" w:bottom="0" w:left="1419" w:header="0" w:footer="0" w:gutter="0"/>
          <w:pgNumType w:start="17"/>
          <w:cols w:space="708"/>
        </w:sectPr>
      </w:pPr>
    </w:p>
    <w:p>
      <w:pPr>
        <w:pStyle w:val="BodyText"/>
        <w:spacing w:line="241" w:lineRule="auto"/>
      </w:pPr>
      <w:r>
        <w:pict>
          <v:shape id="TextBox 22" o:spid="_x0000_s1064" type="#_x0000_t202" style="width:12.5pt;height:13.25pt;margin-top:317.12pt;margin-left:339.62pt;mso-position-horizontal-relative:page;mso-position-vertical-relative:page;mso-wrap-distance-left:0;mso-wrap-distance-right:0;mso-wrap-style:square;position:absolute;rotation:-90;v-text-anchor:top;z-index:251691008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83" w:line="161" w:lineRule="exact"/>
                    <w:ind w:left="20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  <w:spacing w:val="-1"/>
                      <w:sz w:val="21"/>
                      <w:szCs w:val="21"/>
                    </w:rPr>
                    <w:t>wm</w:t>
                  </w:r>
                </w:p>
              </w:txbxContent>
            </v:textbox>
          </v:shape>
        </w:pict>
      </w:r>
      <w:r>
        <w:pict>
          <v:shape id="IM 24" o:spid="_x0000_s1065" type="#_x0000_t75" style="width:842pt;height:595.5pt;margin-top:0;margin-left:0;mso-position-horizontal-relative:page;mso-position-vertical-relative:page;mso-wrap-distance-left:0;mso-wrap-distance-right:0;position:absolute;z-index:-251640832" o:allowincell="f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  <w:r>
        <w:pict>
          <v:shape id="文本框 31" o:spid="_x0000_s1066" type="#_x0000_t202" style="width:428.6pt;height:47.9pt;margin-top:181.2pt;margin-left:79.2pt;mso-position-horizontal-relative:page;mso-position-vertical-relative:page;position:absolute;z-index:251676672" o:allowincell="f" filled="f" stroked="f">
            <o:lock v:ext="edit" aspectratio="f"/>
            <v:textbox inset="0,0,0,0">
              <w:txbxContent>
                <w:p>
                  <w:pPr>
                    <w:spacing w:before="20" w:line="220" w:lineRule="auto"/>
                    <w:ind w:left="20"/>
                    <w:outlineLvl w:val="6"/>
                    <w:rPr>
                      <w:rFonts w:ascii="黑体" w:eastAsia="黑体" w:hAnsi="黑体" w:cs="黑体"/>
                      <w:sz w:val="30"/>
                      <w:szCs w:val="30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spacing w:val="14"/>
                      <w:sz w:val="30"/>
                      <w:szCs w:val="30"/>
                    </w:rPr>
                    <w:t>1、</w:t>
                  </w:r>
                  <w:r>
                    <w:rPr>
                      <w:rFonts w:ascii="黑体" w:eastAsia="黑体" w:hAnsi="黑体" w:cs="黑体"/>
                      <w:spacing w:val="-87"/>
                      <w:sz w:val="30"/>
                      <w:szCs w:val="30"/>
                    </w:rPr>
                    <w:t xml:space="preserve"> </w:t>
                  </w:r>
                  <w:r>
                    <w:rPr>
                      <w:rFonts w:ascii="黑体" w:eastAsia="黑体" w:hAnsi="黑体" w:cs="黑体"/>
                      <w:b/>
                      <w:bCs/>
                      <w:spacing w:val="14"/>
                      <w:sz w:val="30"/>
                      <w:szCs w:val="30"/>
                    </w:rPr>
                    <w:t>层燃型焚烧锅炉的炉膛区域划分与炉膛主</w:t>
                  </w:r>
                  <w:r>
                    <w:rPr>
                      <w:rFonts w:ascii="黑体" w:eastAsia="黑体" w:hAnsi="黑体" w:cs="黑体"/>
                      <w:b/>
                      <w:bCs/>
                      <w:spacing w:val="13"/>
                      <w:sz w:val="30"/>
                      <w:szCs w:val="30"/>
                    </w:rPr>
                    <w:t>控温度</w:t>
                  </w:r>
                </w:p>
                <w:p>
                  <w:pPr>
                    <w:spacing w:before="206" w:line="217" w:lineRule="auto"/>
                    <w:ind w:left="65"/>
                    <w:rPr>
                      <w:rFonts w:ascii="宋体" w:eastAsia="宋体" w:hAnsi="宋体" w:cs="宋体"/>
                      <w:sz w:val="30"/>
                      <w:szCs w:val="30"/>
                    </w:rPr>
                  </w:pPr>
                  <w:r>
                    <w:rPr>
                      <w:rFonts w:ascii="宋体" w:eastAsia="宋体" w:hAnsi="宋体" w:cs="宋体"/>
                      <w:spacing w:val="14"/>
                      <w:sz w:val="30"/>
                      <w:szCs w:val="30"/>
                    </w:rPr>
                    <w:t>①炉膛燃烧区②二次风紊流区③高温烟气辐射区④炉膛出口区</w:t>
                  </w:r>
                </w:p>
              </w:txbxContent>
            </v:textbox>
          </v:shape>
        </w:pict>
      </w:r>
      <w:r>
        <w:pict>
          <v:shape id="文本框 32" o:spid="_x0000_s1067" type="#_x0000_t202" style="width:118.8pt;height:13.05pt;margin-top:243.3pt;margin-left:344.45pt;mso-position-horizontal-relative:page;mso-position-vertical-relative:page;position:absolute;z-index:251678720" o:allowincell="f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pacing w:val="-7"/>
                      <w:position w:val="-3"/>
                      <w:sz w:val="16"/>
                      <w:szCs w:val="16"/>
                    </w:rPr>
                    <w:t>20</w:t>
                  </w:r>
                  <w:r>
                    <w:rPr>
                      <w:rFonts w:ascii="宋体" w:eastAsia="宋体" w:hAnsi="宋体" w:cs="宋体"/>
                      <w:spacing w:val="4"/>
                      <w:position w:val="-3"/>
                      <w:sz w:val="16"/>
                      <w:szCs w:val="16"/>
                    </w:rPr>
                    <w:t xml:space="preserve">                </w:t>
                  </w:r>
                  <w:r>
                    <w:rPr>
                      <w:rFonts w:ascii="宋体" w:eastAsia="宋体" w:hAnsi="宋体" w:cs="宋体"/>
                      <w:spacing w:val="-7"/>
                      <w:sz w:val="16"/>
                      <w:szCs w:val="16"/>
                    </w:rPr>
                    <w:t>炉膛出口区4</w:t>
                  </w:r>
                </w:p>
              </w:txbxContent>
            </v:textbox>
          </v:shape>
        </w:pict>
      </w:r>
      <w:r>
        <w:pict>
          <v:shape id="文本框 33" o:spid="_x0000_s1068" type="#_x0000_t202" style="width:161.6pt;height:15.25pt;margin-top:258.05pt;margin-left:78.95pt;mso-position-horizontal-relative:page;mso-position-vertical-relative:page;position:absolute;z-index:251677696" o:allowincell="f" filled="f" stroked="f">
            <o:lock v:ext="edit" aspectratio="f"/>
            <v:textbox inset="0,0,0,0">
              <w:txbxContent>
                <w:p>
                  <w:pPr>
                    <w:spacing w:before="19" w:line="193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pacing w:val="-25"/>
                      <w:position w:val="1"/>
                      <w:sz w:val="21"/>
                      <w:szCs w:val="21"/>
                    </w:rPr>
                    <w:t>1500</w:t>
                  </w:r>
                  <w:r>
                    <w:rPr>
                      <w:rFonts w:ascii="宋体" w:eastAsia="宋体" w:hAnsi="宋体" w:cs="宋体"/>
                      <w:spacing w:val="1"/>
                      <w:position w:val="1"/>
                      <w:sz w:val="21"/>
                      <w:szCs w:val="21"/>
                    </w:rPr>
                    <w:t xml:space="preserve">                          </w:t>
                  </w:r>
                  <w:r>
                    <w:rPr>
                      <w:rFonts w:ascii="宋体" w:eastAsia="宋体" w:hAnsi="宋体" w:cs="宋体"/>
                      <w:spacing w:val="-24"/>
                      <w:position w:val="-5"/>
                      <w:sz w:val="16"/>
                      <w:szCs w:val="16"/>
                    </w:rPr>
                    <w:t>1</w:t>
                  </w:r>
                  <w:r>
                    <w:rPr>
                      <w:rFonts w:ascii="宋体" w:eastAsia="宋体" w:hAnsi="宋体" w:cs="宋体"/>
                      <w:spacing w:val="-20"/>
                      <w:position w:val="-5"/>
                      <w:sz w:val="16"/>
                      <w:szCs w:val="16"/>
                    </w:rPr>
                    <w:t>0</w:t>
                  </w:r>
                </w:p>
              </w:txbxContent>
            </v:textbox>
          </v:shape>
        </w:pict>
      </w:r>
      <w:r>
        <w:pict>
          <v:shape id="文本框 34" o:spid="_x0000_s1069" type="#_x0000_t202" style="width:9.1pt;height:10pt;margin-top:281.85pt;margin-left:344.45pt;mso-position-horizontal-relative:page;mso-position-vertical-relative:page;position:absolute;z-index:251693056" o:allowincell="f" filled="f" stroked="f">
            <o:lock v:ext="edit" aspectratio="f"/>
            <v:textbox inset="0,0,0,0">
              <w:txbxContent>
                <w:p>
                  <w:pPr>
                    <w:spacing w:before="19" w:line="184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pacing w:val="-5"/>
                      <w:sz w:val="16"/>
                      <w:szCs w:val="16"/>
                    </w:rPr>
                    <w:t>15</w:t>
                  </w:r>
                </w:p>
              </w:txbxContent>
            </v:textbox>
          </v:shape>
        </w:pict>
      </w:r>
      <w:r>
        <w:pict>
          <v:shape id="文本框 35" o:spid="_x0000_s1070" type="#_x0000_t202" style="width:44pt;height:11.55pt;margin-top:301.3pt;margin-left:409.5pt;mso-position-horizontal-relative:page;mso-position-vertical-relative:page;position:absolute;z-index:251683840" o:allowincell="f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pacing w:val="-7"/>
                      <w:sz w:val="16"/>
                      <w:szCs w:val="16"/>
                    </w:rPr>
                    <w:t>高温烟气区3</w:t>
                  </w:r>
                </w:p>
              </w:txbxContent>
            </v:textbox>
          </v:shape>
        </w:pict>
      </w:r>
      <w:r>
        <w:pict>
          <v:shape id="文本框 36" o:spid="_x0000_s1071" type="#_x0000_t202" style="width:9.1pt;height:10pt;margin-top:317.35pt;margin-left:347.5pt;mso-position-horizontal-relative:page;mso-position-vertical-relative:page;position:absolute;z-index:251694080" o:allowincell="f" filled="f" stroked="f">
            <o:lock v:ext="edit" aspectratio="f"/>
            <v:textbox inset="0,0,0,0">
              <w:txbxContent>
                <w:p>
                  <w:pPr>
                    <w:spacing w:before="19" w:line="184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pacing w:val="-5"/>
                      <w:sz w:val="16"/>
                      <w:szCs w:val="16"/>
                    </w:rPr>
                    <w:t>10</w:t>
                  </w:r>
                </w:p>
              </w:txbxContent>
            </v:textbox>
          </v:shape>
        </w:pict>
      </w:r>
      <w:r>
        <w:pict>
          <v:shape id="文本框 37" o:spid="_x0000_s1072" type="#_x0000_t202" style="width:19.4pt;height:14.5pt;margin-top:326.4pt;margin-left:230.5pt;mso-position-horizontal-relative:page;mso-position-vertical-relative:page;position:absolute;z-index:251686912" o:allowincell="f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jc w:val="right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  <w:spacing w:val="-7"/>
                      <w:w w:val="90"/>
                      <w:sz w:val="21"/>
                      <w:szCs w:val="21"/>
                    </w:rPr>
                    <w:t>m</w:t>
                  </w:r>
                  <w:r>
                    <w:rPr>
                      <w:rFonts w:ascii="宋体" w:eastAsia="宋体" w:hAnsi="宋体" w:cs="宋体"/>
                      <w:spacing w:val="-28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pacing w:val="-7"/>
                      <w:w w:val="90"/>
                      <w:sz w:val="21"/>
                      <w:szCs w:val="21"/>
                    </w:rPr>
                    <w:t>粉</w:t>
                  </w:r>
                </w:p>
              </w:txbxContent>
            </v:textbox>
          </v:shape>
        </w:pict>
      </w:r>
      <w:r>
        <w:pict>
          <v:shape id="文本框 38" o:spid="_x0000_s1073" type="#_x0000_t202" style="width:50.5pt;height:11.5pt;margin-top:333.25pt;margin-left:409pt;mso-position-horizontal-relative:page;mso-position-vertical-relative:page;position:absolute;z-index:251681792" o:allowincell="f" filled="f" stroked="f">
            <o:lock v:ext="edit" aspectratio="f"/>
            <v:textbox inset="0,0,0,0">
              <w:txbxContent>
                <w:p>
                  <w:pPr>
                    <w:spacing w:before="19" w:line="219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pacing w:val="-10"/>
                      <w:sz w:val="16"/>
                      <w:szCs w:val="16"/>
                    </w:rPr>
                    <w:t>二次风紊流区2</w:t>
                  </w:r>
                </w:p>
              </w:txbxContent>
            </v:textbox>
          </v:shape>
        </w:pict>
      </w:r>
      <w:r>
        <w:pict>
          <v:shape id="文本框 39" o:spid="_x0000_s1074" type="#_x0000_t202" style="width:12.4pt;height:51.45pt;margin-top:351.4pt;margin-left:349.95pt;mso-position-horizontal-relative:page;mso-position-vertical-relative:page;position:absolute;z-index:251680768" o:allowincell="f" filled="f" stroked="f">
            <o:lock v:ext="edit" aspectratio="f"/>
            <v:textbox inset="0,0,0,0">
              <w:txbxContent>
                <w:p>
                  <w:pPr>
                    <w:spacing w:before="19" w:line="215" w:lineRule="auto"/>
                    <w:ind w:left="30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/>
                      <w:spacing w:val="-7"/>
                      <w:sz w:val="21"/>
                      <w:szCs w:val="21"/>
                    </w:rPr>
                    <w:t>5|</w:t>
                  </w:r>
                </w:p>
                <w:p>
                  <w:pPr>
                    <w:pStyle w:val="BodyText"/>
                    <w:spacing w:line="347" w:lineRule="auto"/>
                  </w:pPr>
                </w:p>
                <w:p>
                  <w:pPr>
                    <w:spacing w:before="98" w:line="183" w:lineRule="auto"/>
                    <w:ind w:left="20"/>
                    <w:rPr>
                      <w:rFonts w:ascii="宋体" w:eastAsia="宋体" w:hAnsi="宋体" w:cs="宋体"/>
                      <w:sz w:val="30"/>
                      <w:szCs w:val="30"/>
                    </w:rPr>
                  </w:pPr>
                  <w:r>
                    <w:rPr>
                      <w:rFonts w:ascii="宋体" w:eastAsia="宋体" w:hAnsi="宋体" w:cs="宋体"/>
                      <w:sz w:val="30"/>
                      <w:szCs w:val="30"/>
                    </w:rPr>
                    <w:t>0</w:t>
                  </w:r>
                </w:p>
              </w:txbxContent>
            </v:textbox>
          </v:shape>
        </w:pict>
      </w:r>
      <w:r>
        <w:pict>
          <v:shape id="文本框 40" o:spid="_x0000_s1075" type="#_x0000_t202" style="width:43.8pt;height:11.5pt;margin-top:370.25pt;margin-left:411.45pt;mso-position-horizontal-relative:page;mso-position-vertical-relative:page;position:absolute;z-index:251684864" o:allowincell="f" filled="f" stroked="f">
            <o:lock v:ext="edit" aspectratio="f"/>
            <v:textbox inset="0,0,0,0">
              <w:txbxContent>
                <w:p>
                  <w:pPr>
                    <w:spacing w:before="19" w:line="219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pacing w:val="-7"/>
                      <w:sz w:val="16"/>
                      <w:szCs w:val="16"/>
                    </w:rPr>
                    <w:t>炉膛燃烧区1</w:t>
                  </w:r>
                </w:p>
              </w:txbxContent>
            </v:textbox>
          </v:shape>
        </w:pict>
      </w:r>
      <w:r>
        <w:pict>
          <v:shape id="文本框 41" o:spid="_x0000_s1076" type="#_x0000_t202" style="width:13.6pt;height:9.95pt;margin-top:401.85pt;margin-left:78.95pt;mso-position-horizontal-relative:page;mso-position-vertical-relative:page;position:absolute;z-index:251689984" o:allowincell="f" filled="f" stroked="f">
            <o:lock v:ext="edit" aspectratio="f"/>
            <v:textbox inset="0,0,0,0">
              <w:txbxContent>
                <w:p>
                  <w:pPr>
                    <w:spacing w:before="20" w:line="183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sz w:val="16"/>
                      <w:szCs w:val="16"/>
                    </w:rPr>
                    <w:t>200</w:t>
                  </w:r>
                </w:p>
              </w:txbxContent>
            </v:textbox>
          </v:shape>
        </w:pict>
      </w:r>
      <w:r>
        <w:pict>
          <v:shape id="文本框 42" o:spid="_x0000_s1077" type="#_x0000_t202" style="width:22.85pt;height:11.55pt;margin-top:414.3pt;margin-left:366.95pt;mso-position-horizontal-relative:page;mso-position-vertical-relative:page;position:absolute;z-index:251687936" o:allowincell="f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ind w:right="1"/>
                    <w:jc w:val="right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pacing w:val="-17"/>
                      <w:w w:val="99"/>
                      <w:sz w:val="16"/>
                      <w:szCs w:val="16"/>
                    </w:rPr>
                    <w:t>一</w:t>
                  </w:r>
                  <w:r>
                    <w:rPr>
                      <w:rFonts w:ascii="宋体" w:eastAsia="宋体" w:hAnsi="宋体" w:cs="宋体"/>
                      <w:spacing w:val="-16"/>
                      <w:w w:val="99"/>
                      <w:sz w:val="16"/>
                      <w:szCs w:val="16"/>
                    </w:rPr>
                    <w:t>次</w:t>
                  </w:r>
                  <w:r>
                    <w:rPr>
                      <w:rFonts w:ascii="宋体" w:eastAsia="宋体" w:hAnsi="宋体" w:cs="宋体"/>
                      <w:spacing w:val="-9"/>
                      <w:w w:val="99"/>
                      <w:sz w:val="16"/>
                      <w:szCs w:val="16"/>
                    </w:rPr>
                    <w:t>风</w:t>
                  </w:r>
                </w:p>
              </w:txbxContent>
            </v:textbox>
          </v:shape>
        </w:pict>
      </w:r>
      <w:r>
        <w:pict>
          <v:shape id="文本框 43" o:spid="_x0000_s1078" type="#_x0000_t202" style="width:9.8pt;height:9.9pt;margin-top:422.4pt;margin-left:344.45pt;mso-position-horizontal-relative:page;mso-position-vertical-relative:page;position:absolute;z-index:251692032" o:allowincell="f" filled="f" stroked="f">
            <o:lock v:ext="edit" aspectratio="f"/>
            <v:textbox inset="0,0,0,0">
              <w:txbxContent>
                <w:p>
                  <w:pPr>
                    <w:spacing w:before="19" w:line="182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sz w:val="16"/>
                      <w:szCs w:val="16"/>
                    </w:rPr>
                    <w:t>-5</w:t>
                  </w:r>
                </w:p>
              </w:txbxContent>
            </v:textbox>
          </v:shape>
        </w:pict>
      </w:r>
      <w:r>
        <w:pict>
          <v:shape id="文本框 44" o:spid="_x0000_s1079" type="#_x0000_t202" style="width:37.65pt;height:24.7pt;margin-top:426.4pt;margin-left:416pt;mso-position-horizontal-relative:page;mso-position-vertical-relative:page;position:absolute;z-index:251679744" o:allowincell="f" filled="f" stroked="f">
            <o:lock v:ext="edit" aspectratio="f"/>
            <v:textbox inset="0,0,0,0">
              <w:txbxContent>
                <w:p>
                  <w:pPr>
                    <w:spacing w:before="19" w:line="184" w:lineRule="auto"/>
                    <w:jc w:val="right"/>
                    <w:rPr>
                      <w:rFonts w:ascii="宋体" w:eastAsia="宋体" w:hAnsi="宋体" w:cs="宋体"/>
                      <w:sz w:val="30"/>
                      <w:szCs w:val="30"/>
                    </w:rPr>
                  </w:pPr>
                  <w:r>
                    <w:rPr>
                      <w:rFonts w:ascii="宋体" w:eastAsia="宋体" w:hAnsi="宋体" w:cs="宋体"/>
                      <w:spacing w:val="-36"/>
                      <w:sz w:val="30"/>
                      <w:szCs w:val="30"/>
                    </w:rPr>
                    <w:t>1</w:t>
                  </w:r>
                  <w:r>
                    <w:rPr>
                      <w:rFonts w:ascii="宋体" w:eastAsia="宋体" w:hAnsi="宋体" w:cs="宋体"/>
                      <w:spacing w:val="-35"/>
                      <w:sz w:val="30"/>
                      <w:szCs w:val="30"/>
                    </w:rPr>
                    <w:t>0105</w:t>
                  </w:r>
                  <w:r>
                    <w:rPr>
                      <w:rFonts w:ascii="宋体" w:eastAsia="宋体" w:hAnsi="宋体" w:cs="宋体"/>
                      <w:spacing w:val="-16"/>
                      <w:sz w:val="30"/>
                      <w:szCs w:val="30"/>
                    </w:rPr>
                    <w:t>6</w:t>
                  </w:r>
                </w:p>
                <w:p>
                  <w:pPr>
                    <w:spacing w:before="8" w:line="192" w:lineRule="auto"/>
                    <w:ind w:left="380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=/m</w:t>
                  </w:r>
                </w:p>
              </w:txbxContent>
            </v:textbox>
          </v:shape>
        </w:pict>
      </w:r>
      <w:r>
        <w:pict>
          <v:shape id="文本框 45" o:spid="_x0000_s1080" type="#_x0000_t202" style="width:5.65pt;height:9.95pt;margin-top:432.35pt;margin-left:356pt;mso-position-horizontal-relative:page;mso-position-vertical-relative:page;position:absolute;z-index:251695104" o:allowincell="f" filled="f" stroked="f">
            <o:lock v:ext="edit" aspectratio="f"/>
            <v:textbox inset="0,0,0,0">
              <w:txbxContent>
                <w:p>
                  <w:pPr>
                    <w:spacing w:before="20" w:line="183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0</w:t>
                  </w:r>
                </w:p>
              </w:txbxContent>
            </v:textbox>
          </v:shape>
        </w:pict>
      </w:r>
      <w:r>
        <w:pict>
          <v:shape id="文本框 46" o:spid="_x0000_s1081" type="#_x0000_t202" style="width:5.55pt;height:9.35pt;margin-top:434.4pt;margin-left:389.5pt;mso-position-horizontal-relative:page;mso-position-vertical-relative:page;position:absolute;z-index:251696128" o:allowincell="f" filled="f" stroked="f">
            <o:lock v:ext="edit" aspectratio="f"/>
            <v:textbox inset="0,0,0,0">
              <w:txbxContent>
                <w:p>
                  <w:pPr>
                    <w:spacing w:before="19" w:line="169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sz w:val="16"/>
                      <w:szCs w:val="16"/>
                    </w:rPr>
                    <w:t>5</w:t>
                  </w:r>
                </w:p>
              </w:txbxContent>
            </v:textbox>
          </v:shape>
        </w:pict>
      </w:r>
      <w:r>
        <w:pict>
          <v:shape id="文本框 47" o:spid="_x0000_s1082" type="#_x0000_t202" style="width:32.2pt;height:11.65pt;margin-top:439.65pt;margin-left:274.6pt;mso-position-horizontal-relative:page;mso-position-vertical-relative:page;position:absolute;z-index:251685888" o:allowincell="f" filled="f" stroked="f">
            <o:lock v:ext="edit" aspectratio="f"/>
            <v:textbox inset="0,0,0,0">
              <w:txbxContent>
                <w:p>
                  <w:pPr>
                    <w:spacing w:before="19" w:line="222" w:lineRule="auto"/>
                    <w:ind w:left="20"/>
                    <w:rPr>
                      <w:rFonts w:ascii="黑体" w:eastAsia="黑体" w:hAnsi="黑体" w:cs="黑体"/>
                      <w:sz w:val="16"/>
                      <w:szCs w:val="16"/>
                    </w:rPr>
                  </w:pPr>
                  <w:r>
                    <w:rPr>
                      <w:rFonts w:ascii="黑体" w:eastAsia="黑体" w:hAnsi="黑体" w:cs="黑体"/>
                      <w:b/>
                      <w:bCs/>
                      <w:spacing w:val="-9"/>
                      <w:sz w:val="16"/>
                      <w:szCs w:val="16"/>
                    </w:rPr>
                    <w:t>资进分车</w:t>
                  </w:r>
                </w:p>
              </w:txbxContent>
            </v:textbox>
          </v:shape>
        </w:pict>
      </w:r>
      <w:r>
        <w:pict>
          <v:shape id="文本框 48" o:spid="_x0000_s1083" type="#_x0000_t202" style="width:45.6pt;height:11.55pt;margin-top:439.7pt;margin-left:101.1pt;mso-position-horizontal-relative:page;mso-position-vertical-relative:page;position:absolute;z-index:251682816" o:allowincell="f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ind w:left="20"/>
                    <w:rPr>
                      <w:rFonts w:ascii="宋体" w:eastAsia="宋体" w:hAnsi="宋体" w:cs="宋体"/>
                      <w:sz w:val="16"/>
                      <w:szCs w:val="16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11"/>
                      <w:sz w:val="16"/>
                      <w:szCs w:val="16"/>
                    </w:rPr>
                    <w:t>护内AR</w:t>
                  </w:r>
                  <w:r>
                    <w:rPr>
                      <w:rFonts w:ascii="宋体" w:eastAsia="宋体" w:hAnsi="宋体" w:cs="宋体"/>
                      <w:spacing w:val="5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b/>
                      <w:bCs/>
                      <w:spacing w:val="-11"/>
                      <w:sz w:val="16"/>
                      <w:szCs w:val="16"/>
                    </w:rPr>
                    <w:t>分车</w:t>
                  </w:r>
                </w:p>
              </w:txbxContent>
            </v:textbox>
          </v:shape>
        </w:pict>
      </w:r>
      <w:r>
        <w:pict>
          <v:shape id="文本框 49" o:spid="_x0000_s1084" type="#_x0000_t202" style="width:14.35pt;height:9.4pt;margin-top:441.75pt;margin-left:368.5pt;mso-position-horizontal-relative:page;mso-position-vertical-relative:page;position:absolute;z-index:251688960" o:allowincell="f" filled="f" stroked="f">
            <o:lock v:ext="edit" aspectratio="f"/>
            <v:textbox inset="0,0,0,0">
              <w:txbxContent>
                <w:p>
                  <w:pPr>
                    <w:spacing w:before="19" w:line="192" w:lineRule="auto"/>
                    <w:ind w:left="20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x/m</w:t>
                  </w:r>
                </w:p>
              </w:txbxContent>
            </v:textbox>
          </v:shape>
        </w:pict>
      </w: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1050" w:lineRule="exact"/>
        <w:ind w:firstLine="1280"/>
      </w:pPr>
      <w:r>
        <w:rPr>
          <w:position w:val="-20"/>
        </w:rPr>
        <w:pict>
          <v:group id="组合 50" o:spid="_x0000_i1085" style="width:716.05pt;height:52.5pt;mso-position-horizontal-relative:char;mso-position-vertical-relative:line" coordorigin="0,0" coordsize="14320,1050">
            <v:shape id="图片 51" o:spid="_x0000_s1086" type="#_x0000_t75" style="width:14320;height:1050;position:absolute" filled="f" stroked="f">
              <v:imagedata r:id="rId36" o:title=""/>
              <v:path o:extrusionok="f"/>
              <o:lock v:ext="edit" aspectratio="t"/>
            </v:shape>
            <v:shape id="文本框 52" o:spid="_x0000_s1087" type="#_x0000_t202" style="width:14360;height:1090;left:-20;position:absolute;top:-20" filled="f" stroked="f">
              <o:lock v:ext="edit" aspectratio="f"/>
              <v:textbox inset="0,0,0,0">
                <w:txbxContent>
                  <w:p>
                    <w:pPr>
                      <w:spacing w:line="263" w:lineRule="auto"/>
                    </w:pPr>
                  </w:p>
                  <w:p>
                    <w:pPr>
                      <w:spacing w:before="163" w:line="220" w:lineRule="auto"/>
                      <w:ind w:left="177"/>
                      <w:outlineLvl w:val="6"/>
                      <w:rPr>
                        <w:rFonts w:ascii="黑体" w:eastAsia="黑体" w:hAnsi="黑体" w:cs="黑体"/>
                        <w:sz w:val="50"/>
                        <w:szCs w:val="50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color w:val="FFFFFF"/>
                        <w:spacing w:val="37"/>
                        <w:sz w:val="50"/>
                        <w:szCs w:val="50"/>
                      </w:rPr>
                      <w:t>三</w:t>
                    </w:r>
                    <w:r>
                      <w:rPr>
                        <w:rFonts w:ascii="黑体" w:eastAsia="黑体" w:hAnsi="黑体" w:cs="黑体"/>
                        <w:color w:val="FFFFFF"/>
                        <w:spacing w:val="-117"/>
                        <w:sz w:val="50"/>
                        <w:szCs w:val="50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color w:val="FFFFFF"/>
                        <w:spacing w:val="37"/>
                        <w:sz w:val="50"/>
                        <w:szCs w:val="50"/>
                      </w:rPr>
                      <w:t>、垃圾焚烧锅炉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color w:val="FEFE00"/>
                        <w:spacing w:val="-33"/>
                        <w:w w:val="89"/>
                        <w:sz w:val="50"/>
                        <w:szCs w:val="50"/>
                      </w:rPr>
                      <w:t>—-炉膛的功能性区域特征与初级减排控制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447" w:lineRule="auto"/>
      </w:pPr>
    </w:p>
    <w:p>
      <w:pPr>
        <w:pStyle w:val="BodyText"/>
        <w:spacing w:line="6385" w:lineRule="exact"/>
        <w:ind w:firstLine="10770"/>
      </w:pPr>
      <w:r>
        <w:rPr>
          <w:position w:val="-127"/>
        </w:rPr>
        <w:pict>
          <v:group id="组合 53" o:spid="_x0000_i1088" style="width:233pt;height:319.3pt;mso-position-horizontal-relative:char;mso-position-vertical-relative:line" coordorigin="0,0" coordsize="4660,6385">
            <v:rect id="矩形 54" o:spid="_x0000_s1089" style="width:4660;height:5810;position:absolute" filled="t" fillcolor="#edddea" stroked="f"/>
            <v:shape id="文本框 55" o:spid="_x0000_s1090" type="#_x0000_t202" style="width:4700;height:6425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325" w:line="221" w:lineRule="auto"/>
                      <w:ind w:left="1154"/>
                      <w:rPr>
                        <w:rFonts w:ascii="黑体" w:eastAsia="黑体" w:hAnsi="黑体" w:cs="黑体"/>
                        <w:sz w:val="30"/>
                        <w:szCs w:val="30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5"/>
                        <w:sz w:val="30"/>
                        <w:szCs w:val="30"/>
                      </w:rPr>
                      <w:t>我国当前环保规定</w:t>
                    </w:r>
                  </w:p>
                  <w:p>
                    <w:pPr>
                      <w:spacing w:before="85" w:line="260" w:lineRule="auto"/>
                      <w:ind w:left="174" w:right="334"/>
                      <w:jc w:val="both"/>
                      <w:rPr>
                        <w:rFonts w:ascii="黑体" w:eastAsia="黑体" w:hAnsi="黑体" w:cs="黑体"/>
                        <w:sz w:val="30"/>
                        <w:szCs w:val="30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8"/>
                        <w:sz w:val="30"/>
                        <w:szCs w:val="30"/>
                      </w:rPr>
                      <w:t>在二次空气喷入点所在断面、炉</w:t>
                    </w:r>
                    <w:r>
                      <w:rPr>
                        <w:rFonts w:ascii="黑体" w:eastAsia="黑体" w:hAnsi="黑体" w:cs="黑体"/>
                        <w:spacing w:val="4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-8"/>
                        <w:sz w:val="30"/>
                        <w:szCs w:val="30"/>
                      </w:rPr>
                      <w:t>膛中部断面和炉膛上部断面至少</w:t>
                    </w:r>
                    <w:r>
                      <w:rPr>
                        <w:rFonts w:ascii="黑体" w:eastAsia="黑体" w:hAnsi="黑体" w:cs="黑体"/>
                        <w:spacing w:val="5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-4"/>
                        <w:sz w:val="30"/>
                        <w:szCs w:val="30"/>
                      </w:rPr>
                      <w:t>选择两个断面分别布置监测点，</w:t>
                    </w:r>
                    <w:r>
                      <w:rPr>
                        <w:rFonts w:ascii="黑体" w:eastAsia="黑体" w:hAnsi="黑体" w:cs="黑体"/>
                        <w:spacing w:val="2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-5"/>
                        <w:sz w:val="30"/>
                        <w:szCs w:val="30"/>
                      </w:rPr>
                      <w:t>实行热电偶实时在线测量</w:t>
                    </w:r>
                  </w:p>
                  <w:p>
                    <w:pPr>
                      <w:spacing w:line="306" w:lineRule="auto"/>
                    </w:pPr>
                  </w:p>
                  <w:p>
                    <w:pPr>
                      <w:spacing w:before="97" w:line="221" w:lineRule="auto"/>
                      <w:ind w:left="1004"/>
                      <w:rPr>
                        <w:rFonts w:ascii="黑体" w:eastAsia="黑体" w:hAnsi="黑体" w:cs="黑体"/>
                        <w:sz w:val="30"/>
                        <w:szCs w:val="30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-6"/>
                        <w:sz w:val="30"/>
                        <w:szCs w:val="30"/>
                      </w:rPr>
                      <w:t>欧盟委员会指导意见</w:t>
                    </w:r>
                  </w:p>
                  <w:p>
                    <w:pPr>
                      <w:spacing w:before="49" w:line="296" w:lineRule="auto"/>
                      <w:ind w:left="174" w:right="362"/>
                      <w:jc w:val="both"/>
                      <w:rPr>
                        <w:rFonts w:ascii="黑体" w:eastAsia="黑体" w:hAnsi="黑体" w:cs="黑体"/>
                        <w:sz w:val="30"/>
                        <w:szCs w:val="30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14"/>
                        <w:sz w:val="30"/>
                        <w:szCs w:val="30"/>
                      </w:rPr>
                      <w:t>运行经验表明较低的炉膛温度</w:t>
                    </w:r>
                    <w:r>
                      <w:rPr>
                        <w:rFonts w:ascii="黑体" w:eastAsia="黑体" w:hAnsi="黑体" w:cs="黑体"/>
                        <w:spacing w:val="11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17"/>
                        <w:sz w:val="30"/>
                        <w:szCs w:val="30"/>
                      </w:rPr>
                      <w:t>较短的停留时间和较低的烟气</w:t>
                    </w:r>
                    <w:r>
                      <w:rPr>
                        <w:rFonts w:ascii="黑体" w:eastAsia="黑体" w:hAnsi="黑体" w:cs="黑体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15"/>
                        <w:sz w:val="30"/>
                        <w:szCs w:val="30"/>
                      </w:rPr>
                      <w:t>含氧量在一定情况仍然能够实</w:t>
                    </w:r>
                    <w:r>
                      <w:rPr>
                        <w:rFonts w:ascii="黑体" w:eastAsia="黑体" w:hAnsi="黑体" w:cs="黑体"/>
                        <w:spacing w:val="4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spacing w:val="14"/>
                        <w:sz w:val="30"/>
                        <w:szCs w:val="30"/>
                      </w:rPr>
                      <w:t>现完全燃烧，并全面改善环境</w:t>
                    </w:r>
                  </w:p>
                  <w:p>
                    <w:pPr>
                      <w:spacing w:line="222" w:lineRule="auto"/>
                      <w:ind w:left="174"/>
                      <w:rPr>
                        <w:rFonts w:ascii="黑体" w:eastAsia="黑体" w:hAnsi="黑体" w:cs="黑体"/>
                        <w:sz w:val="30"/>
                        <w:szCs w:val="30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spacing w:val="16"/>
                        <w:sz w:val="30"/>
                        <w:szCs w:val="30"/>
                      </w:rPr>
                      <w:t>质量</w:t>
                    </w:r>
                  </w:p>
                  <w:p>
                    <w:pPr>
                      <w:spacing w:line="268" w:lineRule="auto"/>
                    </w:pPr>
                  </w:p>
                  <w:p>
                    <w:pPr>
                      <w:spacing w:line="268" w:lineRule="auto"/>
                    </w:pPr>
                  </w:p>
                  <w:p>
                    <w:pPr>
                      <w:spacing w:before="98" w:line="184" w:lineRule="auto"/>
                      <w:ind w:left="4304"/>
                      <w:rPr>
                        <w:rFonts w:ascii="宋体" w:eastAsia="宋体" w:hAnsi="宋体" w:cs="宋体"/>
                        <w:sz w:val="30"/>
                        <w:szCs w:val="30"/>
                      </w:rPr>
                    </w:pPr>
                    <w:r>
                      <w:rPr>
                        <w:rFonts w:ascii="宋体" w:eastAsia="宋体" w:hAnsi="宋体" w:cs="宋体"/>
                        <w:b/>
                        <w:bCs/>
                        <w:color w:val="1E78A6"/>
                        <w:spacing w:val="-12"/>
                        <w:sz w:val="30"/>
                        <w:szCs w:val="30"/>
                      </w:rPr>
                      <w:t>16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6385" w:lineRule="exact"/>
        <w:sectPr>
          <w:headerReference w:type="default" r:id="rId37"/>
          <w:pgSz w:w="16840" w:h="11910"/>
          <w:pgMar w:top="400" w:right="0" w:bottom="0" w:left="0" w:header="0" w:footer="0" w:gutter="0"/>
          <w:pgNumType w:start="18"/>
          <w:cols w:space="708"/>
        </w:sectPr>
      </w:pPr>
    </w:p>
    <w:p>
      <w:pPr>
        <w:pStyle w:val="BodyText"/>
        <w:spacing w:line="263" w:lineRule="auto"/>
      </w:pPr>
    </w:p>
    <w:p>
      <w:pPr>
        <w:pStyle w:val="BodyText"/>
        <w:spacing w:line="263" w:lineRule="auto"/>
      </w:pPr>
    </w:p>
    <w:p>
      <w:pPr>
        <w:pStyle w:val="BodyText"/>
        <w:spacing w:line="263" w:lineRule="auto"/>
      </w:pPr>
    </w:p>
    <w:p>
      <w:pPr>
        <w:pStyle w:val="BodyText"/>
        <w:spacing w:line="263" w:lineRule="auto"/>
      </w:pPr>
    </w:p>
    <w:p>
      <w:pPr>
        <w:pStyle w:val="BodyText"/>
        <w:spacing w:line="264" w:lineRule="auto"/>
      </w:pPr>
    </w:p>
    <w:p>
      <w:pPr>
        <w:pStyle w:val="BodyText"/>
        <w:spacing w:line="264" w:lineRule="auto"/>
      </w:pPr>
    </w:p>
    <w:p>
      <w:pPr>
        <w:spacing w:before="159" w:line="220" w:lineRule="auto"/>
        <w:ind w:left="1699"/>
        <w:rPr>
          <w:rFonts w:ascii="黑体" w:eastAsia="黑体" w:hAnsi="黑体" w:cs="黑体"/>
          <w:sz w:val="49"/>
          <w:szCs w:val="49"/>
        </w:rPr>
      </w:pPr>
      <w:r>
        <w:pict>
          <v:shape id="IM 26" o:spid="_x0000_s1091" type="#_x0000_t75" style="width:842pt;height:595.5pt;margin-top:-99.45pt;margin-left:0;mso-wrap-distance-left:0;mso-wrap-distance-right:0;position:absolute;z-index:-251619328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color w:val="FFFFFF"/>
          <w:spacing w:val="12"/>
          <w:sz w:val="49"/>
          <w:szCs w:val="49"/>
        </w:rPr>
        <w:t>三 、垃圾焚烧锅炉——</w:t>
      </w:r>
      <w:r>
        <w:rPr>
          <w:rFonts w:ascii="黑体" w:eastAsia="黑体" w:hAnsi="黑体" w:cs="黑体"/>
          <w:b/>
          <w:bCs/>
          <w:color w:val="FFFF00"/>
          <w:spacing w:val="-36"/>
          <w:w w:val="89"/>
          <w:sz w:val="49"/>
          <w:szCs w:val="49"/>
        </w:rPr>
        <w:t>炉膛的功能性区域特征与初级减排控制</w:t>
      </w:r>
    </w:p>
    <w:p>
      <w:pPr>
        <w:pStyle w:val="BodyText"/>
        <w:spacing w:line="338" w:lineRule="auto"/>
      </w:pPr>
    </w:p>
    <w:p>
      <w:pPr>
        <w:spacing w:before="91" w:line="187" w:lineRule="auto"/>
        <w:ind w:left="1704"/>
        <w:rPr>
          <w:rFonts w:ascii="黑体" w:eastAsia="黑体" w:hAnsi="黑体" w:cs="黑体"/>
          <w:sz w:val="28"/>
          <w:szCs w:val="28"/>
        </w:rPr>
      </w:pPr>
      <w:r>
        <w:pict>
          <v:shape id="文本框 56" o:spid="_x0000_s1092" type="#_x0000_t202" style="width:21.55pt;height:301.5pt;margin-top:5.75pt;margin-left:739.45pt;position:absolute;z-index:251698176" filled="f" stroked="f">
            <o:lock v:ext="edit" aspectratio="f"/>
            <v:textbox inset="0,0,0,0">
              <w:txbxContent>
                <w:p>
                  <w:pPr>
                    <w:spacing w:before="20" w:line="223" w:lineRule="auto"/>
                    <w:ind w:left="20" w:righ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5"/>
                      <w:sz w:val="20"/>
                      <w:szCs w:val="20"/>
                    </w:rPr>
                    <w:t>温度</w:t>
                  </w:r>
                  <w:r>
                    <w:rPr>
                      <w:rFonts w:ascii="宋体" w:eastAsia="宋体" w:hAnsi="宋体" w:cs="宋体"/>
                      <w:color w:val="FFFFFF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color w:val="FFFFFF"/>
                      <w:spacing w:val="-11"/>
                      <w:sz w:val="20"/>
                      <w:szCs w:val="20"/>
                    </w:rPr>
                    <w:t>(℃)</w:t>
                  </w:r>
                </w:p>
                <w:p>
                  <w:pPr>
                    <w:spacing w:before="176" w:line="184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10"/>
                      <w:sz w:val="20"/>
                      <w:szCs w:val="20"/>
                    </w:rPr>
                    <w:t>1300</w:t>
                  </w:r>
                </w:p>
                <w:p>
                  <w:pPr>
                    <w:spacing w:before="270" w:line="184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10"/>
                      <w:sz w:val="20"/>
                      <w:szCs w:val="20"/>
                    </w:rPr>
                    <w:t>1200</w:t>
                  </w:r>
                </w:p>
                <w:p>
                  <w:pPr>
                    <w:spacing w:before="270" w:line="184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5"/>
                      <w:sz w:val="20"/>
                      <w:szCs w:val="20"/>
                    </w:rPr>
                    <w:t>1100</w:t>
                  </w:r>
                </w:p>
                <w:p>
                  <w:pPr>
                    <w:spacing w:before="250" w:line="184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10"/>
                      <w:sz w:val="20"/>
                      <w:szCs w:val="20"/>
                    </w:rPr>
                    <w:t>1000</w:t>
                  </w:r>
                </w:p>
                <w:p>
                  <w:pPr>
                    <w:spacing w:before="302" w:line="183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2"/>
                      <w:sz w:val="20"/>
                      <w:szCs w:val="20"/>
                    </w:rPr>
                    <w:t>950</w:t>
                  </w:r>
                </w:p>
                <w:p>
                  <w:pPr>
                    <w:spacing w:before="241" w:line="183" w:lineRule="auto"/>
                    <w:ind w:left="20"/>
                    <w:rPr>
                      <w:rFonts w:ascii="宋体" w:eastAsia="宋体" w:hAnsi="宋体" w:cs="宋体"/>
                      <w:sz w:val="23"/>
                      <w:szCs w:val="23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10"/>
                      <w:sz w:val="23"/>
                      <w:szCs w:val="23"/>
                    </w:rPr>
                    <w:t>900</w:t>
                  </w:r>
                </w:p>
                <w:p>
                  <w:pPr>
                    <w:spacing w:before="273" w:line="183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2"/>
                      <w:sz w:val="20"/>
                      <w:szCs w:val="20"/>
                    </w:rPr>
                    <w:t>850</w:t>
                  </w:r>
                </w:p>
                <w:p>
                  <w:pPr>
                    <w:spacing w:before="272" w:line="183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2"/>
                      <w:sz w:val="20"/>
                      <w:szCs w:val="20"/>
                    </w:rPr>
                    <w:t>800</w:t>
                  </w:r>
                </w:p>
                <w:p>
                  <w:pPr>
                    <w:spacing w:before="251" w:line="183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3"/>
                      <w:sz w:val="20"/>
                      <w:szCs w:val="20"/>
                    </w:rPr>
                    <w:t>750</w:t>
                  </w:r>
                </w:p>
                <w:p>
                  <w:pPr>
                    <w:spacing w:before="272" w:line="183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3"/>
                      <w:sz w:val="20"/>
                      <w:szCs w:val="20"/>
                    </w:rPr>
                    <w:t>700</w:t>
                  </w:r>
                </w:p>
                <w:p>
                  <w:pPr>
                    <w:spacing w:before="272" w:line="183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3"/>
                      <w:sz w:val="20"/>
                      <w:szCs w:val="20"/>
                    </w:rPr>
                    <w:t>650</w:t>
                  </w:r>
                </w:p>
                <w:p>
                  <w:pPr>
                    <w:spacing w:before="242" w:line="183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7"/>
                      <w:sz w:val="20"/>
                      <w:szCs w:val="20"/>
                    </w:rPr>
                    <w:t>600</w:t>
                  </w:r>
                </w:p>
              </w:txbxContent>
            </v:textbox>
          </v:shape>
        </w:pict>
      </w:r>
      <w:r>
        <w:pict>
          <v:shape id="文本框 57" o:spid="_x0000_s1093" type="#_x0000_t202" style="width:35.9pt;height:15.85pt;margin-top:12.8pt;margin-left:539.45pt;position:absolute;z-index:251699200" filled="f" stroked="f">
            <o:lock v:ext="edit" aspectratio="f"/>
            <v:textbox inset="0,0,0,0">
              <w:txbxContent>
                <w:p>
                  <w:pPr>
                    <w:spacing w:before="20" w:line="222" w:lineRule="auto"/>
                    <w:ind w:left="20"/>
                    <w:rPr>
                      <w:rFonts w:ascii="黑体" w:eastAsia="黑体" w:hAnsi="黑体" w:cs="黑体"/>
                      <w:sz w:val="23"/>
                      <w:szCs w:val="23"/>
                    </w:rPr>
                  </w:pPr>
                  <w:r>
                    <w:rPr>
                      <w:rFonts w:ascii="黑体" w:eastAsia="黑体" w:hAnsi="黑体" w:cs="黑体"/>
                      <w:color w:val="FFFFFF"/>
                      <w:spacing w:val="-5"/>
                      <w:sz w:val="23"/>
                      <w:szCs w:val="23"/>
                    </w:rPr>
                    <w:t>火</w:t>
                  </w:r>
                  <w:r>
                    <w:rPr>
                      <w:rFonts w:ascii="黑体" w:eastAsia="黑体" w:hAnsi="黑体" w:cs="黑体"/>
                      <w:color w:val="FFFFFF"/>
                      <w:spacing w:val="4"/>
                      <w:sz w:val="23"/>
                      <w:szCs w:val="23"/>
                    </w:rPr>
                    <w:t xml:space="preserve">  </w:t>
                  </w:r>
                  <w:r>
                    <w:rPr>
                      <w:rFonts w:ascii="黑体" w:eastAsia="黑体" w:hAnsi="黑体" w:cs="黑体"/>
                      <w:color w:val="FFFFFF"/>
                      <w:spacing w:val="-5"/>
                      <w:sz w:val="23"/>
                      <w:szCs w:val="23"/>
                    </w:rPr>
                    <w:t>色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b/>
          <w:bCs/>
          <w:color w:val="C40000"/>
          <w:spacing w:val="5"/>
          <w:sz w:val="28"/>
          <w:szCs w:val="28"/>
        </w:rPr>
        <w:t>I、</w:t>
      </w:r>
      <w:r>
        <w:rPr>
          <w:rFonts w:ascii="宋体" w:eastAsia="宋体" w:hAnsi="宋体" w:cs="宋体"/>
          <w:color w:val="C40000"/>
          <w:spacing w:val="5"/>
          <w:sz w:val="28"/>
          <w:szCs w:val="28"/>
        </w:rPr>
        <w:t xml:space="preserve"> </w:t>
      </w:r>
      <w:r>
        <w:rPr>
          <w:rFonts w:ascii="黑体" w:eastAsia="黑体" w:hAnsi="黑体" w:cs="黑体"/>
          <w:b/>
          <w:bCs/>
          <w:color w:val="C40000"/>
          <w:spacing w:val="5"/>
          <w:sz w:val="28"/>
          <w:szCs w:val="28"/>
        </w:rPr>
        <w:t>炉膛燃烧区</w:t>
      </w:r>
    </w:p>
    <w:p>
      <w:pPr>
        <w:spacing w:before="292" w:line="225" w:lineRule="auto"/>
        <w:ind w:left="153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8"/>
          <w:sz w:val="28"/>
          <w:szCs w:val="28"/>
        </w:rPr>
        <w:t>1、</w:t>
      </w:r>
      <w:r>
        <w:rPr>
          <w:rFonts w:ascii="宋体" w:eastAsia="宋体" w:hAnsi="宋体" w:cs="宋体"/>
          <w:spacing w:val="-65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8"/>
          <w:sz w:val="28"/>
          <w:szCs w:val="28"/>
        </w:rPr>
        <w:t>理论基础</w:t>
      </w:r>
      <w:r>
        <w:rPr>
          <w:rFonts w:ascii="宋体" w:eastAsia="宋体" w:hAnsi="宋体" w:cs="宋体"/>
          <w:sz w:val="28"/>
          <w:szCs w:val="28"/>
        </w:rPr>
        <w:t xml:space="preserve">                                                       </w:t>
      </w:r>
      <w:r>
        <w:rPr>
          <w:rFonts w:ascii="宋体" w:eastAsia="宋体" w:hAnsi="宋体" w:cs="宋体"/>
          <w:color w:val="FFFFFF"/>
          <w:spacing w:val="-8"/>
          <w:position w:val="1"/>
          <w:sz w:val="23"/>
          <w:szCs w:val="23"/>
        </w:rPr>
        <w:t>亮</w:t>
      </w:r>
      <w:r>
        <w:rPr>
          <w:rFonts w:ascii="宋体" w:eastAsia="宋体" w:hAnsi="宋体" w:cs="宋体"/>
          <w:color w:val="FFFFFF"/>
          <w:spacing w:val="38"/>
          <w:position w:val="1"/>
          <w:sz w:val="23"/>
          <w:szCs w:val="23"/>
        </w:rPr>
        <w:t xml:space="preserve">  </w:t>
      </w:r>
      <w:r>
        <w:rPr>
          <w:rFonts w:ascii="宋体" w:eastAsia="宋体" w:hAnsi="宋体" w:cs="宋体"/>
          <w:color w:val="FFFFFF"/>
          <w:spacing w:val="-8"/>
          <w:position w:val="1"/>
          <w:sz w:val="23"/>
          <w:szCs w:val="23"/>
        </w:rPr>
        <w:t>白</w:t>
      </w:r>
    </w:p>
    <w:p>
      <w:pPr>
        <w:spacing w:before="128" w:line="219" w:lineRule="auto"/>
        <w:ind w:left="153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-3"/>
          <w:sz w:val="28"/>
          <w:szCs w:val="28"/>
        </w:rPr>
        <w:t>燃烧学的斯蒂芬-玻尔兹茨曼定理。即黑体的辐射力与发生辐</w:t>
      </w:r>
      <w:r>
        <w:rPr>
          <w:rFonts w:ascii="宋体" w:eastAsia="宋体" w:hAnsi="宋体" w:cs="宋体"/>
          <w:spacing w:val="-4"/>
          <w:sz w:val="28"/>
          <w:szCs w:val="28"/>
        </w:rPr>
        <w:t>射换热的两</w:t>
      </w:r>
      <w:r>
        <w:rPr>
          <w:rFonts w:ascii="宋体" w:eastAsia="宋体" w:hAnsi="宋体" w:cs="宋体"/>
          <w:spacing w:val="35"/>
          <w:sz w:val="28"/>
          <w:szCs w:val="28"/>
        </w:rPr>
        <w:t xml:space="preserve">   </w:t>
      </w:r>
      <w:r>
        <w:rPr>
          <w:rFonts w:ascii="宋体" w:eastAsia="宋体" w:hAnsi="宋体" w:cs="宋体"/>
          <w:color w:val="FFFFFF"/>
          <w:spacing w:val="-4"/>
          <w:sz w:val="20"/>
          <w:szCs w:val="20"/>
        </w:rPr>
        <w:t>白</w:t>
      </w:r>
      <w:r>
        <w:rPr>
          <w:rFonts w:ascii="宋体" w:eastAsia="宋体" w:hAnsi="宋体" w:cs="宋体"/>
          <w:color w:val="FFFFFF"/>
          <w:spacing w:val="-18"/>
          <w:sz w:val="20"/>
          <w:szCs w:val="20"/>
        </w:rPr>
        <w:t xml:space="preserve"> </w:t>
      </w:r>
      <w:r>
        <w:rPr>
          <w:rFonts w:ascii="宋体" w:eastAsia="宋体" w:hAnsi="宋体" w:cs="宋体"/>
          <w:color w:val="FFFFFF"/>
          <w:spacing w:val="-4"/>
          <w:sz w:val="20"/>
          <w:szCs w:val="20"/>
        </w:rPr>
        <w:t>微</w:t>
      </w:r>
      <w:r>
        <w:rPr>
          <w:rFonts w:ascii="宋体" w:eastAsia="宋体" w:hAnsi="宋体" w:cs="宋体"/>
          <w:color w:val="FFFFFF"/>
          <w:spacing w:val="-21"/>
          <w:sz w:val="20"/>
          <w:szCs w:val="20"/>
        </w:rPr>
        <w:t xml:space="preserve"> </w:t>
      </w:r>
      <w:r>
        <w:rPr>
          <w:rFonts w:ascii="宋体" w:eastAsia="宋体" w:hAnsi="宋体" w:cs="宋体"/>
          <w:color w:val="FFFFFF"/>
          <w:spacing w:val="-4"/>
          <w:sz w:val="20"/>
          <w:szCs w:val="20"/>
        </w:rPr>
        <w:t>黄</w:t>
      </w:r>
    </w:p>
    <w:p>
      <w:pPr>
        <w:spacing w:before="88" w:line="220" w:lineRule="auto"/>
        <w:ind w:left="153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-1"/>
          <w:sz w:val="28"/>
          <w:szCs w:val="28"/>
        </w:rPr>
        <w:t>个物体绝对温度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T₁</w:t>
      </w:r>
      <w:r>
        <w:rPr>
          <w:rFonts w:ascii="宋体" w:eastAsia="宋体" w:hAnsi="宋体" w:cs="宋体"/>
          <w:spacing w:val="-1"/>
          <w:sz w:val="28"/>
          <w:szCs w:val="28"/>
        </w:rPr>
        <w:t>、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T₂</w:t>
      </w:r>
      <w:r>
        <w:rPr>
          <w:rFonts w:ascii="宋体" w:eastAsia="宋体" w:hAnsi="宋体" w:cs="宋体"/>
          <w:spacing w:val="-1"/>
          <w:sz w:val="28"/>
          <w:szCs w:val="28"/>
        </w:rPr>
        <w:t>的四次方温差成正比。实际</w:t>
      </w:r>
      <w:r>
        <w:rPr>
          <w:rFonts w:ascii="宋体" w:eastAsia="宋体" w:hAnsi="宋体" w:cs="宋体"/>
          <w:spacing w:val="-2"/>
          <w:sz w:val="28"/>
          <w:szCs w:val="28"/>
        </w:rPr>
        <w:t xml:space="preserve">上并不存在黑体辐射     </w:t>
      </w:r>
      <w:r>
        <w:rPr>
          <w:rFonts w:ascii="宋体" w:eastAsia="宋体" w:hAnsi="宋体" w:cs="宋体"/>
          <w:color w:val="FFFFFF"/>
          <w:spacing w:val="-2"/>
          <w:position w:val="-5"/>
          <w:sz w:val="20"/>
          <w:szCs w:val="20"/>
        </w:rPr>
        <w:t>淡   黄</w:t>
      </w:r>
    </w:p>
    <w:p>
      <w:pPr>
        <w:spacing w:before="1" w:line="227" w:lineRule="auto"/>
        <w:ind w:left="1530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7"/>
          <w:sz w:val="28"/>
          <w:szCs w:val="28"/>
        </w:rPr>
        <w:t xml:space="preserve">热量的情况，因此引入灰体概念，表示为：           </w:t>
      </w:r>
      <w:r>
        <w:rPr>
          <w:rFonts w:ascii="宋体" w:eastAsia="宋体" w:hAnsi="宋体" w:cs="宋体"/>
          <w:spacing w:val="-8"/>
          <w:sz w:val="28"/>
          <w:szCs w:val="28"/>
        </w:rPr>
        <w:t xml:space="preserve">                    </w:t>
      </w:r>
      <w:r>
        <w:rPr>
          <w:rFonts w:ascii="宋体" w:eastAsia="宋体" w:hAnsi="宋体" w:cs="宋体"/>
          <w:color w:val="FFFFFF"/>
          <w:spacing w:val="-8"/>
          <w:position w:val="-12"/>
          <w:sz w:val="23"/>
          <w:szCs w:val="23"/>
        </w:rPr>
        <w:t>黄  色</w:t>
      </w:r>
    </w:p>
    <w:p>
      <w:pPr>
        <w:spacing w:before="186" w:line="207" w:lineRule="auto"/>
        <w:ind w:left="4210"/>
        <w:rPr>
          <w:rFonts w:ascii="黑体" w:eastAsia="黑体" w:hAnsi="黑体" w:cs="黑体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Q=BFc(T{-T?)×</w:t>
      </w:r>
      <w:r>
        <w:rPr>
          <w:rFonts w:ascii="宋体" w:eastAsia="宋体" w:hAnsi="宋体" w:cs="宋体"/>
          <w:i/>
          <w:iCs/>
          <w:sz w:val="29"/>
          <w:szCs w:val="29"/>
        </w:rPr>
        <w:t>△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T                                            </w:t>
      </w:r>
      <w:r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</w:rPr>
        <w:t xml:space="preserve">                 </w:t>
      </w:r>
      <w:r>
        <w:rPr>
          <w:rFonts w:ascii="黑体" w:eastAsia="黑体" w:hAnsi="黑体" w:cs="黑体"/>
          <w:color w:val="FFFFFF"/>
          <w:spacing w:val="-1"/>
          <w:position w:val="1"/>
          <w:sz w:val="20"/>
          <w:szCs w:val="20"/>
        </w:rPr>
        <w:t>淡</w:t>
      </w:r>
      <w:r>
        <w:rPr>
          <w:rFonts w:ascii="黑体" w:eastAsia="黑体" w:hAnsi="黑体" w:cs="黑体"/>
          <w:color w:val="FFFFFF"/>
          <w:spacing w:val="-37"/>
          <w:position w:val="1"/>
          <w:sz w:val="20"/>
          <w:szCs w:val="20"/>
        </w:rPr>
        <w:t xml:space="preserve"> </w:t>
      </w:r>
      <w:r>
        <w:rPr>
          <w:rFonts w:ascii="黑体" w:eastAsia="黑体" w:hAnsi="黑体" w:cs="黑体"/>
          <w:color w:val="FFFFFF"/>
          <w:spacing w:val="-1"/>
          <w:position w:val="1"/>
          <w:sz w:val="20"/>
          <w:szCs w:val="20"/>
        </w:rPr>
        <w:t>橘</w:t>
      </w:r>
      <w:r>
        <w:rPr>
          <w:rFonts w:ascii="黑体" w:eastAsia="黑体" w:hAnsi="黑体" w:cs="黑体"/>
          <w:color w:val="FFFFFF"/>
          <w:spacing w:val="-34"/>
          <w:position w:val="1"/>
          <w:sz w:val="20"/>
          <w:szCs w:val="20"/>
        </w:rPr>
        <w:t xml:space="preserve"> </w:t>
      </w:r>
      <w:r>
        <w:rPr>
          <w:rFonts w:ascii="黑体" w:eastAsia="黑体" w:hAnsi="黑体" w:cs="黑体"/>
          <w:color w:val="FFFFFF"/>
          <w:spacing w:val="-1"/>
          <w:position w:val="1"/>
          <w:sz w:val="20"/>
          <w:szCs w:val="20"/>
        </w:rPr>
        <w:t>黄</w:t>
      </w:r>
    </w:p>
    <w:p>
      <w:pPr>
        <w:spacing w:before="63" w:line="238" w:lineRule="auto"/>
        <w:ind w:left="1534"/>
        <w:rPr>
          <w:rFonts w:ascii="STXingkai" w:eastAsia="STXingkai" w:hAnsi="STXingkai" w:cs="STXingkai"/>
          <w:sz w:val="23"/>
          <w:szCs w:val="23"/>
        </w:rPr>
      </w:pP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2、</w:t>
      </w:r>
      <w:r>
        <w:rPr>
          <w:rFonts w:ascii="宋体" w:eastAsia="宋体" w:hAnsi="宋体" w:cs="宋体"/>
          <w:spacing w:val="-74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工程特征</w:t>
      </w:r>
      <w:r>
        <w:rPr>
          <w:rFonts w:ascii="宋体" w:eastAsia="宋体" w:hAnsi="宋体" w:cs="宋体"/>
          <w:spacing w:val="-5"/>
          <w:sz w:val="28"/>
          <w:szCs w:val="28"/>
        </w:rPr>
        <w:t xml:space="preserve">                                                         </w:t>
      </w:r>
      <w:r>
        <w:rPr>
          <w:rFonts w:ascii="STXingkai" w:eastAsia="STXingkai" w:hAnsi="STXingkai" w:cs="STXingkai"/>
          <w:color w:val="FFFFFF"/>
          <w:spacing w:val="-5"/>
          <w:position w:val="-3"/>
          <w:sz w:val="23"/>
          <w:szCs w:val="23"/>
        </w:rPr>
        <w:t>橘     黄</w:t>
      </w:r>
    </w:p>
    <w:p>
      <w:pPr>
        <w:pStyle w:val="BodyText"/>
        <w:spacing w:before="297" w:line="219" w:lineRule="auto"/>
        <w:ind w:left="1534"/>
        <w:rPr>
          <w:rFonts w:ascii="宋体" w:eastAsia="宋体" w:hAnsi="宋体" w:cs="宋体"/>
          <w:sz w:val="28"/>
          <w:szCs w:val="28"/>
        </w:rPr>
      </w:pPr>
      <w:r>
        <w:pict>
          <v:shape id="文本框 58" o:spid="_x0000_s1094" type="#_x0000_t202" style="width:37.45pt;height:12pt;margin-top:8.4pt;margin-left:539.45pt;position:absolute;z-index:251700224" filled="f" stroked="f">
            <o:lock v:ext="edit" aspectratio="f"/>
            <v:textbox inset="0,0,0,0">
              <w:txbxContent>
                <w:p>
                  <w:pPr>
                    <w:spacing w:before="20" w:line="184" w:lineRule="auto"/>
                    <w:jc w:val="right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16"/>
                      <w:w w:val="95"/>
                      <w:sz w:val="20"/>
                      <w:szCs w:val="20"/>
                    </w:rPr>
                    <w:t>橘</w:t>
                  </w:r>
                  <w:r>
                    <w:rPr>
                      <w:rFonts w:ascii="宋体" w:eastAsia="宋体" w:hAnsi="宋体" w:cs="宋体"/>
                      <w:color w:val="FFFFFF"/>
                      <w:spacing w:val="-15"/>
                      <w:w w:val="95"/>
                      <w:sz w:val="20"/>
                      <w:szCs w:val="20"/>
                    </w:rPr>
                    <w:t>黄微</w:t>
                  </w:r>
                  <w:r>
                    <w:rPr>
                      <w:rFonts w:ascii="宋体" w:eastAsia="宋体" w:hAnsi="宋体" w:cs="宋体"/>
                      <w:color w:val="FFFFFF"/>
                      <w:spacing w:val="-10"/>
                      <w:w w:val="95"/>
                      <w:sz w:val="20"/>
                      <w:szCs w:val="20"/>
                    </w:rPr>
                    <w:t>红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b/>
          <w:bCs/>
          <w:sz w:val="28"/>
          <w:szCs w:val="28"/>
        </w:rPr>
        <w:t>是有效控制初级减排源头；炉膛燃烧区的中心区</w:t>
      </w:r>
      <w:r>
        <w:rPr>
          <w:b/>
          <w:bCs/>
          <w:sz w:val="28"/>
          <w:szCs w:val="28"/>
        </w:rPr>
        <w:t>1050~1400</w:t>
      </w:r>
      <w:r>
        <w:rPr>
          <w:rFonts w:ascii="宋体" w:eastAsia="宋体" w:hAnsi="宋体" w:cs="宋体"/>
          <w:b/>
          <w:bCs/>
          <w:sz w:val="28"/>
          <w:szCs w:val="28"/>
        </w:rPr>
        <w:t>℃;灰熔点</w:t>
      </w:r>
    </w:p>
    <w:p>
      <w:pPr>
        <w:spacing w:before="30" w:line="234" w:lineRule="auto"/>
        <w:ind w:left="1704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(软化温度)较低，处于结渣环境。</w:t>
      </w:r>
      <w:r>
        <w:rPr>
          <w:rFonts w:ascii="宋体" w:eastAsia="宋体" w:hAnsi="宋体" w:cs="宋体"/>
          <w:spacing w:val="-3"/>
          <w:sz w:val="28"/>
          <w:szCs w:val="28"/>
        </w:rPr>
        <w:t xml:space="preserve">   </w:t>
      </w:r>
      <w:r>
        <w:rPr>
          <w:rFonts w:ascii="宋体" w:eastAsia="宋体" w:hAnsi="宋体" w:cs="宋体"/>
          <w:spacing w:val="-4"/>
          <w:sz w:val="28"/>
          <w:szCs w:val="28"/>
        </w:rPr>
        <w:t xml:space="preserve">                                 </w:t>
      </w:r>
      <w:r>
        <w:rPr>
          <w:rFonts w:ascii="宋体" w:eastAsia="宋体" w:hAnsi="宋体" w:cs="宋体"/>
          <w:color w:val="FFFFFF"/>
          <w:spacing w:val="-4"/>
          <w:position w:val="9"/>
          <w:sz w:val="20"/>
          <w:szCs w:val="20"/>
        </w:rPr>
        <w:t>淡</w:t>
      </w:r>
      <w:r>
        <w:rPr>
          <w:rFonts w:ascii="宋体" w:eastAsia="宋体" w:hAnsi="宋体" w:cs="宋体"/>
          <w:color w:val="FFFFFF"/>
          <w:spacing w:val="-33"/>
          <w:position w:val="9"/>
          <w:sz w:val="20"/>
          <w:szCs w:val="20"/>
        </w:rPr>
        <w:t xml:space="preserve"> </w:t>
      </w:r>
      <w:r>
        <w:rPr>
          <w:rFonts w:ascii="宋体" w:eastAsia="宋体" w:hAnsi="宋体" w:cs="宋体"/>
          <w:color w:val="FFFFFF"/>
          <w:spacing w:val="-4"/>
          <w:position w:val="9"/>
          <w:sz w:val="20"/>
          <w:szCs w:val="20"/>
        </w:rPr>
        <w:t>樱</w:t>
      </w:r>
      <w:r>
        <w:rPr>
          <w:rFonts w:ascii="宋体" w:eastAsia="宋体" w:hAnsi="宋体" w:cs="宋体"/>
          <w:color w:val="FFFFFF"/>
          <w:spacing w:val="-27"/>
          <w:position w:val="9"/>
          <w:sz w:val="20"/>
          <w:szCs w:val="20"/>
        </w:rPr>
        <w:t xml:space="preserve"> </w:t>
      </w:r>
      <w:r>
        <w:rPr>
          <w:rFonts w:ascii="宋体" w:eastAsia="宋体" w:hAnsi="宋体" w:cs="宋体"/>
          <w:color w:val="FFFFFF"/>
          <w:spacing w:val="-4"/>
          <w:position w:val="9"/>
          <w:sz w:val="20"/>
          <w:szCs w:val="20"/>
        </w:rPr>
        <w:t>红</w:t>
      </w:r>
    </w:p>
    <w:p>
      <w:pPr>
        <w:spacing w:before="236" w:line="211" w:lineRule="auto"/>
        <w:ind w:left="1534"/>
        <w:outlineLvl w:val="6"/>
        <w:rPr>
          <w:rFonts w:ascii="宋体" w:eastAsia="宋体" w:hAnsi="宋体" w:cs="宋体"/>
          <w:sz w:val="28"/>
          <w:szCs w:val="28"/>
        </w:rPr>
      </w:pPr>
      <w:r>
        <w:pict>
          <v:shape id="文本框 59" o:spid="_x0000_s1095" type="#_x0000_t202" style="width:33.4pt;height:12pt;margin-top:4.25pt;margin-left:539.45pt;position:absolute;z-index:251701248" filled="f" stroked="f">
            <o:lock v:ext="edit" aspectratio="f"/>
            <v:textbox inset="0,0,0,0">
              <w:txbxContent>
                <w:p>
                  <w:pPr>
                    <w:spacing w:before="20" w:line="184" w:lineRule="auto"/>
                    <w:ind w:left="20"/>
                    <w:rPr>
                      <w:rFonts w:ascii="宋体" w:eastAsia="宋体" w:hAnsi="宋体" w:cs="宋体"/>
                      <w:sz w:val="20"/>
                      <w:szCs w:val="20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-4"/>
                      <w:sz w:val="20"/>
                      <w:szCs w:val="20"/>
                    </w:rPr>
                    <w:t>樱</w:t>
                  </w:r>
                  <w:r>
                    <w:rPr>
                      <w:rFonts w:ascii="宋体" w:eastAsia="宋体" w:hAnsi="宋体" w:cs="宋体"/>
                      <w:color w:val="FFFFFF"/>
                      <w:spacing w:val="23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宋体" w:eastAsia="宋体" w:hAnsi="宋体" w:cs="宋体"/>
                      <w:color w:val="FFFFFF"/>
                      <w:spacing w:val="-4"/>
                      <w:sz w:val="20"/>
                      <w:szCs w:val="20"/>
                    </w:rPr>
                    <w:t>红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b/>
          <w:bCs/>
          <w:spacing w:val="-14"/>
          <w:sz w:val="28"/>
          <w:szCs w:val="28"/>
        </w:rPr>
        <w:t>3、</w:t>
      </w:r>
      <w:r>
        <w:rPr>
          <w:rFonts w:ascii="宋体" w:eastAsia="宋体" w:hAnsi="宋体" w:cs="宋体"/>
          <w:spacing w:val="-53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14"/>
          <w:sz w:val="28"/>
          <w:szCs w:val="28"/>
        </w:rPr>
        <w:t>监控</w:t>
      </w:r>
    </w:p>
    <w:p>
      <w:pPr>
        <w:spacing w:line="219" w:lineRule="auto"/>
        <w:ind w:left="10809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color w:val="FFFFFF"/>
          <w:spacing w:val="-8"/>
          <w:sz w:val="20"/>
          <w:szCs w:val="20"/>
        </w:rPr>
        <w:t>暗</w:t>
      </w:r>
      <w:r>
        <w:rPr>
          <w:rFonts w:ascii="宋体" w:eastAsia="宋体" w:hAnsi="宋体" w:cs="宋体"/>
          <w:color w:val="FFFFFF"/>
          <w:spacing w:val="-31"/>
          <w:sz w:val="20"/>
          <w:szCs w:val="20"/>
        </w:rPr>
        <w:t xml:space="preserve"> </w:t>
      </w:r>
      <w:r>
        <w:rPr>
          <w:rFonts w:ascii="宋体" w:eastAsia="宋体" w:hAnsi="宋体" w:cs="宋体"/>
          <w:color w:val="FFFFFF"/>
          <w:spacing w:val="-8"/>
          <w:sz w:val="20"/>
          <w:szCs w:val="20"/>
        </w:rPr>
        <w:t>樱</w:t>
      </w:r>
      <w:r>
        <w:rPr>
          <w:rFonts w:ascii="宋体" w:eastAsia="宋体" w:hAnsi="宋体" w:cs="宋体"/>
          <w:color w:val="FFFFFF"/>
          <w:spacing w:val="-24"/>
          <w:sz w:val="20"/>
          <w:szCs w:val="20"/>
        </w:rPr>
        <w:t xml:space="preserve"> </w:t>
      </w:r>
      <w:r>
        <w:rPr>
          <w:rFonts w:ascii="宋体" w:eastAsia="宋体" w:hAnsi="宋体" w:cs="宋体"/>
          <w:color w:val="FFFFFF"/>
          <w:spacing w:val="-8"/>
          <w:sz w:val="20"/>
          <w:szCs w:val="20"/>
        </w:rPr>
        <w:t>红</w:t>
      </w:r>
    </w:p>
    <w:p>
      <w:pPr>
        <w:spacing w:before="71" w:line="226" w:lineRule="auto"/>
        <w:ind w:left="1614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目标：最大限度控制垃圾不稳定特性与不完全燃烧</w:t>
      </w:r>
      <w:r>
        <w:rPr>
          <w:rFonts w:ascii="宋体" w:eastAsia="宋体" w:hAnsi="宋体" w:cs="宋体"/>
          <w:spacing w:val="-3"/>
          <w:sz w:val="28"/>
          <w:szCs w:val="28"/>
        </w:rPr>
        <w:t xml:space="preserve">。         </w:t>
      </w:r>
      <w:r>
        <w:rPr>
          <w:rFonts w:ascii="宋体" w:eastAsia="宋体" w:hAnsi="宋体" w:cs="宋体"/>
          <w:spacing w:val="-4"/>
          <w:sz w:val="28"/>
          <w:szCs w:val="28"/>
        </w:rPr>
        <w:t xml:space="preserve">           </w:t>
      </w:r>
      <w:r>
        <w:rPr>
          <w:rFonts w:ascii="宋体" w:eastAsia="宋体" w:hAnsi="宋体" w:cs="宋体"/>
          <w:color w:val="FFFFFF"/>
          <w:spacing w:val="-4"/>
          <w:position w:val="-8"/>
          <w:sz w:val="20"/>
          <w:szCs w:val="20"/>
        </w:rPr>
        <w:t>暗   赤</w:t>
      </w:r>
    </w:p>
    <w:p>
      <w:pPr>
        <w:spacing w:before="131" w:line="219" w:lineRule="auto"/>
        <w:ind w:left="1534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b/>
          <w:bCs/>
          <w:spacing w:val="1"/>
          <w:sz w:val="28"/>
          <w:szCs w:val="28"/>
        </w:rPr>
        <w:t>方法：巡检直接观察火焰颜色判断燃烧温度，监督火焰锋面(火线)。</w:t>
      </w:r>
      <w:r>
        <w:rPr>
          <w:rFonts w:ascii="宋体" w:eastAsia="宋体" w:hAnsi="宋体" w:cs="宋体"/>
          <w:spacing w:val="1"/>
          <w:sz w:val="28"/>
          <w:szCs w:val="28"/>
        </w:rPr>
        <w:t xml:space="preserve">     </w:t>
      </w:r>
      <w:r>
        <w:rPr>
          <w:rFonts w:ascii="宋体" w:eastAsia="宋体" w:hAnsi="宋体" w:cs="宋体"/>
          <w:color w:val="FFFFFF"/>
          <w:spacing w:val="1"/>
          <w:position w:val="-3"/>
          <w:sz w:val="20"/>
          <w:szCs w:val="20"/>
        </w:rPr>
        <w:t>赤   褐</w:t>
      </w:r>
    </w:p>
    <w:p>
      <w:pPr>
        <w:spacing w:before="222" w:line="225" w:lineRule="auto"/>
        <w:ind w:left="1534"/>
        <w:rPr>
          <w:rFonts w:ascii="黑体" w:eastAsia="黑体" w:hAnsi="黑体" w:cs="黑体"/>
          <w:sz w:val="20"/>
          <w:szCs w:val="20"/>
        </w:rPr>
      </w:pPr>
      <w:r>
        <w:rPr>
          <w:rFonts w:ascii="宋体" w:eastAsia="宋体" w:hAnsi="宋体" w:cs="宋体"/>
          <w:b/>
          <w:bCs/>
          <w:spacing w:val="-13"/>
          <w:position w:val="1"/>
          <w:sz w:val="28"/>
          <w:szCs w:val="28"/>
        </w:rPr>
        <w:t>检测：炉渣热灼减率控制指标：炉渣热灼减率。</w:t>
      </w:r>
      <w:r>
        <w:rPr>
          <w:rFonts w:ascii="宋体" w:eastAsia="宋体" w:hAnsi="宋体" w:cs="宋体"/>
          <w:spacing w:val="-13"/>
          <w:position w:val="1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14"/>
          <w:position w:val="1"/>
          <w:sz w:val="28"/>
          <w:szCs w:val="28"/>
        </w:rPr>
        <w:t xml:space="preserve">                                    </w:t>
      </w:r>
      <w:r>
        <w:rPr>
          <w:rFonts w:ascii="黑体" w:eastAsia="黑体" w:hAnsi="黑体" w:cs="黑体"/>
          <w:color w:val="FFFFFF"/>
          <w:spacing w:val="-14"/>
          <w:position w:val="-3"/>
          <w:sz w:val="20"/>
          <w:szCs w:val="20"/>
        </w:rPr>
        <w:t>《看火色时要在黑暗地方)</w:t>
      </w:r>
    </w:p>
    <w:p>
      <w:pPr>
        <w:spacing w:line="225" w:lineRule="auto"/>
        <w:rPr>
          <w:rFonts w:ascii="黑体" w:eastAsia="黑体" w:hAnsi="黑体" w:cs="黑体"/>
          <w:sz w:val="20"/>
          <w:szCs w:val="20"/>
        </w:rPr>
        <w:sectPr>
          <w:headerReference w:type="default" r:id="rId39"/>
          <w:pgSz w:w="16840" w:h="11910"/>
          <w:pgMar w:top="400" w:right="0" w:bottom="0" w:left="0" w:header="0" w:footer="0" w:gutter="0"/>
          <w:pgNumType w:start="19"/>
          <w:cols w:space="708"/>
        </w:sectPr>
      </w:pPr>
    </w:p>
    <w:p>
      <w:pPr>
        <w:pStyle w:val="BodyText"/>
        <w:spacing w:line="241" w:lineRule="auto"/>
      </w:pPr>
      <w:r>
        <w:pict>
          <v:shape id="文本框 60" o:spid="_x0000_s1096" type="#_x0000_t202" style="width:105.45pt;height:113.05pt;margin-top:161.45pt;margin-left:83.95pt;mso-position-horizontal-relative:page;mso-position-vertical-relative:page;position:absolute;z-index:251702272" o:allowincell="f" filled="f" stroked="f">
            <o:lock v:ext="edit" aspectratio="f"/>
            <v:textbox inset="0,0,0,0">
              <w:txbxContent>
                <w:p>
                  <w:pPr>
                    <w:spacing w:before="18" w:line="232" w:lineRule="auto"/>
                    <w:ind w:left="20" w:right="20"/>
                    <w:rPr>
                      <w:rFonts w:ascii="黑体" w:eastAsia="黑体" w:hAnsi="黑体" w:cs="黑体"/>
                      <w:sz w:val="28"/>
                      <w:szCs w:val="28"/>
                    </w:rPr>
                  </w:pPr>
                  <w:r>
                    <w:rPr>
                      <w:rFonts w:ascii="黑体" w:eastAsia="黑体" w:hAnsi="黑体" w:cs="黑体"/>
                      <w:color w:val="BA0000"/>
                      <w:spacing w:val="15"/>
                      <w:sz w:val="28"/>
                      <w:szCs w:val="28"/>
                    </w:rPr>
                    <w:t>Ⅱ、二次风紊流</w:t>
                  </w:r>
                  <w:r>
                    <w:rPr>
                      <w:rFonts w:ascii="黑体" w:eastAsia="黑体" w:hAnsi="黑体" w:cs="黑体"/>
                      <w:color w:val="BA0000"/>
                      <w:spacing w:val="2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黑体" w:eastAsia="黑体" w:hAnsi="黑体" w:cs="黑体"/>
                      <w:color w:val="BA0000"/>
                      <w:sz w:val="28"/>
                      <w:szCs w:val="28"/>
                    </w:rPr>
                    <w:t>区</w:t>
                  </w:r>
                </w:p>
                <w:p>
                  <w:pPr>
                    <w:spacing w:before="284" w:line="225" w:lineRule="auto"/>
                    <w:ind w:left="24"/>
                    <w:outlineLvl w:val="6"/>
                    <w:rPr>
                      <w:rFonts w:ascii="宋体" w:eastAsia="宋体" w:hAnsi="宋体" w:cs="宋体"/>
                      <w:sz w:val="28"/>
                      <w:szCs w:val="28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17"/>
                      <w:sz w:val="28"/>
                      <w:szCs w:val="28"/>
                    </w:rPr>
                    <w:t>1、理论基础：</w:t>
                  </w:r>
                </w:p>
                <w:p>
                  <w:pPr>
                    <w:pStyle w:val="BodyText"/>
                    <w:spacing w:line="466" w:lineRule="auto"/>
                  </w:pPr>
                </w:p>
                <w:p>
                  <w:pPr>
                    <w:spacing w:before="91" w:line="219" w:lineRule="auto"/>
                    <w:ind w:left="24"/>
                    <w:outlineLvl w:val="6"/>
                    <w:rPr>
                      <w:rFonts w:ascii="宋体" w:eastAsia="宋体" w:hAnsi="宋体" w:cs="宋体"/>
                      <w:sz w:val="28"/>
                      <w:szCs w:val="28"/>
                    </w:rPr>
                  </w:pPr>
                  <w:r>
                    <w:rPr>
                      <w:rFonts w:ascii="宋体" w:eastAsia="宋体" w:hAnsi="宋体" w:cs="宋体"/>
                      <w:b/>
                      <w:bCs/>
                      <w:spacing w:val="-22"/>
                      <w:sz w:val="28"/>
                      <w:szCs w:val="28"/>
                    </w:rPr>
                    <w:t>2、</w:t>
                  </w:r>
                  <w:r>
                    <w:rPr>
                      <w:rFonts w:ascii="宋体" w:eastAsia="宋体" w:hAnsi="宋体" w:cs="宋体"/>
                      <w:spacing w:val="-61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b/>
                      <w:bCs/>
                      <w:spacing w:val="-22"/>
                      <w:sz w:val="28"/>
                      <w:szCs w:val="28"/>
                    </w:rPr>
                    <w:t>工程特征：</w:t>
                  </w:r>
                </w:p>
              </w:txbxContent>
            </v:textbox>
          </v:shape>
        </w:pict>
      </w:r>
      <w:r>
        <w:pict>
          <v:shape id="IM 28" o:spid="_x0000_s1097" type="#_x0000_t75" style="width:117pt;height:52pt;margin-top:298pt;margin-left:588.45pt;mso-position-horizontal-relative:page;mso-position-vertical-relative:page;mso-wrap-distance-left:0;mso-wrap-distance-right:0;position:absolute;z-index:251703296" o:allowincell="f" o:preferrelative="t" filled="f" stroked="f">
            <v:fill o:detectmouseclick="t"/>
            <v:imagedata r:id="rId40" o:title=""/>
            <v:path o:extrusionok="f"/>
            <o:lock v:ext="edit" aspectratio="f"/>
          </v:shape>
        </w:pict>
      </w: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line="1060" w:lineRule="exact"/>
      </w:pPr>
      <w:r>
        <w:rPr>
          <w:position w:val="-21"/>
        </w:rPr>
        <w:pict>
          <v:group id="组合 61" o:spid="_x0000_i1098" style="width:715.05pt;height:53pt;mso-position-horizontal-relative:char;mso-position-vertical-relative:line" coordorigin="0,0" coordsize="14300,1060">
            <v:shape id="图片 62" o:spid="_x0000_s1099" type="#_x0000_t75" style="width:14300;height:1060;position:absolute" filled="f" stroked="f">
              <v:imagedata r:id="rId41" o:title=""/>
              <v:path o:extrusionok="f"/>
              <o:lock v:ext="edit" aspectratio="t"/>
            </v:shape>
            <v:shape id="文本框 63" o:spid="_x0000_s1100" type="#_x0000_t202" style="width:14340;height:110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359" w:line="220" w:lineRule="auto"/>
                      <w:ind w:left="480"/>
                      <w:rPr>
                        <w:rFonts w:ascii="黑体" w:eastAsia="黑体" w:hAnsi="黑体" w:cs="黑体"/>
                        <w:sz w:val="48"/>
                        <w:szCs w:val="48"/>
                      </w:rPr>
                    </w:pPr>
                    <w:r>
                      <w:rPr>
                        <w:rFonts w:ascii="黑体" w:eastAsia="黑体" w:hAnsi="黑体" w:cs="黑体"/>
                        <w:color w:val="FFFFFF"/>
                        <w:spacing w:val="26"/>
                        <w:sz w:val="48"/>
                        <w:szCs w:val="48"/>
                      </w:rPr>
                      <w:t>三</w:t>
                    </w:r>
                    <w:r>
                      <w:rPr>
                        <w:rFonts w:ascii="黑体" w:eastAsia="黑体" w:hAnsi="黑体" w:cs="黑体"/>
                        <w:color w:val="FFFFFF"/>
                        <w:spacing w:val="-25"/>
                        <w:sz w:val="48"/>
                        <w:szCs w:val="48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color w:val="FFFFFF"/>
                        <w:spacing w:val="26"/>
                        <w:sz w:val="48"/>
                        <w:szCs w:val="48"/>
                      </w:rPr>
                      <w:t>、垃圾焚烧锅炉——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color w:val="FFFF00"/>
                        <w:spacing w:val="-36"/>
                        <w:w w:val="91"/>
                        <w:sz w:val="48"/>
                        <w:szCs w:val="48"/>
                      </w:rPr>
                      <w:t>炉膛的功能性区域特征与初级减排控制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50" w:lineRule="exact"/>
      </w:pPr>
    </w:p>
    <w:tbl>
      <w:tblPr>
        <w:tblStyle w:val="TableNormal1"/>
        <w:tblInd w:w="38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084"/>
        <w:gridCol w:w="3679"/>
        <w:gridCol w:w="3594"/>
      </w:tblGrid>
      <w:tr>
        <w:tblPrEx>
          <w:tblInd w:w="3832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89"/>
        </w:trPr>
        <w:tc>
          <w:tcPr>
            <w:tcW w:w="2084" w:type="dxa"/>
            <w:tcBorders>
              <w:left w:val="single" w:sz="2" w:space="0" w:color="000000"/>
            </w:tcBorders>
          </w:tcPr>
          <w:p>
            <w:pPr>
              <w:spacing w:line="365" w:lineRule="auto"/>
            </w:pPr>
          </w:p>
          <w:p>
            <w:pPr>
              <w:pStyle w:val="TableText"/>
              <w:spacing w:before="78" w:line="256" w:lineRule="auto"/>
              <w:ind w:left="218" w:right="187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流体力学的射流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理论—射流与主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7"/>
                <w:sz w:val="24"/>
                <w:szCs w:val="24"/>
              </w:rPr>
              <w:t>气流动量交换—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被主气流携带而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最终同化—紊流</w:t>
            </w:r>
          </w:p>
        </w:tc>
        <w:tc>
          <w:tcPr>
            <w:tcW w:w="3679" w:type="dxa"/>
          </w:tcPr>
          <w:p>
            <w:pPr>
              <w:spacing w:before="20" w:line="2260" w:lineRule="exact"/>
              <w:ind w:firstLine="88"/>
            </w:pPr>
            <w:r>
              <w:rPr>
                <w:position w:val="-45"/>
              </w:rPr>
              <w:pict>
                <v:shape id="IM 30" o:spid="_x0000_i1101" type="#_x0000_t75" style="width:175pt;height:113.01pt;mso-wrap-distance-left:0;mso-wrap-distance-right:0" o:preferrelative="t" filled="f" stroked="f">
                  <v:fill o:detectmouseclick="t"/>
                  <v:imagedata r:id="rId42" o:title=""/>
                  <v:path o:extrusionok="f"/>
                  <o:lock v:ext="edit" aspectratio="f"/>
                </v:shape>
              </w:pict>
            </w:r>
          </w:p>
          <w:p>
            <w:pPr>
              <w:pStyle w:val="TableText"/>
              <w:spacing w:before="66" w:line="215" w:lineRule="auto"/>
              <w:ind w:left="1171"/>
              <w:rPr>
                <w:sz w:val="20"/>
                <w:szCs w:val="20"/>
              </w:rPr>
            </w:pPr>
            <w:r>
              <w:rPr>
                <w:b/>
                <w:bCs/>
                <w:color w:val="D95E76"/>
                <w:spacing w:val="-8"/>
                <w:sz w:val="20"/>
                <w:szCs w:val="20"/>
              </w:rPr>
              <w:t>自由射流示意图</w:t>
            </w:r>
          </w:p>
        </w:tc>
        <w:tc>
          <w:tcPr>
            <w:tcW w:w="3594" w:type="dxa"/>
            <w:tcBorders>
              <w:right w:val="nil"/>
            </w:tcBorders>
          </w:tcPr>
          <w:p>
            <w:pPr>
              <w:spacing w:line="2579" w:lineRule="exact"/>
              <w:ind w:firstLine="29"/>
            </w:pPr>
            <w:r>
              <w:rPr>
                <w:position w:val="-51"/>
              </w:rPr>
              <w:pict>
                <v:shape id="IM 32" o:spid="_x0000_i1102" type="#_x0000_t75" style="width:177.95pt;height:128.94pt;mso-wrap-distance-left:0;mso-wrap-distance-right:0" o:preferrelative="t" filled="f" stroked="f">
                  <v:fill o:detectmouseclick="t"/>
                  <v:imagedata r:id="rId43" o:title=""/>
                  <v:path o:extrusionok="f"/>
                  <o:lock v:ext="edit" aspectratio="f"/>
                </v:shape>
              </w:pict>
            </w:r>
          </w:p>
        </w:tc>
      </w:tr>
    </w:tbl>
    <w:p>
      <w:pPr>
        <w:spacing w:before="84" w:line="507" w:lineRule="exact"/>
        <w:ind w:left="78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4"/>
          <w:position w:val="17"/>
          <w:sz w:val="28"/>
          <w:szCs w:val="28"/>
        </w:rPr>
        <w:t>①挥发分燃烧需要进一步氧化。射流的运动规律通过试验取得设计用经验公</w:t>
      </w:r>
      <w:r>
        <w:rPr>
          <w:rFonts w:ascii="宋体" w:eastAsia="宋体" w:hAnsi="宋体" w:cs="宋体"/>
          <w:spacing w:val="-4"/>
          <w:position w:val="17"/>
          <w:sz w:val="28"/>
          <w:szCs w:val="28"/>
        </w:rPr>
        <w:t>式。</w:t>
      </w:r>
    </w:p>
    <w:p>
      <w:pPr>
        <w:spacing w:line="219" w:lineRule="auto"/>
        <w:ind w:left="294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5"/>
          <w:sz w:val="28"/>
          <w:szCs w:val="28"/>
        </w:rPr>
        <w:t>非等温流入条件下，射流透入主气流射程L</w:t>
      </w:r>
      <w:r>
        <w:rPr>
          <w:rFonts w:ascii="宋体" w:eastAsia="宋体" w:hAnsi="宋体" w:cs="宋体"/>
          <w:spacing w:val="-73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</w:rPr>
        <w:t>半经验公式：</w:t>
      </w:r>
    </w:p>
    <w:p>
      <w:pPr>
        <w:spacing w:before="160" w:line="217" w:lineRule="auto"/>
        <w:ind w:left="78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②二次空气一排多口，互相干扰；主气流动量远大于二次空气射流的动量。</w:t>
      </w:r>
    </w:p>
    <w:p>
      <w:pPr>
        <w:spacing w:before="170" w:line="514" w:lineRule="exact"/>
        <w:ind w:left="78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5"/>
          <w:position w:val="17"/>
          <w:sz w:val="28"/>
          <w:szCs w:val="28"/>
        </w:rPr>
        <w:t>③是气态焚烧过程的紊流区。局部区域相对温度</w:t>
      </w:r>
      <w:r>
        <w:rPr>
          <w:rFonts w:ascii="宋体" w:eastAsia="宋体" w:hAnsi="宋体" w:cs="宋体"/>
          <w:b/>
          <w:bCs/>
          <w:spacing w:val="-6"/>
          <w:position w:val="17"/>
          <w:sz w:val="28"/>
          <w:szCs w:val="28"/>
        </w:rPr>
        <w:t>降低，可能紧接温度上升；</w:t>
      </w:r>
    </w:p>
    <w:p>
      <w:pPr>
        <w:spacing w:line="220" w:lineRule="auto"/>
        <w:ind w:left="46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22"/>
          <w:sz w:val="28"/>
          <w:szCs w:val="28"/>
        </w:rPr>
        <w:t>3、</w:t>
      </w:r>
      <w:r>
        <w:rPr>
          <w:rFonts w:ascii="宋体" w:eastAsia="宋体" w:hAnsi="宋体" w:cs="宋体"/>
          <w:spacing w:val="-60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22"/>
          <w:sz w:val="28"/>
          <w:szCs w:val="28"/>
        </w:rPr>
        <w:t>现场监控：</w:t>
      </w:r>
    </w:p>
    <w:p>
      <w:pPr>
        <w:spacing w:before="175" w:line="219" w:lineRule="auto"/>
        <w:ind w:left="78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通过锅炉出口CO</w:t>
      </w:r>
      <w:r>
        <w:rPr>
          <w:rFonts w:ascii="宋体" w:eastAsia="宋体" w:hAnsi="宋体" w:cs="宋体"/>
          <w:spacing w:val="-5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浓度，以二次空气量、风温、风压、配置方式的控制为主。</w:t>
      </w:r>
    </w:p>
    <w:p>
      <w:pPr>
        <w:spacing w:before="226" w:line="218" w:lineRule="auto"/>
        <w:ind w:left="78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color w:val="B40000"/>
          <w:spacing w:val="-3"/>
          <w:sz w:val="28"/>
          <w:szCs w:val="28"/>
        </w:rPr>
        <w:t>渗沥液</w:t>
      </w: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回喷是参与燃烧及辐射的吸热过程；会增加烟气污染物浓度与烟气含水量。需要充分评估负面影响</w:t>
      </w:r>
      <w:r>
        <w:rPr>
          <w:rFonts w:ascii="宋体" w:eastAsia="宋体" w:hAnsi="宋体" w:cs="宋体"/>
          <w:spacing w:val="-3"/>
          <w:sz w:val="28"/>
          <w:szCs w:val="28"/>
        </w:rPr>
        <w:t>。</w:t>
      </w:r>
    </w:p>
    <w:p>
      <w:pPr>
        <w:spacing w:before="200" w:line="183" w:lineRule="auto"/>
        <w:ind w:left="78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color w:val="B40000"/>
          <w:spacing w:val="-3"/>
          <w:sz w:val="28"/>
          <w:szCs w:val="28"/>
        </w:rPr>
        <w:t>燃烧过程的</w:t>
      </w:r>
      <w:r>
        <w:rPr>
          <w:rFonts w:ascii="Times New Roman" w:eastAsia="Times New Roman" w:hAnsi="Times New Roman" w:cs="Times New Roman"/>
          <w:b/>
          <w:bCs/>
          <w:color w:val="B40000"/>
          <w:spacing w:val="-3"/>
          <w:sz w:val="28"/>
          <w:szCs w:val="28"/>
        </w:rPr>
        <w:t>NOx</w:t>
      </w: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主要是燃料型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NOx</w:t>
      </w: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。烟气再循环可减少来自空气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N₂</w:t>
      </w: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而减少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>NOx</w:t>
      </w: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生成的说法是不严谨的.</w:t>
      </w:r>
    </w:p>
    <w:p>
      <w:pPr>
        <w:spacing w:line="182" w:lineRule="auto"/>
        <w:ind w:left="1385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color w:val="1E78A6"/>
          <w:spacing w:val="-11"/>
          <w:sz w:val="28"/>
          <w:szCs w:val="28"/>
        </w:rPr>
        <w:t>18</w:t>
      </w:r>
    </w:p>
    <w:p>
      <w:pPr>
        <w:spacing w:line="182" w:lineRule="auto"/>
        <w:rPr>
          <w:rFonts w:ascii="宋体" w:eastAsia="宋体" w:hAnsi="宋体" w:cs="宋体"/>
          <w:sz w:val="28"/>
          <w:szCs w:val="28"/>
        </w:rPr>
        <w:sectPr>
          <w:headerReference w:type="default" r:id="rId44"/>
          <w:pgSz w:w="16840" w:h="11910"/>
          <w:pgMar w:top="400" w:right="1300" w:bottom="0" w:left="1239" w:header="0" w:footer="0" w:gutter="0"/>
          <w:pgNumType w:start="20"/>
          <w:cols w:space="708"/>
        </w:sectPr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spacing w:line="1040" w:lineRule="exact"/>
      </w:pPr>
      <w:r>
        <w:rPr>
          <w:position w:val="-20"/>
        </w:rPr>
        <w:pict>
          <v:group id="组合 64" o:spid="_x0000_i1103" style="width:715.5pt;height:52pt;mso-position-horizontal-relative:char;mso-position-vertical-relative:line" coordorigin="0,0" coordsize="14310,1040">
            <v:shape id="图片 65" o:spid="_x0000_s1104" type="#_x0000_t75" style="width:14310;height:1040;position:absolute" filled="f" stroked="f">
              <v:imagedata r:id="rId45" o:title=""/>
              <v:path o:extrusionok="f"/>
              <o:lock v:ext="edit" aspectratio="t"/>
            </v:shape>
            <v:shape id="文本框 66" o:spid="_x0000_s1105" type="#_x0000_t202" style="width:14350;height:108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337" w:line="220" w:lineRule="auto"/>
                      <w:ind w:left="486"/>
                      <w:outlineLvl w:val="6"/>
                      <w:rPr>
                        <w:rFonts w:ascii="黑体" w:eastAsia="黑体" w:hAnsi="黑体" w:cs="黑体"/>
                        <w:sz w:val="49"/>
                        <w:szCs w:val="49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color w:val="FFFFFF"/>
                        <w:spacing w:val="35"/>
                        <w:sz w:val="49"/>
                        <w:szCs w:val="49"/>
                      </w:rPr>
                      <w:t>三、</w:t>
                    </w:r>
                    <w:r>
                      <w:rPr>
                        <w:rFonts w:ascii="黑体" w:eastAsia="黑体" w:hAnsi="黑体" w:cs="黑体"/>
                        <w:color w:val="FFFFFF"/>
                        <w:spacing w:val="-41"/>
                        <w:sz w:val="49"/>
                        <w:szCs w:val="49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color w:val="FFFFFF"/>
                        <w:spacing w:val="35"/>
                        <w:sz w:val="49"/>
                        <w:szCs w:val="49"/>
                      </w:rPr>
                      <w:t>垃圾焚烧锅炉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color w:val="FFFF00"/>
                        <w:spacing w:val="-31"/>
                        <w:w w:val="88"/>
                        <w:sz w:val="49"/>
                        <w:szCs w:val="49"/>
                      </w:rPr>
                      <w:t>——炉膛的功能性区域特征与初级减排控制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277" w:lineRule="auto"/>
      </w:pPr>
    </w:p>
    <w:p>
      <w:pPr>
        <w:spacing w:before="88" w:line="222" w:lineRule="auto"/>
        <w:ind w:left="583"/>
        <w:rPr>
          <w:rFonts w:ascii="黑体" w:eastAsia="黑体" w:hAnsi="黑体" w:cs="黑体"/>
          <w:sz w:val="27"/>
          <w:szCs w:val="27"/>
        </w:rPr>
      </w:pPr>
      <w:r>
        <w:rPr>
          <w:rFonts w:ascii="黑体" w:eastAsia="黑体" w:hAnsi="黑体" w:cs="黑体"/>
          <w:b/>
          <w:bCs/>
          <w:color w:val="BE0000"/>
          <w:spacing w:val="26"/>
          <w:sz w:val="27"/>
          <w:szCs w:val="27"/>
        </w:rPr>
        <w:t>Ⅲ、高温烟气辐射区</w:t>
      </w:r>
    </w:p>
    <w:p>
      <w:pPr>
        <w:spacing w:before="243" w:line="225" w:lineRule="auto"/>
        <w:ind w:left="403"/>
        <w:outlineLvl w:val="6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b/>
          <w:bCs/>
          <w:spacing w:val="-17"/>
          <w:sz w:val="27"/>
          <w:szCs w:val="27"/>
        </w:rPr>
        <w:t>1、</w:t>
      </w:r>
      <w:r>
        <w:rPr>
          <w:rFonts w:ascii="宋体" w:eastAsia="宋体" w:hAnsi="宋体" w:cs="宋体"/>
          <w:spacing w:val="-59"/>
          <w:sz w:val="27"/>
          <w:szCs w:val="27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7"/>
          <w:szCs w:val="27"/>
        </w:rPr>
        <w:t>理论基础：</w:t>
      </w:r>
    </w:p>
    <w:p>
      <w:pPr>
        <w:spacing w:before="126" w:line="212" w:lineRule="auto"/>
        <w:ind w:left="863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宋体" w:eastAsia="宋体" w:hAnsi="宋体" w:cs="宋体"/>
          <w:b/>
          <w:bCs/>
          <w:spacing w:val="-1"/>
          <w:sz w:val="27"/>
          <w:szCs w:val="27"/>
        </w:rPr>
        <w:t>传热学的辐射理论，建立热平衡：</w:t>
      </w:r>
      <w:r>
        <w:rPr>
          <w:rFonts w:ascii="宋体" w:eastAsia="宋体" w:hAnsi="宋体" w:cs="宋体"/>
          <w:spacing w:val="-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7"/>
          <w:szCs w:val="27"/>
        </w:rPr>
        <w:t>Q=φ(I+</w:t>
      </w:r>
      <w:r>
        <w:rPr>
          <w:rFonts w:ascii="Times New Roman" w:eastAsia="Times New Roman" w:hAnsi="Times New Roman" w:cs="Times New Roman"/>
          <w:spacing w:val="-2"/>
          <w:sz w:val="27"/>
          <w:szCs w:val="27"/>
        </w:rPr>
        <w:t>AalnP-I')=φVco(9′—9”)</w:t>
      </w:r>
    </w:p>
    <w:p>
      <w:pPr>
        <w:pStyle w:val="BodyText"/>
        <w:spacing w:line="434" w:lineRule="auto"/>
      </w:pPr>
    </w:p>
    <w:p>
      <w:pPr>
        <w:spacing w:before="97" w:line="225" w:lineRule="auto"/>
        <w:ind w:left="389"/>
        <w:rPr>
          <w:rFonts w:ascii="宋体" w:eastAsia="宋体" w:hAnsi="宋体" w:cs="宋体"/>
          <w:sz w:val="27"/>
          <w:szCs w:val="27"/>
        </w:rPr>
      </w:pPr>
      <w:r>
        <w:pict>
          <v:shape id="文本框 67" o:spid="_x0000_s1106" type="#_x0000_t202" style="width:126.5pt;height:15.5pt;margin-top:-3.9pt;margin-left:41.95pt;position:absolute;z-index:251705344" filled="f" stroked="f">
            <o:lock v:ext="edit" aspectratio="f"/>
            <v:textbox inset="0,0,0,0">
              <w:txbxContent>
                <w:p>
                  <w:pPr>
                    <w:spacing w:before="20" w:line="184" w:lineRule="auto"/>
                    <w:ind w:left="20"/>
                    <w:rPr>
                      <w:rFonts w:ascii="宋体" w:eastAsia="宋体" w:hAnsi="宋体" w:cs="宋体"/>
                      <w:sz w:val="27"/>
                      <w:szCs w:val="27"/>
                    </w:rPr>
                  </w:pPr>
                  <w:r>
                    <w:rPr>
                      <w:rFonts w:ascii="宋体" w:eastAsia="宋体" w:hAnsi="宋体" w:cs="宋体"/>
                      <w:spacing w:val="6"/>
                      <w:sz w:val="27"/>
                      <w:szCs w:val="27"/>
                    </w:rPr>
                    <w:t>辐射区出口估算烟温</w:t>
                  </w:r>
                </w:p>
              </w:txbxContent>
            </v:textbox>
          </v:shape>
        </w:pict>
      </w:r>
      <w:r>
        <w:pict>
          <v:shape id="IM 34" o:spid="_x0000_s1107" type="#_x0000_t75" style="width:277.5pt;height:44.5pt;margin-top:-8.35pt;margin-left:190.95pt;mso-wrap-distance-left:0;mso-wrap-distance-right:0;position:absolute;z-index:-251612160" o:preferrelative="t" filled="f" stroked="f">
            <v:fill o:detectmouseclick="t"/>
            <v:imagedata r:id="rId46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spacing w:val="-6"/>
          <w:position w:val="-16"/>
          <w:sz w:val="27"/>
          <w:szCs w:val="27"/>
        </w:rPr>
        <w:t>2、</w:t>
      </w:r>
      <w:r>
        <w:rPr>
          <w:rFonts w:ascii="宋体" w:eastAsia="宋体" w:hAnsi="宋体" w:cs="宋体"/>
          <w:spacing w:val="-49"/>
          <w:position w:val="-16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6"/>
          <w:position w:val="-16"/>
          <w:sz w:val="27"/>
          <w:szCs w:val="27"/>
        </w:rPr>
        <w:t>工程特征：</w:t>
      </w:r>
      <w:r>
        <w:rPr>
          <w:rFonts w:ascii="宋体" w:eastAsia="宋体" w:hAnsi="宋体" w:cs="宋体"/>
          <w:spacing w:val="10"/>
          <w:position w:val="-16"/>
          <w:sz w:val="27"/>
          <w:szCs w:val="27"/>
        </w:rPr>
        <w:t xml:space="preserve">            </w:t>
      </w:r>
      <w:r>
        <w:rPr>
          <w:rFonts w:ascii="Times New Roman" w:eastAsia="Times New Roman" w:hAnsi="Times New Roman" w:cs="Times New Roman"/>
          <w:i/>
          <w:iCs/>
          <w:spacing w:val="30"/>
          <w:w w:val="101"/>
          <w:position w:val="20"/>
          <w:sz w:val="20"/>
          <w:szCs w:val="20"/>
          <w:u w:val="single" w:color="008000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pacing w:val="-6"/>
          <w:position w:val="20"/>
          <w:sz w:val="20"/>
          <w:szCs w:val="20"/>
          <w:u w:val="single" w:color="008000"/>
        </w:rPr>
        <w:t xml:space="preserve">g=05B(                  </w:t>
      </w:r>
      <w:r>
        <w:rPr>
          <w:rFonts w:ascii="Times New Roman" w:eastAsia="Times New Roman" w:hAnsi="Times New Roman" w:cs="Times New Roman"/>
          <w:spacing w:val="-6"/>
          <w:position w:val="13"/>
          <w:sz w:val="27"/>
          <w:szCs w:val="27"/>
          <w:u w:val="single" w:color="008000"/>
        </w:rPr>
        <w:t>+m)</w:t>
      </w:r>
      <w:r>
        <w:rPr>
          <w:rFonts w:ascii="Times New Roman" w:eastAsia="Times New Roman" w:hAnsi="Times New Roman" w:cs="Times New Roman"/>
          <w:spacing w:val="10"/>
          <w:position w:val="13"/>
          <w:sz w:val="27"/>
          <w:szCs w:val="27"/>
          <w:u w:val="single" w:color="008000"/>
        </w:rPr>
        <w:t xml:space="preserve">   </w:t>
      </w:r>
      <w:r>
        <w:rPr>
          <w:rFonts w:ascii="宋体" w:eastAsia="宋体" w:hAnsi="宋体" w:cs="宋体"/>
          <w:color w:val="2E2901"/>
          <w:spacing w:val="-6"/>
          <w:position w:val="19"/>
          <w:sz w:val="10"/>
          <w:szCs w:val="10"/>
          <w:u w:val="single" w:color="008000"/>
        </w:rPr>
        <w:t xml:space="preserve">1+    </w:t>
      </w:r>
      <w:r>
        <w:rPr>
          <w:rFonts w:ascii="Times New Roman" w:eastAsia="Times New Roman" w:hAnsi="Times New Roman" w:cs="Times New Roman"/>
          <w:spacing w:val="-6"/>
          <w:sz w:val="27"/>
          <w:szCs w:val="27"/>
          <w:u w:val="single" w:color="008000"/>
        </w:rPr>
        <w:t>B₀(a²+m)</w:t>
      </w:r>
      <w:r>
        <w:rPr>
          <w:rFonts w:ascii="Times New Roman" w:eastAsia="Times New Roman" w:hAnsi="Times New Roman" w:cs="Times New Roman"/>
          <w:spacing w:val="5"/>
          <w:sz w:val="27"/>
          <w:szCs w:val="27"/>
          <w:u w:val="single" w:color="008000"/>
        </w:rPr>
        <w:t xml:space="preserve">    </w:t>
      </w:r>
      <w:r>
        <w:rPr>
          <w:rFonts w:ascii="宋体" w:eastAsia="宋体" w:hAnsi="宋体" w:cs="宋体"/>
          <w:spacing w:val="-6"/>
          <w:position w:val="21"/>
          <w:sz w:val="27"/>
          <w:szCs w:val="27"/>
          <w:u w:val="single" w:color="008000"/>
        </w:rPr>
        <w:t>1(19+273)-273</w:t>
      </w:r>
      <w:r>
        <w:rPr>
          <w:rFonts w:ascii="宋体" w:eastAsia="宋体" w:hAnsi="宋体" w:cs="宋体"/>
          <w:position w:val="21"/>
          <w:sz w:val="27"/>
          <w:szCs w:val="27"/>
          <w:u w:val="single" w:color="008000"/>
        </w:rPr>
        <w:t xml:space="preserve">  </w:t>
      </w:r>
    </w:p>
    <w:p>
      <w:pPr>
        <w:spacing w:before="145" w:line="248" w:lineRule="auto"/>
        <w:ind w:left="959" w:right="798" w:hanging="135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spacing w:val="3"/>
          <w:sz w:val="27"/>
          <w:szCs w:val="27"/>
        </w:rPr>
        <w:t>“</w:t>
      </w:r>
      <w:r>
        <w:rPr>
          <w:rFonts w:ascii="宋体" w:eastAsia="宋体" w:hAnsi="宋体" w:cs="宋体"/>
          <w:b/>
          <w:bCs/>
          <w:spacing w:val="3"/>
          <w:sz w:val="27"/>
          <w:szCs w:val="27"/>
        </w:rPr>
        <w:t>炉膛主控温度区”为初级减排的主要监控区之一；</w:t>
      </w:r>
      <w:r>
        <w:rPr>
          <w:rFonts w:ascii="宋体" w:eastAsia="宋体" w:hAnsi="宋体" w:cs="宋体"/>
          <w:b/>
          <w:bCs/>
          <w:color w:val="C60000"/>
          <w:spacing w:val="3"/>
          <w:sz w:val="27"/>
          <w:szCs w:val="27"/>
        </w:rPr>
        <w:t>炉膛主控温度随着负荷增减而</w:t>
      </w:r>
      <w:r>
        <w:rPr>
          <w:rFonts w:ascii="宋体" w:eastAsia="宋体" w:hAnsi="宋体" w:cs="宋体"/>
          <w:b/>
          <w:bCs/>
          <w:color w:val="C60000"/>
          <w:spacing w:val="2"/>
          <w:sz w:val="27"/>
          <w:szCs w:val="27"/>
        </w:rPr>
        <w:t>移动，但在任何运行工</w:t>
      </w:r>
      <w:r>
        <w:rPr>
          <w:rFonts w:ascii="宋体" w:eastAsia="宋体" w:hAnsi="宋体" w:cs="宋体"/>
          <w:color w:val="C60000"/>
          <w:spacing w:val="2"/>
          <w:sz w:val="27"/>
          <w:szCs w:val="27"/>
        </w:rPr>
        <w:t xml:space="preserve"> </w:t>
      </w:r>
      <w:r>
        <w:rPr>
          <w:rFonts w:ascii="宋体" w:eastAsia="宋体" w:hAnsi="宋体" w:cs="宋体"/>
          <w:color w:val="C60000"/>
          <w:spacing w:val="4"/>
          <w:sz w:val="27"/>
          <w:szCs w:val="27"/>
        </w:rPr>
        <w:t>况下，应在主控温度区内。</w:t>
      </w:r>
    </w:p>
    <w:p>
      <w:pPr>
        <w:spacing w:before="308" w:line="219" w:lineRule="auto"/>
        <w:ind w:left="959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color w:val="BE0000"/>
          <w:spacing w:val="8"/>
          <w:sz w:val="27"/>
          <w:szCs w:val="27"/>
        </w:rPr>
        <w:t>水冷壁+耐火材料的复合式炉墙——辐射吸热比例</w:t>
      </w:r>
      <w:r>
        <w:rPr>
          <w:rFonts w:ascii="宋体" w:eastAsia="宋体" w:hAnsi="宋体" w:cs="宋体"/>
          <w:color w:val="BE0000"/>
          <w:spacing w:val="7"/>
          <w:sz w:val="27"/>
          <w:szCs w:val="27"/>
        </w:rPr>
        <w:t>降低，设计按耐火涂料H=0.3F</w:t>
      </w:r>
      <w:r>
        <w:rPr>
          <w:rFonts w:ascii="宋体" w:eastAsia="宋体" w:hAnsi="宋体" w:cs="宋体"/>
          <w:color w:val="BE0000"/>
          <w:spacing w:val="-21"/>
          <w:sz w:val="27"/>
          <w:szCs w:val="27"/>
        </w:rPr>
        <w:t xml:space="preserve"> </w:t>
      </w:r>
      <w:r>
        <w:rPr>
          <w:rFonts w:ascii="宋体" w:eastAsia="宋体" w:hAnsi="宋体" w:cs="宋体"/>
          <w:color w:val="BE0000"/>
          <w:spacing w:val="7"/>
          <w:sz w:val="27"/>
          <w:szCs w:val="27"/>
        </w:rPr>
        <w:t>确定。</w:t>
      </w:r>
    </w:p>
    <w:p>
      <w:pPr>
        <w:spacing w:before="224" w:line="251" w:lineRule="auto"/>
        <w:ind w:left="863" w:right="589"/>
        <w:jc w:val="both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b/>
          <w:bCs/>
          <w:spacing w:val="17"/>
          <w:sz w:val="27"/>
          <w:szCs w:val="27"/>
        </w:rPr>
        <w:t>水冷壁管内壁被工质冷却，外壁受高温烟气辐射(膨胀、压缩应力),内外壁温差60～80℃;管壁热阻不</w:t>
      </w:r>
      <w:r>
        <w:rPr>
          <w:rFonts w:ascii="宋体" w:eastAsia="宋体" w:hAnsi="宋体" w:cs="宋体"/>
          <w:spacing w:val="17"/>
          <w:sz w:val="27"/>
          <w:szCs w:val="27"/>
        </w:rPr>
        <w:t xml:space="preserve"> </w:t>
      </w:r>
      <w:r>
        <w:rPr>
          <w:rFonts w:ascii="宋体" w:eastAsia="宋体" w:hAnsi="宋体" w:cs="宋体"/>
          <w:b/>
          <w:bCs/>
          <w:spacing w:val="6"/>
          <w:sz w:val="27"/>
          <w:szCs w:val="27"/>
        </w:rPr>
        <w:t>大但热负荷很高。管外壁温度高内壁温度低，会阻止外壁膨胀并承受拉伸应力，从而产生热应力。承压部</w:t>
      </w:r>
      <w:r>
        <w:rPr>
          <w:rFonts w:ascii="宋体" w:eastAsia="宋体" w:hAnsi="宋体" w:cs="宋体"/>
          <w:spacing w:val="4"/>
          <w:sz w:val="27"/>
          <w:szCs w:val="27"/>
        </w:rPr>
        <w:t xml:space="preserve">  </w:t>
      </w:r>
      <w:r>
        <w:rPr>
          <w:rFonts w:ascii="宋体" w:eastAsia="宋体" w:hAnsi="宋体" w:cs="宋体"/>
          <w:b/>
          <w:bCs/>
          <w:spacing w:val="7"/>
          <w:sz w:val="27"/>
          <w:szCs w:val="27"/>
        </w:rPr>
        <w:t>件的自由膨胀受到限制时还会产生</w:t>
      </w:r>
      <w:r>
        <w:rPr>
          <w:rFonts w:ascii="宋体" w:eastAsia="宋体" w:hAnsi="宋体" w:cs="宋体"/>
          <w:b/>
          <w:bCs/>
          <w:color w:val="C40000"/>
          <w:spacing w:val="7"/>
          <w:sz w:val="27"/>
          <w:szCs w:val="27"/>
        </w:rPr>
        <w:t>附加应力</w:t>
      </w:r>
      <w:r>
        <w:rPr>
          <w:rFonts w:ascii="宋体" w:eastAsia="宋体" w:hAnsi="宋体" w:cs="宋体"/>
          <w:b/>
          <w:bCs/>
          <w:spacing w:val="7"/>
          <w:sz w:val="27"/>
          <w:szCs w:val="27"/>
        </w:rPr>
        <w:t>，造成应</w:t>
      </w:r>
      <w:r>
        <w:rPr>
          <w:rFonts w:ascii="宋体" w:eastAsia="宋体" w:hAnsi="宋体" w:cs="宋体"/>
          <w:b/>
          <w:bCs/>
          <w:spacing w:val="6"/>
          <w:sz w:val="27"/>
          <w:szCs w:val="27"/>
        </w:rPr>
        <w:t>力叠加或应力集中。设计有按预定方向自由膨胀措</w:t>
      </w:r>
    </w:p>
    <w:p>
      <w:pPr>
        <w:spacing w:before="203" w:line="220" w:lineRule="auto"/>
        <w:ind w:left="443"/>
        <w:outlineLvl w:val="6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b/>
          <w:bCs/>
          <w:spacing w:val="-14"/>
          <w:sz w:val="27"/>
          <w:szCs w:val="27"/>
        </w:rPr>
        <w:t>3、</w:t>
      </w:r>
      <w:r>
        <w:rPr>
          <w:rFonts w:ascii="宋体" w:eastAsia="宋体" w:hAnsi="宋体" w:cs="宋体"/>
          <w:spacing w:val="-64"/>
          <w:sz w:val="27"/>
          <w:szCs w:val="27"/>
        </w:rPr>
        <w:t xml:space="preserve"> </w:t>
      </w:r>
      <w:r>
        <w:rPr>
          <w:rFonts w:ascii="宋体" w:eastAsia="宋体" w:hAnsi="宋体" w:cs="宋体"/>
          <w:b/>
          <w:bCs/>
          <w:spacing w:val="-14"/>
          <w:sz w:val="27"/>
          <w:szCs w:val="27"/>
        </w:rPr>
        <w:t>现场监控：</w:t>
      </w:r>
    </w:p>
    <w:p>
      <w:pPr>
        <w:spacing w:before="126" w:line="175" w:lineRule="auto"/>
        <w:ind w:left="86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b/>
          <w:bCs/>
          <w:spacing w:val="7"/>
          <w:sz w:val="27"/>
          <w:szCs w:val="27"/>
        </w:rPr>
        <w:t>汽水与烟风状态参数</w:t>
      </w:r>
    </w:p>
    <w:p>
      <w:pPr>
        <w:spacing w:before="2" w:line="173" w:lineRule="auto"/>
        <w:ind w:left="1380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b/>
          <w:bCs/>
          <w:color w:val="1E78A6"/>
          <w:spacing w:val="-11"/>
          <w:sz w:val="27"/>
          <w:szCs w:val="27"/>
        </w:rPr>
        <w:t>19</w:t>
      </w:r>
    </w:p>
    <w:p>
      <w:pPr>
        <w:spacing w:line="173" w:lineRule="auto"/>
        <w:rPr>
          <w:rFonts w:ascii="宋体" w:eastAsia="宋体" w:hAnsi="宋体" w:cs="宋体"/>
          <w:sz w:val="27"/>
          <w:szCs w:val="27"/>
        </w:rPr>
        <w:sectPr>
          <w:headerReference w:type="default" r:id="rId47"/>
          <w:pgSz w:w="16840" w:h="11910"/>
          <w:pgMar w:top="400" w:right="1259" w:bottom="0" w:left="1270" w:header="0" w:footer="0" w:gutter="0"/>
          <w:pgNumType w:start="21"/>
          <w:cols w:space="708"/>
        </w:sectPr>
      </w:pPr>
    </w:p>
    <w:p>
      <w:pPr>
        <w:pStyle w:val="BodyText"/>
        <w:spacing w:line="241" w:lineRule="auto"/>
      </w:pPr>
      <w:r>
        <w:pict>
          <v:shape id="IM 36" o:spid="_x0000_s1108" type="#_x0000_t75" style="width:176pt;height:54.5pt;margin-top:211.95pt;margin-left:584.95pt;mso-position-horizontal-relative:page;mso-position-vertical-relative:page;mso-wrap-distance-left:0;mso-wrap-distance-right:0;position:absolute;z-index:251706368" o:allowincell="f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line="1050" w:lineRule="exact"/>
      </w:pPr>
      <w:r>
        <w:rPr>
          <w:position w:val="-20"/>
        </w:rPr>
        <w:pict>
          <v:group id="组合 68" o:spid="_x0000_i1109" style="width:715.05pt;height:52.5pt;mso-position-horizontal-relative:char;mso-position-vertical-relative:line" coordorigin="0,0" coordsize="14300,1050">
            <v:shape id="图片 69" o:spid="_x0000_s1110" type="#_x0000_t75" style="width:14300;height:1050;position:absolute" filled="f" stroked="f">
              <v:imagedata r:id="rId49" o:title=""/>
              <v:path o:extrusionok="f"/>
              <o:lock v:ext="edit" aspectratio="t"/>
            </v:shape>
            <v:shape id="文本框 70" o:spid="_x0000_s1111" type="#_x0000_t202" style="width:14340;height:109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357" w:line="220" w:lineRule="auto"/>
                      <w:ind w:left="416"/>
                      <w:outlineLvl w:val="6"/>
                      <w:rPr>
                        <w:rFonts w:ascii="黑体" w:eastAsia="黑体" w:hAnsi="黑体" w:cs="黑体"/>
                        <w:sz w:val="48"/>
                        <w:szCs w:val="48"/>
                      </w:rPr>
                    </w:pPr>
                    <w:r>
                      <w:rPr>
                        <w:rFonts w:ascii="黑体" w:eastAsia="黑体" w:hAnsi="黑体" w:cs="黑体"/>
                        <w:b/>
                        <w:bCs/>
                        <w:color w:val="FFFFFF"/>
                        <w:spacing w:val="54"/>
                        <w:sz w:val="48"/>
                        <w:szCs w:val="48"/>
                      </w:rPr>
                      <w:t>三</w:t>
                    </w:r>
                    <w:r>
                      <w:rPr>
                        <w:rFonts w:ascii="黑体" w:eastAsia="黑体" w:hAnsi="黑体" w:cs="黑体"/>
                        <w:color w:val="FFFFFF"/>
                        <w:spacing w:val="-32"/>
                        <w:sz w:val="48"/>
                        <w:szCs w:val="48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color w:val="FFFFFF"/>
                        <w:spacing w:val="54"/>
                        <w:sz w:val="48"/>
                        <w:szCs w:val="48"/>
                      </w:rPr>
                      <w:t>、垃圾焚烧锅炉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color w:val="FFFF00"/>
                        <w:spacing w:val="-33"/>
                        <w:w w:val="90"/>
                        <w:sz w:val="48"/>
                        <w:szCs w:val="48"/>
                      </w:rPr>
                      <w:t>——炉膛的功能性区域特征与初级减排控制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37" w:line="222" w:lineRule="auto"/>
        <w:ind w:left="250"/>
        <w:outlineLvl w:val="6"/>
        <w:rPr>
          <w:rFonts w:ascii="黑体" w:eastAsia="黑体" w:hAnsi="黑体" w:cs="黑体"/>
          <w:sz w:val="28"/>
          <w:szCs w:val="28"/>
        </w:rPr>
      </w:pPr>
      <w:r>
        <w:rPr>
          <w:b/>
          <w:bCs/>
          <w:color w:val="BD0000"/>
          <w:sz w:val="28"/>
          <w:szCs w:val="28"/>
        </w:rPr>
        <w:t>IV</w:t>
      </w:r>
      <w:r>
        <w:rPr>
          <w:rFonts w:ascii="宋体" w:eastAsia="宋体" w:hAnsi="宋体" w:cs="宋体"/>
          <w:b/>
          <w:bCs/>
          <w:color w:val="BD0000"/>
          <w:spacing w:val="18"/>
          <w:sz w:val="28"/>
          <w:szCs w:val="28"/>
        </w:rPr>
        <w:t>、</w:t>
      </w:r>
      <w:r>
        <w:rPr>
          <w:rFonts w:ascii="黑体" w:eastAsia="黑体" w:hAnsi="黑体" w:cs="黑体"/>
          <w:b/>
          <w:bCs/>
          <w:color w:val="BD0000"/>
          <w:spacing w:val="18"/>
          <w:sz w:val="28"/>
          <w:szCs w:val="28"/>
        </w:rPr>
        <w:t>炉膛出口区</w:t>
      </w:r>
    </w:p>
    <w:p>
      <w:pPr>
        <w:spacing w:before="162" w:line="225" w:lineRule="auto"/>
        <w:ind w:left="254"/>
        <w:outlineLvl w:val="6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6"/>
          <w:sz w:val="28"/>
          <w:szCs w:val="28"/>
        </w:rPr>
        <w:t>1、理论基础</w:t>
      </w:r>
    </w:p>
    <w:p>
      <w:pPr>
        <w:spacing w:before="176" w:line="217" w:lineRule="auto"/>
        <w:ind w:left="39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1"/>
          <w:sz w:val="28"/>
          <w:szCs w:val="28"/>
        </w:rPr>
        <w:t>①传热学的辐射理论，热平衡同辐射区；②与烟气辐射通道、蒸发器共同达到</w:t>
      </w:r>
    </w:p>
    <w:p>
      <w:pPr>
        <w:spacing w:before="74" w:line="217" w:lineRule="auto"/>
        <w:ind w:left="49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加热吸热比例；③炉膛负压状态值为炉膛内测量点</w:t>
      </w:r>
      <w:r>
        <w:rPr>
          <w:rFonts w:ascii="宋体" w:eastAsia="宋体" w:hAnsi="宋体" w:cs="宋体"/>
          <w:spacing w:val="-1"/>
          <w:sz w:val="28"/>
          <w:szCs w:val="28"/>
        </w:rPr>
        <w:t>处的绝对压力与该测点标高</w:t>
      </w:r>
    </w:p>
    <w:p>
      <w:pPr>
        <w:spacing w:before="70" w:line="216" w:lineRule="auto"/>
        <w:ind w:left="49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7"/>
          <w:sz w:val="28"/>
          <w:szCs w:val="28"/>
        </w:rPr>
        <w:t>处绝对大气压力的差值④8,”可根据炉膛整体状态按下式计算，允</w:t>
      </w:r>
      <w:r>
        <w:rPr>
          <w:rFonts w:ascii="宋体" w:eastAsia="宋体" w:hAnsi="宋体" w:cs="宋体"/>
          <w:spacing w:val="-8"/>
          <w:sz w:val="28"/>
          <w:szCs w:val="28"/>
        </w:rPr>
        <w:t>许误差±</w:t>
      </w:r>
      <w:r>
        <w:rPr>
          <w:rFonts w:ascii="宋体" w:eastAsia="宋体" w:hAnsi="宋体" w:cs="宋体"/>
          <w:b/>
          <w:bCs/>
          <w:spacing w:val="-8"/>
          <w:sz w:val="28"/>
          <w:szCs w:val="28"/>
        </w:rPr>
        <w:t>100</w:t>
      </w:r>
      <w:r>
        <w:rPr>
          <w:rFonts w:ascii="宋体" w:eastAsia="宋体" w:hAnsi="宋体" w:cs="宋体"/>
          <w:spacing w:val="-8"/>
          <w:sz w:val="28"/>
          <w:szCs w:val="28"/>
        </w:rPr>
        <w:t>℃;</w:t>
      </w:r>
    </w:p>
    <w:p>
      <w:pPr>
        <w:spacing w:before="183" w:line="219" w:lineRule="auto"/>
        <w:ind w:left="254"/>
        <w:outlineLvl w:val="6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7"/>
          <w:sz w:val="28"/>
          <w:szCs w:val="28"/>
        </w:rPr>
        <w:t>2、工程特征</w:t>
      </w:r>
    </w:p>
    <w:p>
      <w:pPr>
        <w:spacing w:before="198" w:line="238" w:lineRule="auto"/>
        <w:ind w:left="393" w:right="490" w:hanging="1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8"/>
          <w:sz w:val="28"/>
          <w:szCs w:val="28"/>
        </w:rPr>
        <w:t>不敷设耐火材料，9;”通过与水冷壁换热而降低，正常运行按</w:t>
      </w:r>
      <w:r>
        <w:rPr>
          <w:rFonts w:ascii="宋体" w:eastAsia="宋体" w:hAnsi="宋体" w:cs="宋体"/>
          <w:b/>
          <w:bCs/>
          <w:spacing w:val="-9"/>
          <w:sz w:val="28"/>
          <w:szCs w:val="28"/>
        </w:rPr>
        <w:t>800~950℃控制。炉膛出口烟气通过与后续二、</w:t>
      </w:r>
      <w:r>
        <w:rPr>
          <w:rFonts w:ascii="宋体" w:eastAsia="宋体" w:hAnsi="宋体" w:cs="宋体"/>
          <w:spacing w:val="-9"/>
          <w:sz w:val="28"/>
          <w:szCs w:val="28"/>
        </w:rPr>
        <w:t>三</w:t>
      </w:r>
      <w:r>
        <w:rPr>
          <w:rFonts w:ascii="宋体" w:eastAsia="宋体" w:hAnsi="宋体" w:cs="宋体"/>
          <w:sz w:val="28"/>
          <w:szCs w:val="28"/>
        </w:rPr>
        <w:t xml:space="preserve">   </w:t>
      </w:r>
      <w:r>
        <w:rPr>
          <w:rFonts w:ascii="宋体" w:eastAsia="宋体" w:hAnsi="宋体" w:cs="宋体"/>
          <w:b/>
          <w:bCs/>
          <w:spacing w:val="6"/>
          <w:sz w:val="28"/>
          <w:szCs w:val="28"/>
        </w:rPr>
        <w:t>烟道水冷壁辐射换热，冷却到&lt;650℃(多按约620℃控</w:t>
      </w:r>
      <w:r>
        <w:rPr>
          <w:rFonts w:ascii="宋体" w:eastAsia="宋体" w:hAnsi="宋体" w:cs="宋体"/>
          <w:b/>
          <w:bCs/>
          <w:spacing w:val="5"/>
          <w:sz w:val="28"/>
          <w:szCs w:val="28"/>
        </w:rPr>
        <w:t>制)进入对流受热面，以</w:t>
      </w:r>
      <w:r>
        <w:rPr>
          <w:rFonts w:ascii="宋体" w:eastAsia="宋体" w:hAnsi="宋体" w:cs="宋体"/>
          <w:spacing w:val="5"/>
          <w:sz w:val="28"/>
          <w:szCs w:val="28"/>
        </w:rPr>
        <w:t>减少过热器腐蚀，保证安全运</w:t>
      </w:r>
      <w:r>
        <w:rPr>
          <w:rFonts w:ascii="宋体" w:eastAsia="宋体" w:hAnsi="宋体" w:cs="宋体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3"/>
          <w:sz w:val="28"/>
          <w:szCs w:val="28"/>
        </w:rPr>
        <w:t>行。实际运行状态显示，若此区域温度&gt;9</w:t>
      </w:r>
      <w:r>
        <w:rPr>
          <w:rFonts w:ascii="宋体" w:eastAsia="宋体" w:hAnsi="宋体" w:cs="宋体"/>
          <w:b/>
          <w:bCs/>
          <w:spacing w:val="2"/>
          <w:sz w:val="28"/>
          <w:szCs w:val="28"/>
        </w:rPr>
        <w:t>70℃,对流受热面进口处的温度可</w:t>
      </w:r>
      <w:r>
        <w:rPr>
          <w:rFonts w:ascii="宋体" w:eastAsia="宋体" w:hAnsi="宋体" w:cs="宋体"/>
          <w:spacing w:val="2"/>
          <w:sz w:val="28"/>
          <w:szCs w:val="28"/>
        </w:rPr>
        <w:t>能会高过670℃。</w:t>
      </w:r>
    </w:p>
    <w:p>
      <w:pPr>
        <w:spacing w:before="214" w:line="219" w:lineRule="auto"/>
        <w:ind w:left="39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color w:val="BD0000"/>
          <w:spacing w:val="-9"/>
          <w:sz w:val="28"/>
          <w:szCs w:val="28"/>
        </w:rPr>
        <w:t>易多发水冷壁暴漏事故。</w:t>
      </w:r>
    </w:p>
    <w:p>
      <w:pPr>
        <w:spacing w:before="190" w:line="227" w:lineRule="auto"/>
        <w:ind w:left="334"/>
        <w:outlineLvl w:val="6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16"/>
          <w:sz w:val="28"/>
          <w:szCs w:val="28"/>
        </w:rPr>
        <w:t>3、</w:t>
      </w:r>
      <w:r>
        <w:rPr>
          <w:rFonts w:ascii="宋体" w:eastAsia="宋体" w:hAnsi="宋体" w:cs="宋体"/>
          <w:spacing w:val="-75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8"/>
          <w:szCs w:val="28"/>
        </w:rPr>
        <w:t>监盘</w:t>
      </w:r>
    </w:p>
    <w:p>
      <w:pPr>
        <w:spacing w:before="200" w:line="241" w:lineRule="auto"/>
        <w:ind w:left="373" w:right="525" w:firstLine="16"/>
        <w:jc w:val="both"/>
        <w:rPr>
          <w:rFonts w:ascii="宋体" w:eastAsia="宋体" w:hAnsi="宋体" w:cs="宋体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BE0000"/>
          <w:sz w:val="28"/>
          <w:szCs w:val="28"/>
        </w:rPr>
        <w:t>EU</w:t>
      </w:r>
      <w:r>
        <w:rPr>
          <w:rFonts w:ascii="宋体" w:eastAsia="宋体" w:hAnsi="宋体" w:cs="宋体"/>
          <w:b/>
          <w:bCs/>
          <w:color w:val="BE0000"/>
          <w:spacing w:val="2"/>
          <w:sz w:val="28"/>
          <w:szCs w:val="28"/>
        </w:rPr>
        <w:t>曾规定最小含氧量6%,此后的指导意见为，较低的炉膛温度，较短的停留时间和较低的烟气含氧量在一定</w:t>
      </w:r>
      <w:r>
        <w:rPr>
          <w:rFonts w:ascii="宋体" w:eastAsia="宋体" w:hAnsi="宋体" w:cs="宋体"/>
          <w:color w:val="BE0000"/>
          <w:spacing w:val="2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color w:val="BE0000"/>
          <w:spacing w:val="-1"/>
          <w:sz w:val="28"/>
          <w:szCs w:val="28"/>
        </w:rPr>
        <w:t>情况下仍然能够实现完全燃烧，并全面改善环境质量；废除了含氧量不低于6%规定。负面影响是可能增加腐</w:t>
      </w:r>
      <w:r>
        <w:rPr>
          <w:rFonts w:ascii="宋体" w:eastAsia="宋体" w:hAnsi="宋体" w:cs="宋体"/>
          <w:color w:val="BE0000"/>
          <w:spacing w:val="-1"/>
          <w:sz w:val="28"/>
          <w:szCs w:val="28"/>
        </w:rPr>
        <w:t xml:space="preserve">  </w:t>
      </w:r>
      <w:r>
        <w:rPr>
          <w:rFonts w:ascii="宋体" w:eastAsia="宋体" w:hAnsi="宋体" w:cs="宋体"/>
          <w:b/>
          <w:bCs/>
          <w:color w:val="BE0000"/>
          <w:spacing w:val="-3"/>
          <w:sz w:val="28"/>
          <w:szCs w:val="28"/>
        </w:rPr>
        <w:t>蚀性的危险，从而需要对材料进行特殊的保护。需要控制省</w:t>
      </w:r>
      <w:r>
        <w:rPr>
          <w:rFonts w:ascii="宋体" w:eastAsia="宋体" w:hAnsi="宋体" w:cs="宋体"/>
          <w:b/>
          <w:bCs/>
          <w:color w:val="BE0000"/>
          <w:spacing w:val="-4"/>
          <w:sz w:val="28"/>
          <w:szCs w:val="28"/>
        </w:rPr>
        <w:t>煤器出口O</w:t>
      </w:r>
      <w:r>
        <w:rPr>
          <w:rFonts w:ascii="Calibri" w:eastAsia="Calibri" w:hAnsi="Calibri" w:cs="Calibri"/>
          <w:b/>
          <w:bCs/>
          <w:color w:val="BE0000"/>
          <w:spacing w:val="-4"/>
          <w:sz w:val="28"/>
          <w:szCs w:val="28"/>
        </w:rPr>
        <w:t>₂</w:t>
      </w:r>
      <w:r>
        <w:rPr>
          <w:rFonts w:ascii="宋体" w:eastAsia="宋体" w:hAnsi="宋体" w:cs="宋体"/>
          <w:b/>
          <w:bCs/>
          <w:color w:val="BE0000"/>
          <w:spacing w:val="-4"/>
          <w:sz w:val="28"/>
          <w:szCs w:val="28"/>
        </w:rPr>
        <w:t>。</w:t>
      </w:r>
    </w:p>
    <w:p>
      <w:pPr>
        <w:spacing w:before="48" w:line="219" w:lineRule="auto"/>
        <w:ind w:left="393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控制炉膛出口区域负压推荐-50~-120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>Pa</w:t>
      </w:r>
      <w:r>
        <w:rPr>
          <w:rFonts w:ascii="Times New Roman" w:eastAsia="Times New Roman" w:hAnsi="Times New Roman" w:cs="Times New Roman"/>
          <w:b/>
          <w:bCs/>
          <w:spacing w:val="-31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。</w:t>
      </w:r>
      <w:r>
        <w:rPr>
          <w:rFonts w:ascii="宋体" w:eastAsia="宋体" w:hAnsi="宋体" w:cs="宋体"/>
          <w:spacing w:val="-5"/>
          <w:sz w:val="28"/>
          <w:szCs w:val="28"/>
        </w:rPr>
        <w:t xml:space="preserve">                                 </w:t>
      </w:r>
      <w:r>
        <w:rPr>
          <w:rFonts w:ascii="宋体" w:eastAsia="宋体" w:hAnsi="宋体" w:cs="宋体"/>
          <w:spacing w:val="-6"/>
          <w:sz w:val="28"/>
          <w:szCs w:val="28"/>
        </w:rPr>
        <w:t xml:space="preserve">                             </w:t>
      </w:r>
      <w:r>
        <w:rPr>
          <w:rFonts w:ascii="宋体" w:eastAsia="宋体" w:hAnsi="宋体" w:cs="宋体"/>
          <w:b/>
          <w:bCs/>
          <w:color w:val="2474A3"/>
          <w:spacing w:val="-6"/>
          <w:sz w:val="28"/>
          <w:szCs w:val="28"/>
        </w:rPr>
        <w:t>20</w:t>
      </w:r>
    </w:p>
    <w:p>
      <w:pPr>
        <w:spacing w:line="219" w:lineRule="auto"/>
        <w:rPr>
          <w:rFonts w:ascii="宋体" w:eastAsia="宋体" w:hAnsi="宋体" w:cs="宋体"/>
          <w:sz w:val="28"/>
          <w:szCs w:val="28"/>
        </w:rPr>
        <w:sectPr>
          <w:headerReference w:type="default" r:id="rId50"/>
          <w:pgSz w:w="16840" w:h="11910"/>
          <w:pgMar w:top="400" w:right="1259" w:bottom="0" w:left="1280" w:header="0" w:footer="0" w:gutter="0"/>
          <w:pgNumType w:start="22"/>
          <w:cols w:space="708"/>
        </w:sectPr>
      </w:pPr>
    </w:p>
    <w:p>
      <w:pPr>
        <w:pStyle w:val="BodyText"/>
        <w:spacing w:line="241" w:lineRule="auto"/>
      </w:pPr>
      <w:r>
        <w:pict>
          <v:shape id="IM 38" o:spid="_x0000_s1112" type="#_x0000_t75" style="width:273.5pt;height:227pt;margin-top:248pt;margin-left:495.95pt;mso-position-horizontal-relative:page;mso-position-vertical-relative:page;mso-wrap-distance-left:0;mso-wrap-distance-right:0;position:absolute;z-index:251708416" o:allowincell="f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line="1050" w:lineRule="exact"/>
      </w:pPr>
      <w:r>
        <w:rPr>
          <w:position w:val="-20"/>
        </w:rPr>
        <w:pict>
          <v:group id="组合 71" o:spid="_x0000_i1113" style="width:715.5pt;height:52.5pt;mso-position-horizontal-relative:char;mso-position-vertical-relative:line" coordorigin="0,0" coordsize="14310,1050">
            <v:shape id="图片 72" o:spid="_x0000_s1114" type="#_x0000_t75" style="width:14310;height:1050;position:absolute" filled="f" stroked="f">
              <v:imagedata r:id="rId52" o:title=""/>
              <v:path o:extrusionok="f"/>
              <o:lock v:ext="edit" aspectratio="t"/>
            </v:shape>
            <v:shape id="文本框 73" o:spid="_x0000_s1115" type="#_x0000_t202" style="width:14350;height:1090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309" w:line="220" w:lineRule="auto"/>
                      <w:ind w:left="469"/>
                      <w:rPr>
                        <w:rFonts w:ascii="黑体" w:eastAsia="黑体" w:hAnsi="黑体" w:cs="黑体"/>
                        <w:sz w:val="49"/>
                        <w:szCs w:val="49"/>
                      </w:rPr>
                    </w:pPr>
                    <w:r>
                      <w:rPr>
                        <w:rFonts w:ascii="黑体" w:eastAsia="黑体" w:hAnsi="黑体" w:cs="黑体"/>
                        <w:color w:val="FFFFFF"/>
                        <w:spacing w:val="12"/>
                        <w:sz w:val="49"/>
                        <w:szCs w:val="49"/>
                      </w:rPr>
                      <w:t>三 、垃圾焚烧锅炉——</w:t>
                    </w:r>
                    <w:r>
                      <w:rPr>
                        <w:rFonts w:ascii="黑体" w:eastAsia="黑体" w:hAnsi="黑体" w:cs="黑体"/>
                        <w:b/>
                        <w:bCs/>
                        <w:color w:val="FFFF00"/>
                        <w:spacing w:val="-36"/>
                        <w:w w:val="89"/>
                        <w:sz w:val="49"/>
                        <w:szCs w:val="49"/>
                      </w:rPr>
                      <w:t>炉膛的功能性区域特征与初级减排控制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407" w:lineRule="auto"/>
      </w:pPr>
    </w:p>
    <w:p>
      <w:pPr>
        <w:spacing w:before="117" w:line="222" w:lineRule="auto"/>
        <w:ind w:left="360"/>
        <w:rPr>
          <w:rFonts w:ascii="黑体" w:eastAsia="黑体" w:hAnsi="黑体" w:cs="黑体"/>
          <w:sz w:val="36"/>
          <w:szCs w:val="36"/>
        </w:rPr>
      </w:pPr>
      <w:r>
        <w:pict>
          <v:shape id="IM 40" o:spid="_x0000_s1116" type="#_x0000_t75" style="width:698pt;height:322pt;margin-top:-8.5pt;margin-left:7.95pt;mso-wrap-distance-left:0;mso-wrap-distance-right:0;position:absolute;z-index:-251609088" o:preferrelative="t" filled="f" stroked="f">
            <v:fill o:detectmouseclick="t"/>
            <v:imagedata r:id="rId53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spacing w:val="-7"/>
          <w:sz w:val="36"/>
          <w:szCs w:val="36"/>
        </w:rPr>
        <w:t>■</w:t>
      </w:r>
      <w:r>
        <w:rPr>
          <w:rFonts w:ascii="黑体" w:eastAsia="黑体" w:hAnsi="黑体" w:cs="黑体"/>
          <w:spacing w:val="44"/>
          <w:sz w:val="36"/>
          <w:szCs w:val="36"/>
        </w:rPr>
        <w:t xml:space="preserve"> </w:t>
      </w:r>
      <w:r>
        <w:rPr>
          <w:rFonts w:ascii="黑体" w:eastAsia="黑体" w:hAnsi="黑体" w:cs="黑体"/>
          <w:b/>
          <w:bCs/>
          <w:spacing w:val="-7"/>
          <w:sz w:val="36"/>
          <w:szCs w:val="36"/>
        </w:rPr>
        <w:t>炉膛主控温度设计</w:t>
      </w:r>
    </w:p>
    <w:p>
      <w:pPr>
        <w:spacing w:before="25" w:line="245" w:lineRule="auto"/>
        <w:ind w:left="763" w:right="704" w:hanging="403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-3"/>
          <w:sz w:val="28"/>
          <w:szCs w:val="28"/>
        </w:rPr>
        <w:t>&gt;</w:t>
      </w:r>
      <w:r>
        <w:rPr>
          <w:rFonts w:ascii="黑体" w:eastAsia="黑体" w:hAnsi="黑体" w:cs="黑体"/>
          <w:spacing w:val="83"/>
          <w:sz w:val="28"/>
          <w:szCs w:val="28"/>
        </w:rPr>
        <w:t xml:space="preserve"> </w:t>
      </w:r>
      <w:r>
        <w:rPr>
          <w:rFonts w:ascii="黑体" w:eastAsia="黑体" w:hAnsi="黑体" w:cs="黑体"/>
          <w:b/>
          <w:bCs/>
          <w:spacing w:val="-3"/>
          <w:sz w:val="28"/>
          <w:szCs w:val="28"/>
        </w:rPr>
        <w:t>炉膛主控温度检测方法，热电偶侧墙测温直读；热电偶炉顶测温+修正计算；</w:t>
      </w:r>
      <w:r>
        <w:rPr>
          <w:rFonts w:ascii="黑体" w:eastAsia="黑体" w:hAnsi="黑体" w:cs="黑体"/>
          <w:b/>
          <w:bCs/>
          <w:spacing w:val="-4"/>
          <w:sz w:val="28"/>
          <w:szCs w:val="28"/>
        </w:rPr>
        <w:t>光学测温+修正计算。只限定</w:t>
      </w:r>
      <w:r>
        <w:rPr>
          <w:rFonts w:ascii="黑体" w:eastAsia="黑体" w:hAnsi="黑体" w:cs="黑体"/>
          <w:sz w:val="28"/>
          <w:szCs w:val="28"/>
        </w:rPr>
        <w:t xml:space="preserve">  </w:t>
      </w:r>
      <w:r>
        <w:rPr>
          <w:rFonts w:ascii="黑体" w:eastAsia="黑体" w:hAnsi="黑体" w:cs="黑体"/>
          <w:b/>
          <w:bCs/>
          <w:spacing w:val="-4"/>
          <w:sz w:val="28"/>
          <w:szCs w:val="28"/>
        </w:rPr>
        <w:t>侧墙直读法的做法是值得磋商。但针对炉膛侧墙检测点的情况，推荐下图所示炉膛主控温度实时状态的监</w:t>
      </w:r>
      <w:r>
        <w:rPr>
          <w:rFonts w:ascii="黑体" w:eastAsia="黑体" w:hAnsi="黑体" w:cs="黑体"/>
          <w:spacing w:val="-4"/>
          <w:sz w:val="28"/>
          <w:szCs w:val="28"/>
        </w:rPr>
        <w:t xml:space="preserve"> </w:t>
      </w:r>
      <w:r>
        <w:rPr>
          <w:rFonts w:ascii="黑体" w:eastAsia="黑体" w:hAnsi="黑体" w:cs="黑体"/>
          <w:b/>
          <w:bCs/>
          <w:spacing w:val="-8"/>
          <w:sz w:val="28"/>
          <w:szCs w:val="28"/>
        </w:rPr>
        <w:t>控与监督的做法。</w:t>
      </w:r>
    </w:p>
    <w:p>
      <w:pPr>
        <w:pStyle w:val="BodyText"/>
        <w:spacing w:line="248" w:lineRule="auto"/>
      </w:pPr>
    </w:p>
    <w:p>
      <w:pPr>
        <w:pStyle w:val="BodyText"/>
        <w:spacing w:line="249" w:lineRule="auto"/>
      </w:pPr>
    </w:p>
    <w:p>
      <w:pPr>
        <w:spacing w:before="117" w:line="222" w:lineRule="auto"/>
        <w:ind w:left="36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/>
          <w:spacing w:val="-14"/>
          <w:sz w:val="36"/>
          <w:szCs w:val="36"/>
        </w:rPr>
        <w:t>■</w:t>
      </w:r>
      <w:r>
        <w:rPr>
          <w:rFonts w:ascii="黑体" w:eastAsia="黑体" w:hAnsi="黑体" w:cs="黑体"/>
          <w:spacing w:val="104"/>
          <w:sz w:val="36"/>
          <w:szCs w:val="36"/>
        </w:rPr>
        <w:t xml:space="preserve"> </w:t>
      </w:r>
      <w:r>
        <w:rPr>
          <w:rFonts w:ascii="黑体" w:eastAsia="黑体" w:hAnsi="黑体" w:cs="黑体"/>
          <w:b/>
          <w:bCs/>
          <w:spacing w:val="-14"/>
          <w:sz w:val="36"/>
          <w:szCs w:val="36"/>
        </w:rPr>
        <w:t>炉膛主控温度核查</w:t>
      </w:r>
    </w:p>
    <w:p>
      <w:pPr>
        <w:spacing w:before="172" w:line="213" w:lineRule="auto"/>
        <w:ind w:left="3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-4"/>
          <w:sz w:val="28"/>
          <w:szCs w:val="28"/>
        </w:rPr>
        <w:t>&gt;</w:t>
      </w:r>
      <w:r>
        <w:rPr>
          <w:rFonts w:ascii="黑体" w:eastAsia="黑体" w:hAnsi="黑体" w:cs="黑体"/>
          <w:spacing w:val="82"/>
          <w:sz w:val="28"/>
          <w:szCs w:val="28"/>
        </w:rPr>
        <w:t xml:space="preserve"> </w:t>
      </w:r>
      <w:r>
        <w:rPr>
          <w:rFonts w:ascii="黑体" w:eastAsia="黑体" w:hAnsi="黑体" w:cs="黑体"/>
          <w:b/>
          <w:bCs/>
          <w:spacing w:val="-4"/>
          <w:sz w:val="28"/>
          <w:szCs w:val="28"/>
        </w:rPr>
        <w:t>温度区间，任一小时且不重复计时段</w:t>
      </w:r>
    </w:p>
    <w:p>
      <w:pPr>
        <w:spacing w:before="168" w:line="221" w:lineRule="auto"/>
        <w:ind w:left="360"/>
        <w:rPr>
          <w:rFonts w:ascii="宋体" w:eastAsia="宋体" w:hAnsi="宋体" w:cs="宋体"/>
          <w:sz w:val="28"/>
          <w:szCs w:val="28"/>
        </w:rPr>
      </w:pPr>
      <w:r>
        <w:rPr>
          <w:rFonts w:ascii="黑体" w:eastAsia="黑体" w:hAnsi="黑体" w:cs="黑体"/>
          <w:spacing w:val="-2"/>
          <w:sz w:val="28"/>
          <w:szCs w:val="28"/>
        </w:rPr>
        <w:t>&gt;</w:t>
      </w:r>
      <w:r>
        <w:rPr>
          <w:rFonts w:ascii="黑体" w:eastAsia="黑体" w:hAnsi="黑体" w:cs="黑体"/>
          <w:spacing w:val="101"/>
          <w:sz w:val="28"/>
          <w:szCs w:val="28"/>
        </w:rPr>
        <w:t xml:space="preserve"> </w:t>
      </w:r>
      <w:r>
        <w:rPr>
          <w:rFonts w:ascii="黑体" w:eastAsia="黑体" w:hAnsi="黑体" w:cs="黑体"/>
          <w:b/>
          <w:bCs/>
          <w:spacing w:val="-2"/>
          <w:sz w:val="28"/>
          <w:szCs w:val="28"/>
        </w:rPr>
        <w:t>炉膛主控温度区会随着负荷降低下移</w:t>
      </w:r>
      <w:r>
        <w:rPr>
          <w:rFonts w:ascii="黑体" w:eastAsia="黑体" w:hAnsi="黑体" w:cs="黑体"/>
          <w:spacing w:val="-2"/>
          <w:sz w:val="28"/>
          <w:szCs w:val="28"/>
        </w:rPr>
        <w:t xml:space="preserve"> </w:t>
      </w:r>
      <w:r>
        <w:rPr>
          <w:rFonts w:ascii="黑体" w:eastAsia="黑体" w:hAnsi="黑体" w:cs="黑体"/>
          <w:b/>
          <w:bCs/>
          <w:spacing w:val="-2"/>
          <w:sz w:val="28"/>
          <w:szCs w:val="28"/>
        </w:rPr>
        <w:t>运行控制</w:t>
      </w:r>
      <w:r>
        <w:rPr>
          <w:rFonts w:ascii="宋体" w:eastAsia="宋体" w:hAnsi="宋体" w:cs="宋体"/>
          <w:spacing w:val="-2"/>
          <w:sz w:val="28"/>
          <w:szCs w:val="28"/>
        </w:rPr>
        <w:t>：</w:t>
      </w:r>
    </w:p>
    <w:p>
      <w:pPr>
        <w:spacing w:before="151" w:line="512" w:lineRule="exact"/>
        <w:ind w:left="71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8"/>
          <w:position w:val="17"/>
          <w:sz w:val="28"/>
          <w:szCs w:val="28"/>
        </w:rPr>
        <w:t>垃圾焚烧锅炉日均负荷率控制在0.8~1.1区间，避免超0</w:t>
      </w:r>
      <w:r>
        <w:rPr>
          <w:rFonts w:ascii="宋体" w:eastAsia="宋体" w:hAnsi="宋体" w:cs="宋体"/>
          <w:spacing w:val="-9"/>
          <w:position w:val="17"/>
          <w:sz w:val="28"/>
          <w:szCs w:val="28"/>
        </w:rPr>
        <w:t>.7~1.2范围</w:t>
      </w:r>
    </w:p>
    <w:p>
      <w:pPr>
        <w:spacing w:before="2" w:line="212" w:lineRule="auto"/>
        <w:ind w:left="360"/>
        <w:rPr>
          <w:rFonts w:ascii="宋体" w:eastAsia="宋体" w:hAnsi="宋体" w:cs="宋体"/>
          <w:sz w:val="28"/>
          <w:szCs w:val="28"/>
        </w:rPr>
      </w:pPr>
      <w:r>
        <w:rPr>
          <w:rFonts w:ascii="黑体" w:eastAsia="黑体" w:hAnsi="黑体" w:cs="黑体"/>
          <w:spacing w:val="-3"/>
          <w:sz w:val="28"/>
          <w:szCs w:val="28"/>
        </w:rPr>
        <w:t>&gt;</w:t>
      </w:r>
      <w:r>
        <w:rPr>
          <w:rFonts w:ascii="黑体" w:eastAsia="黑体" w:hAnsi="黑体" w:cs="黑体"/>
          <w:spacing w:val="82"/>
          <w:sz w:val="28"/>
          <w:szCs w:val="28"/>
        </w:rPr>
        <w:t xml:space="preserve"> </w:t>
      </w:r>
      <w:r>
        <w:rPr>
          <w:rFonts w:ascii="黑体" w:eastAsia="黑体" w:hAnsi="黑体" w:cs="黑体"/>
          <w:b/>
          <w:bCs/>
          <w:spacing w:val="-3"/>
          <w:sz w:val="28"/>
          <w:szCs w:val="28"/>
        </w:rPr>
        <w:t>焚烧垃圾热值大于</w:t>
      </w:r>
      <w:r>
        <w:rPr>
          <w:rFonts w:ascii="宋体" w:eastAsia="宋体" w:hAnsi="宋体" w:cs="宋体"/>
          <w:b/>
          <w:bCs/>
          <w:spacing w:val="-3"/>
          <w:sz w:val="28"/>
          <w:szCs w:val="28"/>
        </w:rPr>
        <w:t>MCR</w:t>
      </w:r>
      <w:r>
        <w:rPr>
          <w:rFonts w:ascii="黑体" w:eastAsia="黑体" w:hAnsi="黑体" w:cs="黑体"/>
          <w:b/>
          <w:bCs/>
          <w:spacing w:val="-3"/>
          <w:sz w:val="28"/>
          <w:szCs w:val="28"/>
        </w:rPr>
        <w:t>点时，应控制负荷运行</w:t>
      </w:r>
      <w:r>
        <w:rPr>
          <w:rFonts w:ascii="黑体" w:eastAsia="黑体" w:hAnsi="黑体" w:cs="黑体"/>
          <w:spacing w:val="42"/>
          <w:sz w:val="28"/>
          <w:szCs w:val="28"/>
        </w:rPr>
        <w:t xml:space="preserve">  </w:t>
      </w:r>
      <w:r>
        <w:rPr>
          <w:rFonts w:ascii="宋体" w:eastAsia="宋体" w:hAnsi="宋体" w:cs="宋体"/>
          <w:spacing w:val="-3"/>
          <w:sz w:val="28"/>
          <w:szCs w:val="28"/>
        </w:rPr>
        <w:t>环保措施：</w:t>
      </w:r>
    </w:p>
    <w:p>
      <w:pPr>
        <w:spacing w:before="150" w:line="460" w:lineRule="exact"/>
        <w:ind w:left="763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3"/>
          <w:position w:val="13"/>
          <w:sz w:val="28"/>
          <w:szCs w:val="28"/>
        </w:rPr>
        <w:t>针对焚烧垃圾热值超MCR</w:t>
      </w:r>
      <w:r>
        <w:rPr>
          <w:rFonts w:ascii="宋体" w:eastAsia="宋体" w:hAnsi="宋体" w:cs="宋体"/>
          <w:spacing w:val="117"/>
          <w:position w:val="13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3"/>
          <w:position w:val="13"/>
          <w:sz w:val="28"/>
          <w:szCs w:val="28"/>
        </w:rPr>
        <w:t>热值现象，加强对焚烧垃圾特性分析</w:t>
      </w:r>
      <w:r>
        <w:rPr>
          <w:rFonts w:ascii="宋体" w:eastAsia="宋体" w:hAnsi="宋体" w:cs="宋体"/>
          <w:spacing w:val="-3"/>
          <w:position w:val="13"/>
          <w:sz w:val="28"/>
          <w:szCs w:val="28"/>
        </w:rPr>
        <w:t>：</w:t>
      </w:r>
    </w:p>
    <w:p>
      <w:pPr>
        <w:spacing w:before="1" w:line="218" w:lineRule="auto"/>
        <w:ind w:left="763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4"/>
          <w:sz w:val="28"/>
          <w:szCs w:val="28"/>
        </w:rPr>
        <w:t>合理确定焚烧垃圾量，避免过度超烧致炉温过高，主控温度区上</w:t>
      </w:r>
    </w:p>
    <w:p>
      <w:pPr>
        <w:spacing w:before="104" w:line="219" w:lineRule="auto"/>
        <w:ind w:left="75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7"/>
          <w:sz w:val="28"/>
          <w:szCs w:val="28"/>
        </w:rPr>
        <w:t>移现象</w:t>
      </w:r>
    </w:p>
    <w:p>
      <w:pPr>
        <w:spacing w:before="128" w:line="184" w:lineRule="auto"/>
        <w:ind w:left="1376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color w:val="24769F"/>
          <w:spacing w:val="-4"/>
          <w:sz w:val="28"/>
          <w:szCs w:val="28"/>
        </w:rPr>
        <w:t>21</w:t>
      </w:r>
    </w:p>
    <w:p>
      <w:pPr>
        <w:spacing w:line="184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br/>
      </w:r>
      <w:r>
        <w:rPr>
          <w:rFonts w:ascii="宋体" w:eastAsia="宋体" w:hAnsi="宋体" w:cs="宋体"/>
          <w:sz w:val="28"/>
          <w:szCs w:val="28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https://d.book118.com/267114113124006036</w:t>
        </w:r>
      </w:hyperlink>
    </w:p>
    <w:p>
      <w:pPr>
        <w:spacing w:line="184" w:lineRule="auto"/>
        <w:rPr>
          <w:rFonts w:ascii="宋体" w:eastAsia="宋体" w:hAnsi="宋体" w:cs="宋体"/>
          <w:sz w:val="28"/>
          <w:szCs w:val="28"/>
        </w:rPr>
      </w:pPr>
    </w:p>
    <w:sectPr>
      <w:headerReference w:type="default" r:id="rId55"/>
      <w:pgSz w:w="16840" w:h="11910"/>
      <w:pgMar w:top="400" w:right="1280" w:bottom="0" w:left="1250" w:header="0" w:footer="0" w:gutter="0"/>
      <w:pgNumType w:start="2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04" w:lineRule="auto"/>
      <w:rPr>
        <w:sz w:val="2"/>
      </w:rPr>
    </w:pPr>
    <w:r>
      <w:pict>
        <v:rect id="矩形 1" o:spid="_x0000_s2049" style="width:722.5pt;height:1.05pt;margin-top:94.45pt;margin-left:58.5pt;mso-position-horizontal-relative:page;mso-position-vertical-relative:page;position:absolute;z-index:251658240" o:allowincell="f" filled="t" fillcolor="black" stroked="f"/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72662F2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image" Target="media/image4.jpeg" /><Relationship Id="rId12" Type="http://schemas.openxmlformats.org/officeDocument/2006/relationships/header" Target="header5.xml" /><Relationship Id="rId13" Type="http://schemas.openxmlformats.org/officeDocument/2006/relationships/image" Target="media/image5.jpeg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header" Target="header8.xml" /><Relationship Id="rId17" Type="http://schemas.openxmlformats.org/officeDocument/2006/relationships/image" Target="media/image6.jpeg" /><Relationship Id="rId18" Type="http://schemas.openxmlformats.org/officeDocument/2006/relationships/header" Target="header9.xml" /><Relationship Id="rId19" Type="http://schemas.openxmlformats.org/officeDocument/2006/relationships/image" Target="media/image7.jpeg" /><Relationship Id="rId2" Type="http://schemas.openxmlformats.org/officeDocument/2006/relationships/webSettings" Target="webSettings.xml" /><Relationship Id="rId20" Type="http://schemas.openxmlformats.org/officeDocument/2006/relationships/image" Target="media/image8.jpeg" /><Relationship Id="rId21" Type="http://schemas.openxmlformats.org/officeDocument/2006/relationships/header" Target="header10.xml" /><Relationship Id="rId22" Type="http://schemas.openxmlformats.org/officeDocument/2006/relationships/image" Target="media/image9.jpeg" /><Relationship Id="rId23" Type="http://schemas.openxmlformats.org/officeDocument/2006/relationships/header" Target="header11.xml" /><Relationship Id="rId24" Type="http://schemas.openxmlformats.org/officeDocument/2006/relationships/header" Target="header12.xml" /><Relationship Id="rId25" Type="http://schemas.openxmlformats.org/officeDocument/2006/relationships/image" Target="media/image10.png" /><Relationship Id="rId26" Type="http://schemas.openxmlformats.org/officeDocument/2006/relationships/header" Target="header13.xml" /><Relationship Id="rId27" Type="http://schemas.openxmlformats.org/officeDocument/2006/relationships/image" Target="media/image11.jpeg" /><Relationship Id="rId28" Type="http://schemas.openxmlformats.org/officeDocument/2006/relationships/image" Target="media/image12.png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image" Target="media/image13.png" /><Relationship Id="rId31" Type="http://schemas.openxmlformats.org/officeDocument/2006/relationships/header" Target="header15.xml" /><Relationship Id="rId32" Type="http://schemas.openxmlformats.org/officeDocument/2006/relationships/image" Target="media/image14.jpeg" /><Relationship Id="rId33" Type="http://schemas.openxmlformats.org/officeDocument/2006/relationships/header" Target="header16.xml" /><Relationship Id="rId34" Type="http://schemas.openxmlformats.org/officeDocument/2006/relationships/header" Target="header17.xml" /><Relationship Id="rId35" Type="http://schemas.openxmlformats.org/officeDocument/2006/relationships/image" Target="media/image15.png" /><Relationship Id="rId36" Type="http://schemas.openxmlformats.org/officeDocument/2006/relationships/image" Target="media/image16.jpeg" /><Relationship Id="rId37" Type="http://schemas.openxmlformats.org/officeDocument/2006/relationships/header" Target="header18.xml" /><Relationship Id="rId38" Type="http://schemas.openxmlformats.org/officeDocument/2006/relationships/image" Target="media/image17.png" /><Relationship Id="rId39" Type="http://schemas.openxmlformats.org/officeDocument/2006/relationships/header" Target="header19.xml" /><Relationship Id="rId4" Type="http://schemas.openxmlformats.org/officeDocument/2006/relationships/image" Target="media/image1.jpeg" /><Relationship Id="rId40" Type="http://schemas.openxmlformats.org/officeDocument/2006/relationships/image" Target="media/image18.png" /><Relationship Id="rId41" Type="http://schemas.openxmlformats.org/officeDocument/2006/relationships/image" Target="media/image19.jpeg" /><Relationship Id="rId42" Type="http://schemas.openxmlformats.org/officeDocument/2006/relationships/image" Target="media/image20.jpeg" /><Relationship Id="rId43" Type="http://schemas.openxmlformats.org/officeDocument/2006/relationships/image" Target="media/image21.jpeg" /><Relationship Id="rId44" Type="http://schemas.openxmlformats.org/officeDocument/2006/relationships/header" Target="header20.xml" /><Relationship Id="rId45" Type="http://schemas.openxmlformats.org/officeDocument/2006/relationships/image" Target="media/image22.jpeg" /><Relationship Id="rId46" Type="http://schemas.openxmlformats.org/officeDocument/2006/relationships/image" Target="media/image23.jpeg" /><Relationship Id="rId47" Type="http://schemas.openxmlformats.org/officeDocument/2006/relationships/header" Target="header21.xml" /><Relationship Id="rId48" Type="http://schemas.openxmlformats.org/officeDocument/2006/relationships/image" Target="media/image24.png" /><Relationship Id="rId49" Type="http://schemas.openxmlformats.org/officeDocument/2006/relationships/image" Target="media/image25.jpeg" /><Relationship Id="rId5" Type="http://schemas.openxmlformats.org/officeDocument/2006/relationships/header" Target="header1.xml" /><Relationship Id="rId50" Type="http://schemas.openxmlformats.org/officeDocument/2006/relationships/header" Target="header22.xml" /><Relationship Id="rId51" Type="http://schemas.openxmlformats.org/officeDocument/2006/relationships/image" Target="media/image26.jpeg" /><Relationship Id="rId52" Type="http://schemas.openxmlformats.org/officeDocument/2006/relationships/image" Target="media/image27.jpeg" /><Relationship Id="rId53" Type="http://schemas.openxmlformats.org/officeDocument/2006/relationships/image" Target="media/image28.jpeg" /><Relationship Id="rId54" Type="http://schemas.openxmlformats.org/officeDocument/2006/relationships/hyperlink" Target="https://d.book118.com/267114113124006036" TargetMode="External" /><Relationship Id="rId55" Type="http://schemas.openxmlformats.org/officeDocument/2006/relationships/header" Target="header23.xml" /><Relationship Id="rId56" Type="http://schemas.openxmlformats.org/officeDocument/2006/relationships/theme" Target="theme/theme1.xml" /><Relationship Id="rId57" Type="http://schemas.openxmlformats.org/officeDocument/2006/relationships/styles" Target="styles.xml" /><Relationship Id="rId6" Type="http://schemas.openxmlformats.org/officeDocument/2006/relationships/image" Target="media/image2.jpeg" /><Relationship Id="rId7" Type="http://schemas.openxmlformats.org/officeDocument/2006/relationships/image" Target="media/image3.jpeg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2024-01-31T19:48:00Z</dcterms:created>
  <dcterms:modified xsi:type="dcterms:W3CDTF">2024-01-31T11:49:07Z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2024-01-31T11:49:06Z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65ba339e80a245001f6b254dwl</vt:lpwstr>
  </property>
</Properties>
</file>