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cscec81"/>
        <w:numPr>
          <w:ilvl w:val="0"/>
          <w:numId w:val="0"/>
        </w:numPr>
        <w:bidi w:val="0"/>
        <w:ind w:leftChars="0"/>
        <w:jc w:val="center"/>
        <w:outlineLvl w:val="9"/>
        <w:rPr>
          <w:rFonts w:cs="黑体" w:hint="eastAsia"/>
          <w:sz w:val="44"/>
          <w:szCs w:val="44"/>
        </w:rPr>
      </w:pPr>
    </w:p>
    <w:p>
      <w:pPr>
        <w:pStyle w:val="cscec81"/>
        <w:numPr>
          <w:ilvl w:val="0"/>
          <w:numId w:val="0"/>
        </w:numPr>
        <w:bidi w:val="0"/>
        <w:ind w:leftChars="0"/>
        <w:jc w:val="center"/>
        <w:rPr>
          <w:rFonts w:cs="黑体" w:hint="eastAsia"/>
          <w:b/>
          <w:bCs/>
          <w:sz w:val="44"/>
          <w:szCs w:val="44"/>
        </w:rPr>
      </w:pPr>
      <w:bookmarkStart w:id="0" w:name="_Toc916"/>
      <w:bookmarkStart w:id="1" w:name="_Toc28978"/>
      <w:bookmarkStart w:id="2" w:name="_Toc10387"/>
      <w:bookmarkStart w:id="3" w:name="_Toc8886"/>
      <w:r>
        <w:rPr>
          <w:rFonts w:ascii="黑体" w:eastAsia="黑体" w:hAnsi="黑体" w:cs="黑体" w:hint="eastAsia"/>
          <w:sz w:val="44"/>
          <w:szCs w:val="44"/>
        </w:rPr>
        <w:t>济南市钢城区艾山街道城子坡片区城市更新项目产业研发中心项目（二期）工程总承包（EPC）项目</w:t>
      </w:r>
      <w:bookmarkEnd w:id="0"/>
      <w:bookmarkEnd w:id="1"/>
      <w:bookmarkEnd w:id="2"/>
      <w:bookmarkEnd w:id="3"/>
    </w:p>
    <w:p>
      <w:pPr>
        <w:pStyle w:val="cscec8z"/>
        <w:ind w:left="0" w:firstLine="0" w:leftChars="0" w:firstLineChars="0"/>
        <w:jc w:val="center"/>
        <w:outlineLvl w:val="0"/>
        <w:rPr>
          <w:rFonts w:ascii="黑体" w:eastAsia="黑体" w:hAnsi="黑体" w:cs="黑体" w:hint="default"/>
          <w:sz w:val="44"/>
          <w:szCs w:val="44"/>
        </w:rPr>
      </w:pPr>
      <w:bookmarkStart w:id="4" w:name="_Toc27981"/>
      <w:bookmarkStart w:id="5" w:name="_Toc17141"/>
      <w:bookmarkStart w:id="6" w:name="_Toc10386"/>
      <w:bookmarkStart w:id="7" w:name="_Toc22083"/>
      <w:r>
        <w:rPr>
          <w:rFonts w:ascii="黑体" w:eastAsia="黑体" w:hAnsi="黑体" w:cs="黑体" w:hint="eastAsia"/>
          <w:sz w:val="44"/>
          <w:szCs w:val="44"/>
          <w:lang w:val="en-US" w:eastAsia="zh-CN"/>
        </w:rPr>
        <w:t>塔式起重机拆除专项施工方案</w:t>
      </w:r>
      <w:bookmarkEnd w:id="4"/>
      <w:bookmarkEnd w:id="5"/>
      <w:bookmarkEnd w:id="6"/>
      <w:bookmarkEnd w:id="7"/>
    </w:p>
    <w:p>
      <w:pPr>
        <w:pStyle w:val="cscec81"/>
        <w:numPr>
          <w:ilvl w:val="0"/>
          <w:numId w:val="0"/>
        </w:numPr>
        <w:bidi w:val="0"/>
        <w:ind w:leftChars="0"/>
        <w:jc w:val="both"/>
        <w:outlineLvl w:val="9"/>
      </w:pPr>
    </w:p>
    <w:p>
      <w:pPr>
        <w:pStyle w:val="cscec81"/>
        <w:numPr>
          <w:ilvl w:val="0"/>
          <w:numId w:val="0"/>
        </w:numPr>
        <w:bidi w:val="0"/>
        <w:ind w:leftChars="0"/>
        <w:jc w:val="center"/>
        <w:outlineLvl w:val="9"/>
      </w:pPr>
    </w:p>
    <w:p>
      <w:pPr>
        <w:pStyle w:val="cscec8z"/>
      </w:pPr>
    </w:p>
    <w:p>
      <w:pPr>
        <w:pStyle w:val="cscec8z"/>
      </w:pPr>
    </w:p>
    <w:p>
      <w:pPr>
        <w:pStyle w:val="cscec8z"/>
      </w:pPr>
    </w:p>
    <w:p>
      <w:pPr>
        <w:pStyle w:val="cscec8z"/>
      </w:pPr>
    </w:p>
    <w:p>
      <w:pPr>
        <w:pStyle w:val="cscec8z"/>
      </w:pPr>
    </w:p>
    <w:p>
      <w:pPr>
        <w:pStyle w:val="cscec8z"/>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p>
      <w:pPr>
        <w:spacing w:before="0" w:beforeLines="0" w:after="0" w:afterLines="0" w:line="240" w:lineRule="auto"/>
        <w:ind w:left="0" w:right="0" w:firstLine="0" w:leftChars="0" w:rightChars="0" w:firstLineChars="0"/>
        <w:jc w:val="center"/>
        <w:rPr>
          <w:b/>
          <w:bCs/>
          <w:sz w:val="32"/>
          <w:szCs w:val="32"/>
        </w:rPr>
      </w:pPr>
    </w:p>
    <w:sdt>
      <w:sdtPr>
        <w:rPr>
          <w:rFonts w:ascii="宋体" w:eastAsia="宋体" w:hAnsi="宋体" w:cs="Times New Roman"/>
          <w:b/>
          <w:bCs/>
          <w:kern w:val="2"/>
          <w:sz w:val="32"/>
          <w:szCs w:val="32"/>
          <w:lang w:val="en-US" w:eastAsia="zh-CN" w:bidi="ar-SA"/>
        </w:rPr>
        <w:id w:val="147464940"/>
        <w:docPartObj>
          <w:docPartGallery w:val="Table of Contents"/>
          <w:docPartUnique/>
        </w:docPartObj>
        <w15:color w:val="DBDBDB"/>
      </w:sdtPr>
      <w:sdtEndPr>
        <w:rPr>
          <w:rFonts w:ascii="宋体" w:eastAsia="宋体" w:hAnsi="宋体" w:cs="Times New Roman" w:hint="eastAsia"/>
          <w:b/>
          <w:bCs/>
          <w:kern w:val="2"/>
          <w:sz w:val="24"/>
          <w:szCs w:val="24"/>
          <w:lang w:val="en-US" w:eastAsia="zh-CN" w:bidi="ar-SA"/>
        </w:rPr>
      </w:sdtEndPr>
      <w:sdtContent>
        <w:p>
          <w:pPr>
            <w:spacing w:before="0" w:beforeLines="0" w:after="0" w:afterLines="0" w:line="240" w:lineRule="auto"/>
            <w:ind w:left="0" w:right="0" w:firstLine="0" w:leftChars="0" w:rightChars="0" w:firstLineChars="0"/>
            <w:jc w:val="center"/>
            <w:rPr>
              <w:b/>
              <w:bCs/>
              <w:sz w:val="32"/>
              <w:szCs w:val="32"/>
            </w:rPr>
            <w:sectPr>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cols w:num="1" w:space="1680"/>
              <w:docGrid w:linePitch="326" w:charSpace="59452"/>
            </w:sectPr>
          </w:pPr>
          <w:bookmarkStart w:id="8" w:name="_GoBack"/>
          <w:bookmarkEnd w:id="8"/>
          <w:r>
            <w:rPr>
              <w:rFonts w:ascii="宋体" w:eastAsia="宋体" w:hAnsi="宋体"/>
              <w:b/>
              <w:bCs/>
              <w:sz w:val="32"/>
              <w:szCs w:val="32"/>
            </w:rPr>
            <w:t>目录</w:t>
          </w:r>
        </w:p>
      </w:sdtContent>
    </w:sdt>
    <w:sdt>
      <w:sdtPr>
        <w:rPr>
          <w:rFonts w:ascii="宋体" w:eastAsia="宋体" w:hAnsi="宋体" w:cs="Times New Roman"/>
          <w:b/>
          <w:bCs/>
          <w:kern w:val="2"/>
          <w:sz w:val="32"/>
          <w:szCs w:val="32"/>
          <w:lang w:val="en-US" w:eastAsia="zh-CN" w:bidi="ar-SA"/>
        </w:rPr>
        <w:id w:val="1746285754"/>
        <w:docPartObj>
          <w:docPartGallery w:val="Table of Contents"/>
          <w:docPartUnique/>
        </w:docPartObj>
        <w15:color w:val="DBDBDB"/>
      </w:sdtPr>
      <w:sdtEndPr>
        <w:rPr>
          <w:rFonts w:ascii="宋体" w:eastAsia="宋体" w:hAnsi="宋体" w:cs="Times New Roman" w:hint="eastAsia"/>
          <w:b/>
          <w:bCs/>
          <w:kern w:val="2"/>
          <w:sz w:val="24"/>
          <w:szCs w:val="24"/>
          <w:lang w:val="en-US" w:eastAsia="zh-CN" w:bidi="ar-SA"/>
        </w:rPr>
      </w:sdtEndPr>
      <w:sdtContent>
        <w:p>
          <w:pPr>
            <w:pStyle w:val="TOC1"/>
            <w:tabs>
              <w:tab w:val="right" w:leader="dot" w:pos="9071"/>
            </w:tabs>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TOC \o "1-2" \h \u </w:instrText>
          </w:r>
          <w:r>
            <w:rPr>
              <w:rFonts w:ascii="宋体" w:eastAsia="宋体" w:hAnsi="宋体" w:cs="宋体" w:hint="eastAsia"/>
              <w:sz w:val="24"/>
              <w:szCs w:val="24"/>
            </w:rPr>
            <w:fldChar w:fldCharType="separate"/>
          </w:r>
          <w:hyperlink w:anchor="_Toc27174" w:history="1">
            <w:r>
              <w:rPr>
                <w:rFonts w:ascii="黑体" w:eastAsia="黑体" w:hAnsi="黑体" w:cs="黑体" w:hint="eastAsia"/>
                <w:i w:val="0"/>
                <w:caps w:val="0"/>
                <w:strike w:val="0"/>
                <w:dstrike w:val="0"/>
                <w:vanish w:val="0"/>
                <w:kern w:val="2"/>
                <w:szCs w:val="32"/>
                <w:vertAlign w:val="baseline"/>
                <w:lang w:val="en-US" w:eastAsia="zh-CN" w:bidi="ar-SA"/>
              </w:rPr>
              <w:t xml:space="preserve">第一章  </w:t>
            </w:r>
            <w:r>
              <w:rPr>
                <w:rFonts w:ascii="黑体" w:eastAsia="黑体" w:hAnsi="黑体" w:cs="黑体" w:hint="eastAsia"/>
                <w:szCs w:val="32"/>
                <w:lang w:val="en-US" w:eastAsia="zh-CN"/>
              </w:rPr>
              <w:t>工程概况</w:t>
            </w:r>
            <w:r>
              <w:tab/>
            </w:r>
            <w:r>
              <w:fldChar w:fldCharType="begin"/>
            </w:r>
            <w:r>
              <w:instrText xml:space="preserve"> PAGEREF _Toc27174 \h </w:instrText>
            </w:r>
            <w:r>
              <w:fldChar w:fldCharType="separate"/>
            </w:r>
            <w:r>
              <w:t>1</w:t>
            </w:r>
            <w:r>
              <w:fldChar w:fldCharType="end"/>
            </w:r>
          </w:hyperlink>
        </w:p>
        <w:p>
          <w:pPr>
            <w:pStyle w:val="TOC2"/>
            <w:tabs>
              <w:tab w:val="right" w:leader="dot" w:pos="9071"/>
            </w:tabs>
          </w:pPr>
          <w:hyperlink w:anchor="_Toc26359" w:history="1">
            <w:r>
              <w:rPr>
                <w:rFonts w:ascii="黑体" w:eastAsia="黑体" w:hAnsi="黑体" w:cs="黑体" w:hint="default"/>
                <w:i w:val="0"/>
                <w:caps w:val="0"/>
                <w:strike w:val="0"/>
                <w:dstrike w:val="0"/>
                <w:vanish w:val="0"/>
                <w:kern w:val="2"/>
                <w:szCs w:val="28"/>
                <w:vertAlign w:val="baseline"/>
                <w:lang w:val="en-US" w:eastAsia="zh-CN" w:bidi="ar-SA"/>
              </w:rPr>
              <w:t xml:space="preserve">1.1  </w:t>
            </w:r>
            <w:r>
              <w:rPr>
                <w:rFonts w:ascii="黑体" w:eastAsia="黑体" w:hAnsi="黑体" w:cs="黑体" w:hint="eastAsia"/>
                <w:szCs w:val="28"/>
              </w:rPr>
              <w:t>总体概况</w:t>
            </w:r>
            <w:r>
              <w:tab/>
            </w:r>
            <w:r>
              <w:fldChar w:fldCharType="begin"/>
            </w:r>
            <w:r>
              <w:instrText xml:space="preserve"> PAGEREF _Toc26359 \h </w:instrText>
            </w:r>
            <w:r>
              <w:fldChar w:fldCharType="separate"/>
            </w:r>
            <w:r>
              <w:t>1</w:t>
            </w:r>
            <w:r>
              <w:fldChar w:fldCharType="end"/>
            </w:r>
          </w:hyperlink>
        </w:p>
        <w:p>
          <w:pPr>
            <w:pStyle w:val="TOC2"/>
            <w:tabs>
              <w:tab w:val="right" w:leader="dot" w:pos="9071"/>
            </w:tabs>
          </w:pPr>
          <w:hyperlink w:anchor="_Toc27408" w:history="1">
            <w:r>
              <w:rPr>
                <w:rFonts w:ascii="黑体" w:eastAsia="黑体" w:hAnsi="黑体" w:cs="Times New Roman" w:hint="default"/>
                <w:i w:val="0"/>
                <w:caps w:val="0"/>
                <w:strike w:val="0"/>
                <w:dstrike w:val="0"/>
                <w:vanish w:val="0"/>
                <w:kern w:val="2"/>
                <w:szCs w:val="28"/>
                <w:vertAlign w:val="baseline"/>
                <w:lang w:val="en-US" w:eastAsia="zh-CN" w:bidi="ar-SA"/>
              </w:rPr>
              <w:t xml:space="preserve">1.2  </w:t>
            </w:r>
            <w:r>
              <w:rPr>
                <w:rFonts w:hint="eastAsia"/>
                <w:szCs w:val="28"/>
              </w:rPr>
              <w:t>危大工程概况</w:t>
            </w:r>
            <w:r>
              <w:tab/>
            </w:r>
            <w:r>
              <w:fldChar w:fldCharType="begin"/>
            </w:r>
            <w:r>
              <w:instrText xml:space="preserve"> PAGEREF _Toc27408 \h </w:instrText>
            </w:r>
            <w:r>
              <w:fldChar w:fldCharType="separate"/>
            </w:r>
            <w:r>
              <w:t>2</w:t>
            </w:r>
            <w:r>
              <w:fldChar w:fldCharType="end"/>
            </w:r>
          </w:hyperlink>
        </w:p>
        <w:p>
          <w:pPr>
            <w:pStyle w:val="TOC2"/>
            <w:tabs>
              <w:tab w:val="right" w:leader="dot" w:pos="9071"/>
            </w:tabs>
          </w:pPr>
          <w:hyperlink w:anchor="_Toc16168" w:history="1">
            <w:r>
              <w:rPr>
                <w:rFonts w:ascii="黑体" w:eastAsia="黑体" w:hAnsi="黑体" w:cs="Times New Roman" w:hint="default"/>
                <w:i w:val="0"/>
                <w:caps w:val="0"/>
                <w:strike w:val="0"/>
                <w:dstrike w:val="0"/>
                <w:vanish w:val="0"/>
                <w:kern w:val="2"/>
                <w:szCs w:val="28"/>
                <w:vertAlign w:val="baseline"/>
                <w:lang w:val="en-US" w:eastAsia="zh-CN" w:bidi="ar-SA"/>
              </w:rPr>
              <w:t xml:space="preserve">1.3  </w:t>
            </w:r>
            <w:r>
              <w:rPr>
                <w:rFonts w:hint="eastAsia"/>
                <w:szCs w:val="28"/>
              </w:rPr>
              <w:t>施工平面布置</w:t>
            </w:r>
            <w:r>
              <w:tab/>
            </w:r>
            <w:r>
              <w:fldChar w:fldCharType="begin"/>
            </w:r>
            <w:r>
              <w:instrText xml:space="preserve"> PAGEREF _Toc16168 \h </w:instrText>
            </w:r>
            <w:r>
              <w:fldChar w:fldCharType="separate"/>
            </w:r>
            <w:r>
              <w:t>2</w:t>
            </w:r>
            <w:r>
              <w:fldChar w:fldCharType="end"/>
            </w:r>
          </w:hyperlink>
        </w:p>
        <w:p>
          <w:pPr>
            <w:pStyle w:val="TOC2"/>
            <w:tabs>
              <w:tab w:val="right" w:leader="dot" w:pos="9071"/>
            </w:tabs>
          </w:pPr>
          <w:hyperlink w:anchor="_Toc31127" w:history="1">
            <w:r>
              <w:rPr>
                <w:rFonts w:ascii="黑体" w:eastAsia="黑体" w:hAnsi="黑体" w:cs="Times New Roman" w:hint="default"/>
                <w:i w:val="0"/>
                <w:caps w:val="0"/>
                <w:strike w:val="0"/>
                <w:dstrike w:val="0"/>
                <w:vanish w:val="0"/>
                <w:kern w:val="2"/>
                <w:szCs w:val="28"/>
                <w:vertAlign w:val="baseline"/>
                <w:lang w:val="en-US" w:eastAsia="zh-CN" w:bidi="ar-SA"/>
              </w:rPr>
              <w:t xml:space="preserve">1.4  </w:t>
            </w:r>
            <w:r>
              <w:rPr>
                <w:rFonts w:hint="eastAsia"/>
              </w:rPr>
              <w:t>施工要求</w:t>
            </w:r>
            <w:r>
              <w:tab/>
            </w:r>
            <w:r>
              <w:fldChar w:fldCharType="begin"/>
            </w:r>
            <w:r>
              <w:instrText xml:space="preserve"> PAGEREF _Toc31127 \h </w:instrText>
            </w:r>
            <w:r>
              <w:fldChar w:fldCharType="separate"/>
            </w:r>
            <w:r>
              <w:t>4</w:t>
            </w:r>
            <w:r>
              <w:fldChar w:fldCharType="end"/>
            </w:r>
          </w:hyperlink>
        </w:p>
        <w:p>
          <w:pPr>
            <w:pStyle w:val="TOC2"/>
            <w:tabs>
              <w:tab w:val="right" w:leader="dot" w:pos="9071"/>
            </w:tabs>
          </w:pPr>
          <w:hyperlink w:anchor="_Toc19582" w:history="1">
            <w:r>
              <w:rPr>
                <w:rFonts w:ascii="黑体" w:eastAsia="黑体" w:hAnsi="黑体" w:cs="Times New Roman" w:hint="default"/>
                <w:i w:val="0"/>
                <w:caps w:val="0"/>
                <w:strike w:val="0"/>
                <w:dstrike w:val="0"/>
                <w:vanish w:val="0"/>
                <w:kern w:val="2"/>
                <w:szCs w:val="28"/>
                <w:vertAlign w:val="baseline"/>
                <w:lang w:val="en-US" w:eastAsia="zh-CN" w:bidi="ar-SA"/>
              </w:rPr>
              <w:t xml:space="preserve">1.5  </w:t>
            </w:r>
            <w:r>
              <w:rPr>
                <w:rFonts w:hint="eastAsia"/>
              </w:rPr>
              <w:t>技术保证条件</w:t>
            </w:r>
            <w:r>
              <w:tab/>
            </w:r>
            <w:r>
              <w:fldChar w:fldCharType="begin"/>
            </w:r>
            <w:r>
              <w:instrText xml:space="preserve"> PAGEREF _Toc19582 \h </w:instrText>
            </w:r>
            <w:r>
              <w:fldChar w:fldCharType="separate"/>
            </w:r>
            <w:r>
              <w:t>6</w:t>
            </w:r>
            <w:r>
              <w:fldChar w:fldCharType="end"/>
            </w:r>
          </w:hyperlink>
        </w:p>
        <w:p>
          <w:pPr>
            <w:pStyle w:val="TOC2"/>
            <w:tabs>
              <w:tab w:val="right" w:leader="dot" w:pos="9071"/>
            </w:tabs>
          </w:pPr>
          <w:hyperlink w:anchor="_Toc30901" w:history="1">
            <w:r>
              <w:rPr>
                <w:rFonts w:ascii="黑体" w:eastAsia="黑体" w:hAnsi="黑体" w:cs="Times New Roman" w:hint="default"/>
                <w:i w:val="0"/>
                <w:caps w:val="0"/>
                <w:strike w:val="0"/>
                <w:dstrike w:val="0"/>
                <w:vanish w:val="0"/>
                <w:kern w:val="2"/>
                <w:szCs w:val="28"/>
                <w:vertAlign w:val="baseline"/>
                <w:lang w:val="en-US" w:eastAsia="zh-CN" w:bidi="ar-SA"/>
              </w:rPr>
              <w:t xml:space="preserve">1.6  </w:t>
            </w:r>
            <w:r>
              <w:rPr>
                <w:rFonts w:hint="eastAsia"/>
              </w:rPr>
              <w:t>周边环境条件</w:t>
            </w:r>
            <w:r>
              <w:tab/>
            </w:r>
            <w:r>
              <w:fldChar w:fldCharType="begin"/>
            </w:r>
            <w:r>
              <w:instrText xml:space="preserve"> PAGEREF _Toc30901 \h </w:instrText>
            </w:r>
            <w:r>
              <w:fldChar w:fldCharType="separate"/>
            </w:r>
            <w:r>
              <w:t>7</w:t>
            </w:r>
            <w:r>
              <w:fldChar w:fldCharType="end"/>
            </w:r>
          </w:hyperlink>
        </w:p>
        <w:p>
          <w:pPr>
            <w:pStyle w:val="TOC2"/>
            <w:tabs>
              <w:tab w:val="right" w:leader="dot" w:pos="9071"/>
            </w:tabs>
          </w:pPr>
          <w:hyperlink w:anchor="_Toc953" w:history="1">
            <w:r>
              <w:rPr>
                <w:rFonts w:ascii="黑体" w:eastAsia="黑体" w:hAnsi="黑体" w:cs="Times New Roman" w:hint="default"/>
                <w:i w:val="0"/>
                <w:caps w:val="0"/>
                <w:strike w:val="0"/>
                <w:dstrike w:val="0"/>
                <w:vanish w:val="0"/>
                <w:kern w:val="2"/>
                <w:szCs w:val="28"/>
                <w:vertAlign w:val="baseline"/>
                <w:lang w:val="en-US" w:eastAsia="zh-CN" w:bidi="ar-SA"/>
              </w:rPr>
              <w:t xml:space="preserve">1.7  </w:t>
            </w:r>
            <w:r>
              <w:rPr>
                <w:rFonts w:hint="eastAsia"/>
                <w:highlight w:val="yellow"/>
              </w:rPr>
              <w:t>工程气象、水文地质条件</w:t>
            </w:r>
            <w:r>
              <w:tab/>
            </w:r>
            <w:r>
              <w:fldChar w:fldCharType="begin"/>
            </w:r>
            <w:r>
              <w:instrText xml:space="preserve"> PAGEREF _Toc953 \h </w:instrText>
            </w:r>
            <w:r>
              <w:fldChar w:fldCharType="separate"/>
            </w:r>
            <w:r>
              <w:t>7</w:t>
            </w:r>
            <w:r>
              <w:fldChar w:fldCharType="end"/>
            </w:r>
          </w:hyperlink>
        </w:p>
        <w:p>
          <w:pPr>
            <w:pStyle w:val="TOC1"/>
            <w:tabs>
              <w:tab w:val="right" w:leader="dot" w:pos="9071"/>
            </w:tabs>
          </w:pPr>
          <w:hyperlink w:anchor="_Toc30817" w:history="1">
            <w:r>
              <w:rPr>
                <w:rFonts w:ascii="黑体" w:eastAsia="黑体" w:hAnsi="黑体" w:cs="黑体" w:hint="eastAsia"/>
                <w:i w:val="0"/>
                <w:caps w:val="0"/>
                <w:strike w:val="0"/>
                <w:dstrike w:val="0"/>
                <w:vanish w:val="0"/>
                <w:kern w:val="2"/>
                <w:szCs w:val="32"/>
                <w:vertAlign w:val="baseline"/>
                <w:lang w:val="en-US" w:eastAsia="zh-CN" w:bidi="ar-SA"/>
              </w:rPr>
              <w:t xml:space="preserve">第二章  </w:t>
            </w:r>
            <w:r>
              <w:rPr>
                <w:rFonts w:hint="eastAsia"/>
                <w:szCs w:val="32"/>
                <w:lang w:val="en-US" w:eastAsia="zh-CN"/>
              </w:rPr>
              <w:t>编制依据</w:t>
            </w:r>
            <w:r>
              <w:tab/>
            </w:r>
            <w:r>
              <w:fldChar w:fldCharType="begin"/>
            </w:r>
            <w:r>
              <w:instrText xml:space="preserve"> PAGEREF _Toc30817 \h </w:instrText>
            </w:r>
            <w:r>
              <w:fldChar w:fldCharType="separate"/>
            </w:r>
            <w:r>
              <w:t>8</w:t>
            </w:r>
            <w:r>
              <w:fldChar w:fldCharType="end"/>
            </w:r>
          </w:hyperlink>
        </w:p>
        <w:p>
          <w:pPr>
            <w:pStyle w:val="TOC2"/>
            <w:tabs>
              <w:tab w:val="right" w:leader="dot" w:pos="9071"/>
            </w:tabs>
          </w:pPr>
          <w:hyperlink w:anchor="_Toc19263" w:history="1">
            <w:r>
              <w:rPr>
                <w:rFonts w:ascii="黑体" w:eastAsia="黑体" w:hAnsi="黑体" w:cs="Times New Roman" w:hint="default"/>
                <w:i w:val="0"/>
                <w:caps w:val="0"/>
                <w:strike w:val="0"/>
                <w:dstrike w:val="0"/>
                <w:vanish w:val="0"/>
                <w:kern w:val="2"/>
                <w:szCs w:val="28"/>
                <w:vertAlign w:val="baseline"/>
                <w:lang w:val="en-US" w:eastAsia="zh-CN" w:bidi="ar-SA"/>
              </w:rPr>
              <w:t xml:space="preserve">2.1  </w:t>
            </w:r>
            <w:r>
              <w:rPr>
                <w:rFonts w:hint="eastAsia"/>
                <w:szCs w:val="28"/>
              </w:rPr>
              <w:t xml:space="preserve"> 编制依据</w:t>
            </w:r>
            <w:r>
              <w:tab/>
            </w:r>
            <w:r>
              <w:fldChar w:fldCharType="begin"/>
            </w:r>
            <w:r>
              <w:instrText xml:space="preserve"> PAGEREF _Toc19263 \h </w:instrText>
            </w:r>
            <w:r>
              <w:fldChar w:fldCharType="separate"/>
            </w:r>
            <w:r>
              <w:t>8</w:t>
            </w:r>
            <w:r>
              <w:fldChar w:fldCharType="end"/>
            </w:r>
          </w:hyperlink>
        </w:p>
        <w:p>
          <w:pPr>
            <w:pStyle w:val="TOC2"/>
            <w:tabs>
              <w:tab w:val="right" w:leader="dot" w:pos="9071"/>
            </w:tabs>
          </w:pPr>
          <w:hyperlink w:anchor="_Toc10839" w:history="1">
            <w:r>
              <w:rPr>
                <w:rFonts w:ascii="黑体" w:eastAsia="黑体" w:hAnsi="黑体" w:cs="Times New Roman" w:hint="default"/>
                <w:i w:val="0"/>
                <w:caps w:val="0"/>
                <w:strike w:val="0"/>
                <w:dstrike w:val="0"/>
                <w:vanish w:val="0"/>
                <w:kern w:val="2"/>
                <w:szCs w:val="28"/>
                <w:vertAlign w:val="baseline"/>
                <w:lang w:val="en-US" w:eastAsia="zh-CN" w:bidi="ar-SA"/>
              </w:rPr>
              <w:t xml:space="preserve">2.2  </w:t>
            </w:r>
            <w:r>
              <w:rPr>
                <w:rFonts w:hint="eastAsia"/>
                <w:szCs w:val="28"/>
              </w:rPr>
              <w:t>适用范围</w:t>
            </w:r>
            <w:r>
              <w:tab/>
            </w:r>
            <w:r>
              <w:fldChar w:fldCharType="begin"/>
            </w:r>
            <w:r>
              <w:instrText xml:space="preserve"> PAGEREF _Toc10839 \h </w:instrText>
            </w:r>
            <w:r>
              <w:fldChar w:fldCharType="separate"/>
            </w:r>
            <w:r>
              <w:t>10</w:t>
            </w:r>
            <w:r>
              <w:fldChar w:fldCharType="end"/>
            </w:r>
          </w:hyperlink>
        </w:p>
        <w:p>
          <w:pPr>
            <w:pStyle w:val="TOC1"/>
            <w:tabs>
              <w:tab w:val="right" w:leader="dot" w:pos="9071"/>
            </w:tabs>
          </w:pPr>
          <w:hyperlink w:anchor="_Toc1896" w:history="1">
            <w:r>
              <w:rPr>
                <w:rFonts w:ascii="黑体" w:eastAsia="黑体" w:hAnsi="黑体" w:cs="黑体" w:hint="eastAsia"/>
                <w:i w:val="0"/>
                <w:caps w:val="0"/>
                <w:strike w:val="0"/>
                <w:dstrike w:val="0"/>
                <w:vanish w:val="0"/>
                <w:kern w:val="2"/>
                <w:szCs w:val="32"/>
                <w:vertAlign w:val="baseline"/>
                <w:lang w:val="en-US" w:eastAsia="zh-CN" w:bidi="ar-SA"/>
              </w:rPr>
              <w:t xml:space="preserve">第三章  </w:t>
            </w:r>
            <w:r>
              <w:rPr>
                <w:rFonts w:hint="eastAsia"/>
                <w:szCs w:val="32"/>
                <w:lang w:val="en-US" w:eastAsia="zh-CN"/>
              </w:rPr>
              <w:t>施工计划</w:t>
            </w:r>
            <w:r>
              <w:tab/>
            </w:r>
            <w:r>
              <w:fldChar w:fldCharType="begin"/>
            </w:r>
            <w:r>
              <w:instrText xml:space="preserve"> PAGEREF _Toc1896 \h </w:instrText>
            </w:r>
            <w:r>
              <w:fldChar w:fldCharType="separate"/>
            </w:r>
            <w:r>
              <w:t>10</w:t>
            </w:r>
            <w:r>
              <w:fldChar w:fldCharType="end"/>
            </w:r>
          </w:hyperlink>
        </w:p>
        <w:p>
          <w:pPr>
            <w:pStyle w:val="TOC2"/>
            <w:tabs>
              <w:tab w:val="right" w:leader="dot" w:pos="9071"/>
            </w:tabs>
          </w:pPr>
          <w:hyperlink w:anchor="_Toc15571" w:history="1">
            <w:r>
              <w:rPr>
                <w:rFonts w:ascii="黑体" w:eastAsia="黑体" w:hAnsi="黑体" w:cs="Times New Roman" w:hint="default"/>
                <w:i w:val="0"/>
                <w:caps w:val="0"/>
                <w:strike w:val="0"/>
                <w:dstrike w:val="0"/>
                <w:vanish w:val="0"/>
                <w:kern w:val="2"/>
                <w:szCs w:val="28"/>
                <w:vertAlign w:val="baseline"/>
                <w:lang w:val="en-US" w:eastAsia="zh-CN" w:bidi="ar-SA"/>
              </w:rPr>
              <w:t xml:space="preserve">3.1  </w:t>
            </w:r>
            <w:r>
              <w:rPr>
                <w:rFonts w:hint="eastAsia"/>
              </w:rPr>
              <w:t>工期</w:t>
            </w:r>
            <w:r>
              <w:rPr>
                <w:rFonts w:hint="eastAsia"/>
                <w:lang w:val="en-US" w:eastAsia="zh-CN"/>
              </w:rPr>
              <w:t>计划</w:t>
            </w:r>
            <w:r>
              <w:tab/>
            </w:r>
            <w:r>
              <w:fldChar w:fldCharType="begin"/>
            </w:r>
            <w:r>
              <w:instrText xml:space="preserve"> PAGEREF _Toc15571 \h </w:instrText>
            </w:r>
            <w:r>
              <w:fldChar w:fldCharType="separate"/>
            </w:r>
            <w:r>
              <w:t>10</w:t>
            </w:r>
            <w:r>
              <w:fldChar w:fldCharType="end"/>
            </w:r>
          </w:hyperlink>
        </w:p>
        <w:p>
          <w:pPr>
            <w:pStyle w:val="TOC2"/>
            <w:tabs>
              <w:tab w:val="right" w:leader="dot" w:pos="9071"/>
            </w:tabs>
          </w:pPr>
          <w:hyperlink w:anchor="_Toc17319" w:history="1">
            <w:r>
              <w:rPr>
                <w:rFonts w:ascii="黑体" w:eastAsia="黑体" w:hAnsi="黑体" w:cs="Times New Roman" w:hint="default"/>
                <w:i w:val="0"/>
                <w:caps w:val="0"/>
                <w:strike w:val="0"/>
                <w:dstrike w:val="0"/>
                <w:vanish w:val="0"/>
                <w:kern w:val="2"/>
                <w:szCs w:val="28"/>
                <w:vertAlign w:val="baseline"/>
                <w:lang w:val="en-US" w:eastAsia="zh-CN" w:bidi="ar-SA"/>
              </w:rPr>
              <w:t xml:space="preserve">3.2  </w:t>
            </w:r>
            <w:r>
              <w:rPr>
                <w:rFonts w:hint="eastAsia"/>
                <w:szCs w:val="28"/>
                <w:lang w:val="en-US" w:eastAsia="zh-CN"/>
              </w:rPr>
              <w:t>主要管理人员准备</w:t>
            </w:r>
            <w:r>
              <w:tab/>
            </w:r>
            <w:r>
              <w:fldChar w:fldCharType="begin"/>
            </w:r>
            <w:r>
              <w:instrText xml:space="preserve"> PAGEREF _Toc17319 \h </w:instrText>
            </w:r>
            <w:r>
              <w:fldChar w:fldCharType="separate"/>
            </w:r>
            <w:r>
              <w:t>10</w:t>
            </w:r>
            <w:r>
              <w:fldChar w:fldCharType="end"/>
            </w:r>
          </w:hyperlink>
        </w:p>
        <w:p>
          <w:pPr>
            <w:pStyle w:val="TOC2"/>
            <w:tabs>
              <w:tab w:val="right" w:leader="dot" w:pos="9071"/>
            </w:tabs>
          </w:pPr>
          <w:hyperlink w:anchor="_Toc21277" w:history="1">
            <w:r>
              <w:rPr>
                <w:rFonts w:ascii="黑体" w:eastAsia="黑体" w:hAnsi="黑体" w:cs="Times New Roman" w:hint="default"/>
                <w:i w:val="0"/>
                <w:caps w:val="0"/>
                <w:strike w:val="0"/>
                <w:dstrike w:val="0"/>
                <w:vanish w:val="0"/>
                <w:kern w:val="2"/>
                <w:szCs w:val="28"/>
                <w:vertAlign w:val="baseline"/>
                <w:lang w:val="en-US" w:eastAsia="zh-CN" w:bidi="ar-SA"/>
              </w:rPr>
              <w:t xml:space="preserve">3.3  </w:t>
            </w:r>
            <w:r>
              <w:rPr>
                <w:rFonts w:hint="eastAsia"/>
                <w:szCs w:val="28"/>
              </w:rPr>
              <w:t>技术准备</w:t>
            </w:r>
            <w:r>
              <w:tab/>
            </w:r>
            <w:r>
              <w:fldChar w:fldCharType="begin"/>
            </w:r>
            <w:r>
              <w:instrText xml:space="preserve"> PAGEREF _Toc21277 \h </w:instrText>
            </w:r>
            <w:r>
              <w:fldChar w:fldCharType="separate"/>
            </w:r>
            <w:r>
              <w:t>11</w:t>
            </w:r>
            <w:r>
              <w:fldChar w:fldCharType="end"/>
            </w:r>
          </w:hyperlink>
        </w:p>
        <w:p>
          <w:pPr>
            <w:pStyle w:val="TOC2"/>
            <w:tabs>
              <w:tab w:val="right" w:leader="dot" w:pos="9071"/>
            </w:tabs>
          </w:pPr>
          <w:hyperlink w:anchor="_Toc11605" w:history="1">
            <w:r>
              <w:rPr>
                <w:rFonts w:ascii="黑体" w:eastAsia="黑体" w:hAnsi="黑体" w:cs="Times New Roman" w:hint="default"/>
                <w:i w:val="0"/>
                <w:caps w:val="0"/>
                <w:strike w:val="0"/>
                <w:dstrike w:val="0"/>
                <w:vanish w:val="0"/>
                <w:kern w:val="2"/>
                <w:szCs w:val="28"/>
                <w:vertAlign w:val="baseline"/>
                <w:lang w:val="en-US" w:eastAsia="zh-CN" w:bidi="ar-SA"/>
              </w:rPr>
              <w:t xml:space="preserve">3.4  </w:t>
            </w:r>
            <w:r>
              <w:rPr>
                <w:rFonts w:hint="eastAsia"/>
                <w:szCs w:val="28"/>
              </w:rPr>
              <w:t>施工材料、设备准备</w:t>
            </w:r>
            <w:r>
              <w:tab/>
            </w:r>
            <w:r>
              <w:fldChar w:fldCharType="begin"/>
            </w:r>
            <w:r>
              <w:instrText xml:space="preserve"> PAGEREF _Toc11605 \h </w:instrText>
            </w:r>
            <w:r>
              <w:fldChar w:fldCharType="separate"/>
            </w:r>
            <w:r>
              <w:t>12</w:t>
            </w:r>
            <w:r>
              <w:fldChar w:fldCharType="end"/>
            </w:r>
          </w:hyperlink>
        </w:p>
        <w:p>
          <w:pPr>
            <w:pStyle w:val="TOC1"/>
            <w:tabs>
              <w:tab w:val="right" w:leader="dot" w:pos="9071"/>
            </w:tabs>
          </w:pPr>
          <w:hyperlink w:anchor="_Toc26514" w:history="1">
            <w:r>
              <w:rPr>
                <w:rFonts w:ascii="黑体" w:eastAsia="黑体" w:hAnsi="黑体" w:cs="黑体" w:hint="eastAsia"/>
                <w:i w:val="0"/>
                <w:caps w:val="0"/>
                <w:strike w:val="0"/>
                <w:dstrike w:val="0"/>
                <w:vanish w:val="0"/>
                <w:kern w:val="2"/>
                <w:szCs w:val="32"/>
                <w:vertAlign w:val="baseline"/>
                <w:lang w:val="en-US" w:eastAsia="zh-CN" w:bidi="ar-SA"/>
              </w:rPr>
              <w:t>第</w:t>
            </w:r>
            <w:r>
              <w:rPr>
                <w:rFonts w:cs="黑体" w:hint="eastAsia"/>
                <w:i w:val="0"/>
                <w:caps w:val="0"/>
                <w:strike w:val="0"/>
                <w:dstrike w:val="0"/>
                <w:vanish w:val="0"/>
                <w:kern w:val="2"/>
                <w:szCs w:val="32"/>
                <w:vertAlign w:val="baseline"/>
                <w:lang w:val="en-US" w:eastAsia="zh-CN" w:bidi="ar-SA"/>
              </w:rPr>
              <w:t>四</w:t>
            </w:r>
            <w:r>
              <w:rPr>
                <w:rFonts w:ascii="黑体" w:eastAsia="黑体" w:hAnsi="黑体" w:cs="黑体" w:hint="eastAsia"/>
                <w:i w:val="0"/>
                <w:caps w:val="0"/>
                <w:strike w:val="0"/>
                <w:dstrike w:val="0"/>
                <w:vanish w:val="0"/>
                <w:kern w:val="2"/>
                <w:szCs w:val="32"/>
                <w:vertAlign w:val="baseline"/>
                <w:lang w:val="en-US" w:eastAsia="zh-CN" w:bidi="ar-SA"/>
              </w:rPr>
              <w:t>章  施工工艺流程</w:t>
            </w:r>
            <w:r>
              <w:tab/>
            </w:r>
            <w:r>
              <w:fldChar w:fldCharType="begin"/>
            </w:r>
            <w:r>
              <w:instrText xml:space="preserve"> PAGEREF _Toc26514 \h </w:instrText>
            </w:r>
            <w:r>
              <w:fldChar w:fldCharType="separate"/>
            </w:r>
            <w:r>
              <w:t>14</w:t>
            </w:r>
            <w:r>
              <w:fldChar w:fldCharType="end"/>
            </w:r>
          </w:hyperlink>
        </w:p>
        <w:p>
          <w:pPr>
            <w:pStyle w:val="TOC2"/>
            <w:tabs>
              <w:tab w:val="right" w:leader="dot" w:pos="9071"/>
            </w:tabs>
          </w:pPr>
          <w:hyperlink w:anchor="_Toc30236" w:history="1">
            <w:r>
              <w:rPr>
                <w:rFonts w:cs="Times New Roman" w:hint="eastAsia"/>
                <w:i w:val="0"/>
                <w:caps w:val="0"/>
                <w:strike w:val="0"/>
                <w:dstrike w:val="0"/>
                <w:vanish w:val="0"/>
                <w:kern w:val="2"/>
                <w:szCs w:val="28"/>
                <w:vertAlign w:val="baseline"/>
                <w:lang w:val="en-US" w:eastAsia="zh-CN" w:bidi="ar-SA"/>
              </w:rPr>
              <w:t>4</w:t>
            </w:r>
            <w:r>
              <w:rPr>
                <w:rFonts w:cs="Times New Roman" w:hint="default"/>
                <w:i w:val="0"/>
                <w:caps w:val="0"/>
                <w:strike w:val="0"/>
                <w:dstrike w:val="0"/>
                <w:vanish w:val="0"/>
                <w:kern w:val="2"/>
                <w:szCs w:val="28"/>
                <w:vertAlign w:val="baseline"/>
                <w:lang w:val="en-US" w:eastAsia="zh-CN" w:bidi="ar-SA"/>
              </w:rPr>
              <w:t xml:space="preserve">.1  </w:t>
            </w:r>
            <w:r>
              <w:rPr>
                <w:rFonts w:cs="Times New Roman" w:hint="eastAsia"/>
                <w:i w:val="0"/>
                <w:caps w:val="0"/>
                <w:strike w:val="0"/>
                <w:dstrike w:val="0"/>
                <w:vanish w:val="0"/>
                <w:kern w:val="2"/>
                <w:szCs w:val="28"/>
                <w:vertAlign w:val="baseline"/>
                <w:lang w:val="en-US" w:eastAsia="zh-CN" w:bidi="ar-SA"/>
              </w:rPr>
              <w:t>技术参数</w:t>
            </w:r>
            <w:r>
              <w:tab/>
            </w:r>
            <w:r>
              <w:fldChar w:fldCharType="begin"/>
            </w:r>
            <w:r>
              <w:instrText xml:space="preserve"> PAGEREF _Toc30236 \h </w:instrText>
            </w:r>
            <w:r>
              <w:fldChar w:fldCharType="separate"/>
            </w:r>
            <w:r>
              <w:t>14</w:t>
            </w:r>
            <w:r>
              <w:fldChar w:fldCharType="end"/>
            </w:r>
          </w:hyperlink>
        </w:p>
        <w:p>
          <w:pPr>
            <w:pStyle w:val="TOC2"/>
            <w:tabs>
              <w:tab w:val="right" w:leader="dot" w:pos="9071"/>
            </w:tabs>
          </w:pPr>
          <w:hyperlink w:anchor="_Toc2798" w:history="1">
            <w:r>
              <w:rPr>
                <w:rFonts w:cs="Times New Roman" w:hint="eastAsia"/>
                <w:i w:val="0"/>
                <w:caps w:val="0"/>
                <w:strike w:val="0"/>
                <w:dstrike w:val="0"/>
                <w:vanish w:val="0"/>
                <w:kern w:val="2"/>
                <w:szCs w:val="28"/>
                <w:vertAlign w:val="baseline"/>
                <w:lang w:val="en-US" w:eastAsia="zh-CN" w:bidi="ar-SA"/>
              </w:rPr>
              <w:t>4</w:t>
            </w:r>
            <w:r>
              <w:rPr>
                <w:rFonts w:cs="Times New Roman" w:hint="default"/>
                <w:i w:val="0"/>
                <w:caps w:val="0"/>
                <w:strike w:val="0"/>
                <w:dstrike w:val="0"/>
                <w:vanish w:val="0"/>
                <w:kern w:val="2"/>
                <w:szCs w:val="28"/>
                <w:vertAlign w:val="baseline"/>
                <w:lang w:val="en-US" w:eastAsia="zh-CN" w:bidi="ar-SA"/>
              </w:rPr>
              <w:t>.2</w:t>
            </w:r>
            <w:r>
              <w:rPr>
                <w:rFonts w:cs="Times New Roman" w:hint="eastAsia"/>
                <w:i w:val="0"/>
                <w:caps w:val="0"/>
                <w:strike w:val="0"/>
                <w:dstrike w:val="0"/>
                <w:vanish w:val="0"/>
                <w:kern w:val="2"/>
                <w:szCs w:val="28"/>
                <w:vertAlign w:val="baseline"/>
                <w:lang w:val="en-US" w:eastAsia="zh-CN" w:bidi="ar-SA"/>
              </w:rPr>
              <w:t xml:space="preserve"> 塔吊拆除施工工艺流程</w:t>
            </w:r>
            <w:r>
              <w:tab/>
            </w:r>
            <w:r>
              <w:fldChar w:fldCharType="begin"/>
            </w:r>
            <w:r>
              <w:instrText xml:space="preserve"> PAGEREF _Toc2798 \h </w:instrText>
            </w:r>
            <w:r>
              <w:fldChar w:fldCharType="separate"/>
            </w:r>
            <w:r>
              <w:t>15</w:t>
            </w:r>
            <w:r>
              <w:fldChar w:fldCharType="end"/>
            </w:r>
          </w:hyperlink>
        </w:p>
        <w:p>
          <w:pPr>
            <w:pStyle w:val="TOC2"/>
            <w:tabs>
              <w:tab w:val="right" w:leader="dot" w:pos="9071"/>
            </w:tabs>
          </w:pPr>
          <w:hyperlink w:anchor="_Toc25243" w:history="1">
            <w:r>
              <w:rPr>
                <w:rFonts w:cs="Times New Roman" w:hint="eastAsia"/>
                <w:i w:val="0"/>
                <w:caps w:val="0"/>
                <w:strike w:val="0"/>
                <w:dstrike w:val="0"/>
                <w:vanish w:val="0"/>
                <w:kern w:val="2"/>
                <w:szCs w:val="28"/>
                <w:vertAlign w:val="baseline"/>
                <w:lang w:val="en-US" w:eastAsia="zh-CN" w:bidi="ar-SA"/>
              </w:rPr>
              <w:t>4.3塔吊拆除施工要点</w:t>
            </w:r>
            <w:r>
              <w:tab/>
            </w:r>
            <w:r>
              <w:fldChar w:fldCharType="begin"/>
            </w:r>
            <w:r>
              <w:instrText xml:space="preserve"> PAGEREF _Toc25243 \h </w:instrText>
            </w:r>
            <w:r>
              <w:fldChar w:fldCharType="separate"/>
            </w:r>
            <w:r>
              <w:t>15</w:t>
            </w:r>
            <w:r>
              <w:fldChar w:fldCharType="end"/>
            </w:r>
          </w:hyperlink>
        </w:p>
        <w:p>
          <w:pPr>
            <w:pStyle w:val="TOC2"/>
            <w:tabs>
              <w:tab w:val="right" w:leader="dot" w:pos="9071"/>
            </w:tabs>
          </w:pPr>
          <w:hyperlink w:anchor="_Toc7371" w:history="1">
            <w:r>
              <w:rPr>
                <w:rFonts w:cs="Times New Roman" w:hint="eastAsia"/>
                <w:i w:val="0"/>
                <w:caps w:val="0"/>
                <w:strike w:val="0"/>
                <w:dstrike w:val="0"/>
                <w:vanish w:val="0"/>
                <w:kern w:val="2"/>
                <w:szCs w:val="28"/>
                <w:vertAlign w:val="baseline"/>
                <w:lang w:val="en-US" w:eastAsia="zh-CN" w:bidi="ar-SA"/>
              </w:rPr>
              <w:t>4.4操作要求</w:t>
            </w:r>
            <w:r>
              <w:tab/>
            </w:r>
            <w:r>
              <w:fldChar w:fldCharType="begin"/>
            </w:r>
            <w:r>
              <w:instrText xml:space="preserve"> PAGEREF _Toc7371 \h </w:instrText>
            </w:r>
            <w:r>
              <w:fldChar w:fldCharType="separate"/>
            </w:r>
            <w:r>
              <w:t>19</w:t>
            </w:r>
            <w:r>
              <w:fldChar w:fldCharType="end"/>
            </w:r>
          </w:hyperlink>
        </w:p>
        <w:p>
          <w:pPr>
            <w:pStyle w:val="TOC2"/>
            <w:tabs>
              <w:tab w:val="right" w:leader="dot" w:pos="9071"/>
            </w:tabs>
          </w:pPr>
          <w:hyperlink w:anchor="_Toc7064" w:history="1">
            <w:r>
              <w:rPr>
                <w:rFonts w:cs="Times New Roman" w:hint="eastAsia"/>
                <w:i w:val="0"/>
                <w:caps w:val="0"/>
                <w:strike w:val="0"/>
                <w:dstrike w:val="0"/>
                <w:vanish w:val="0"/>
                <w:kern w:val="2"/>
                <w:szCs w:val="28"/>
                <w:vertAlign w:val="baseline"/>
                <w:lang w:val="en-US" w:eastAsia="zh-CN" w:bidi="ar-SA"/>
              </w:rPr>
              <w:t>4.5安全检查要求</w:t>
            </w:r>
            <w:r>
              <w:tab/>
            </w:r>
            <w:r>
              <w:fldChar w:fldCharType="begin"/>
            </w:r>
            <w:r>
              <w:instrText xml:space="preserve"> PAGEREF _Toc7064 \h </w:instrText>
            </w:r>
            <w:r>
              <w:fldChar w:fldCharType="separate"/>
            </w:r>
            <w:r>
              <w:t>20</w:t>
            </w:r>
            <w:r>
              <w:fldChar w:fldCharType="end"/>
            </w:r>
          </w:hyperlink>
        </w:p>
        <w:p>
          <w:pPr>
            <w:pStyle w:val="TOC1"/>
            <w:tabs>
              <w:tab w:val="right" w:leader="dot" w:pos="9071"/>
            </w:tabs>
          </w:pPr>
          <w:hyperlink w:anchor="_Toc21363" w:history="1">
            <w:r>
              <w:rPr>
                <w:rFonts w:ascii="黑体" w:eastAsia="黑体" w:hAnsi="黑体" w:cs="黑体" w:hint="eastAsia"/>
                <w:i w:val="0"/>
                <w:caps w:val="0"/>
                <w:strike w:val="0"/>
                <w:dstrike w:val="0"/>
                <w:vanish w:val="0"/>
                <w:kern w:val="2"/>
                <w:szCs w:val="32"/>
                <w:vertAlign w:val="baseline"/>
                <w:lang w:val="en-US" w:eastAsia="zh-CN" w:bidi="ar-SA"/>
              </w:rPr>
              <w:t>第</w:t>
            </w:r>
            <w:r>
              <w:rPr>
                <w:rFonts w:cs="黑体" w:hint="eastAsia"/>
                <w:i w:val="0"/>
                <w:caps w:val="0"/>
                <w:strike w:val="0"/>
                <w:dstrike w:val="0"/>
                <w:vanish w:val="0"/>
                <w:kern w:val="2"/>
                <w:szCs w:val="32"/>
                <w:vertAlign w:val="baseline"/>
                <w:lang w:val="en-US" w:eastAsia="zh-CN" w:bidi="ar-SA"/>
              </w:rPr>
              <w:t>五</w:t>
            </w:r>
            <w:r>
              <w:rPr>
                <w:rFonts w:ascii="黑体" w:eastAsia="黑体" w:hAnsi="黑体" w:cs="黑体" w:hint="eastAsia"/>
                <w:i w:val="0"/>
                <w:caps w:val="0"/>
                <w:strike w:val="0"/>
                <w:dstrike w:val="0"/>
                <w:vanish w:val="0"/>
                <w:kern w:val="2"/>
                <w:szCs w:val="32"/>
                <w:vertAlign w:val="baseline"/>
                <w:lang w:val="en-US" w:eastAsia="zh-CN" w:bidi="ar-SA"/>
              </w:rPr>
              <w:t xml:space="preserve">章  </w:t>
            </w:r>
            <w:r>
              <w:rPr>
                <w:rFonts w:hint="eastAsia"/>
                <w:szCs w:val="32"/>
              </w:rPr>
              <w:t>施工</w:t>
            </w:r>
            <w:r>
              <w:rPr>
                <w:rFonts w:hint="eastAsia"/>
                <w:szCs w:val="32"/>
                <w:lang w:val="en-US" w:eastAsia="zh-CN"/>
              </w:rPr>
              <w:t>安全</w:t>
            </w:r>
            <w:r>
              <w:rPr>
                <w:rFonts w:hint="eastAsia"/>
                <w:szCs w:val="32"/>
              </w:rPr>
              <w:t>保证措施</w:t>
            </w:r>
            <w:r>
              <w:tab/>
            </w:r>
            <w:r>
              <w:fldChar w:fldCharType="begin"/>
            </w:r>
            <w:r>
              <w:instrText xml:space="preserve"> PAGEREF _Toc21363 \h </w:instrText>
            </w:r>
            <w:r>
              <w:fldChar w:fldCharType="separate"/>
            </w:r>
            <w:r>
              <w:t>21</w:t>
            </w:r>
            <w:r>
              <w:fldChar w:fldCharType="end"/>
            </w:r>
          </w:hyperlink>
        </w:p>
        <w:p>
          <w:pPr>
            <w:pStyle w:val="TOC2"/>
            <w:tabs>
              <w:tab w:val="right" w:leader="dot" w:pos="9071"/>
            </w:tabs>
          </w:pPr>
          <w:hyperlink w:anchor="_Toc1229" w:history="1">
            <w:r>
              <w:rPr>
                <w:rFonts w:cs="Times New Roman" w:hint="eastAsia"/>
                <w:i w:val="0"/>
                <w:caps w:val="0"/>
                <w:strike w:val="0"/>
                <w:dstrike w:val="0"/>
                <w:vanish w:val="0"/>
                <w:kern w:val="2"/>
                <w:szCs w:val="28"/>
                <w:vertAlign w:val="baseline"/>
                <w:lang w:val="en-US" w:eastAsia="zh-CN" w:bidi="ar-SA"/>
              </w:rPr>
              <w:t>5</w:t>
            </w:r>
            <w:r>
              <w:rPr>
                <w:rFonts w:ascii="黑体" w:eastAsia="黑体" w:hAnsi="黑体" w:cs="Times New Roman" w:hint="default"/>
                <w:i w:val="0"/>
                <w:caps w:val="0"/>
                <w:strike w:val="0"/>
                <w:dstrike w:val="0"/>
                <w:vanish w:val="0"/>
                <w:kern w:val="2"/>
                <w:szCs w:val="28"/>
                <w:vertAlign w:val="baseline"/>
                <w:lang w:val="en-US" w:eastAsia="zh-CN" w:bidi="ar-SA"/>
              </w:rPr>
              <w:t xml:space="preserve">.1  </w:t>
            </w:r>
            <w:r>
              <w:rPr>
                <w:rFonts w:hint="eastAsia"/>
              </w:rPr>
              <w:t>塔式起重机危险源分析、评价及控制措施</w:t>
            </w:r>
            <w:r>
              <w:tab/>
            </w:r>
            <w:r>
              <w:fldChar w:fldCharType="begin"/>
            </w:r>
            <w:r>
              <w:instrText xml:space="preserve"> PAGEREF _Toc1229 \h </w:instrText>
            </w:r>
            <w:r>
              <w:fldChar w:fldCharType="separate"/>
            </w:r>
            <w:r>
              <w:t>21</w:t>
            </w:r>
            <w:r>
              <w:fldChar w:fldCharType="end"/>
            </w:r>
          </w:hyperlink>
        </w:p>
        <w:p>
          <w:pPr>
            <w:pStyle w:val="TOC2"/>
            <w:tabs>
              <w:tab w:val="right" w:leader="dot" w:pos="9071"/>
            </w:tabs>
          </w:pPr>
          <w:hyperlink w:anchor="_Toc17645" w:history="1">
            <w:r>
              <w:rPr>
                <w:rFonts w:cs="Times New Roman" w:hint="eastAsia"/>
                <w:i w:val="0"/>
                <w:caps w:val="0"/>
                <w:strike w:val="0"/>
                <w:dstrike w:val="0"/>
                <w:vanish w:val="0"/>
                <w:kern w:val="2"/>
                <w:szCs w:val="28"/>
                <w:vertAlign w:val="baseline"/>
                <w:lang w:val="en-US" w:eastAsia="zh-CN" w:bidi="ar-SA"/>
              </w:rPr>
              <w:t>5</w:t>
            </w:r>
            <w:r>
              <w:rPr>
                <w:rFonts w:ascii="黑体" w:eastAsia="黑体" w:hAnsi="黑体" w:cs="Times New Roman" w:hint="default"/>
                <w:i w:val="0"/>
                <w:caps w:val="0"/>
                <w:strike w:val="0"/>
                <w:dstrike w:val="0"/>
                <w:vanish w:val="0"/>
                <w:kern w:val="2"/>
                <w:szCs w:val="28"/>
                <w:vertAlign w:val="baseline"/>
                <w:lang w:val="en-US" w:eastAsia="zh-CN" w:bidi="ar-SA"/>
              </w:rPr>
              <w:t xml:space="preserve">.2  </w:t>
            </w:r>
            <w:r>
              <w:rPr>
                <w:rFonts w:hint="eastAsia"/>
                <w:szCs w:val="28"/>
              </w:rPr>
              <w:t>危险源安全保证措施</w:t>
            </w:r>
            <w:r>
              <w:tab/>
            </w:r>
            <w:r>
              <w:fldChar w:fldCharType="begin"/>
            </w:r>
            <w:r>
              <w:instrText xml:space="preserve"> PAGEREF _Toc17645 \h </w:instrText>
            </w:r>
            <w:r>
              <w:fldChar w:fldCharType="separate"/>
            </w:r>
            <w:r>
              <w:t>23</w:t>
            </w:r>
            <w:r>
              <w:fldChar w:fldCharType="end"/>
            </w:r>
          </w:hyperlink>
        </w:p>
        <w:p>
          <w:pPr>
            <w:pStyle w:val="TOC2"/>
            <w:tabs>
              <w:tab w:val="right" w:leader="dot" w:pos="9071"/>
            </w:tabs>
          </w:pPr>
          <w:hyperlink w:anchor="_Toc11056" w:history="1">
            <w:r>
              <w:rPr>
                <w:rFonts w:cs="Times New Roman" w:hint="eastAsia"/>
                <w:i w:val="0"/>
                <w:caps w:val="0"/>
                <w:strike w:val="0"/>
                <w:dstrike w:val="0"/>
                <w:vanish w:val="0"/>
                <w:kern w:val="2"/>
                <w:szCs w:val="28"/>
                <w:vertAlign w:val="baseline"/>
                <w:lang w:val="en-US" w:eastAsia="zh-CN" w:bidi="ar-SA"/>
              </w:rPr>
              <w:t>5</w:t>
            </w:r>
            <w:r>
              <w:rPr>
                <w:rFonts w:ascii="黑体" w:eastAsia="黑体" w:hAnsi="黑体" w:cs="Times New Roman" w:hint="default"/>
                <w:i w:val="0"/>
                <w:caps w:val="0"/>
                <w:strike w:val="0"/>
                <w:dstrike w:val="0"/>
                <w:vanish w:val="0"/>
                <w:kern w:val="2"/>
                <w:szCs w:val="28"/>
                <w:vertAlign w:val="baseline"/>
                <w:lang w:val="en-US" w:eastAsia="zh-CN" w:bidi="ar-SA"/>
              </w:rPr>
              <w:t xml:space="preserve">.3  </w:t>
            </w:r>
            <w:r>
              <w:rPr>
                <w:rFonts w:hint="eastAsia"/>
                <w:szCs w:val="28"/>
              </w:rPr>
              <w:t>安全生产管理目标、控制指标</w:t>
            </w:r>
            <w:r>
              <w:tab/>
            </w:r>
            <w:r>
              <w:fldChar w:fldCharType="begin"/>
            </w:r>
            <w:r>
              <w:instrText xml:space="preserve"> PAGEREF _Toc11056 \h </w:instrText>
            </w:r>
            <w:r>
              <w:fldChar w:fldCharType="separate"/>
            </w:r>
            <w:r>
              <w:t>24</w:t>
            </w:r>
            <w:r>
              <w:fldChar w:fldCharType="end"/>
            </w:r>
          </w:hyperlink>
        </w:p>
        <w:p>
          <w:pPr>
            <w:pStyle w:val="TOC2"/>
            <w:tabs>
              <w:tab w:val="right" w:leader="dot" w:pos="9071"/>
            </w:tabs>
          </w:pPr>
          <w:hyperlink w:anchor="_Toc23280" w:history="1">
            <w:r>
              <w:rPr>
                <w:rFonts w:cs="Times New Roman" w:hint="eastAsia"/>
                <w:i w:val="0"/>
                <w:caps w:val="0"/>
                <w:strike w:val="0"/>
                <w:dstrike w:val="0"/>
                <w:vanish w:val="0"/>
                <w:kern w:val="2"/>
                <w:szCs w:val="28"/>
                <w:vertAlign w:val="baseline"/>
                <w:lang w:val="en-US" w:eastAsia="zh-CN" w:bidi="ar-SA"/>
              </w:rPr>
              <w:t>5</w:t>
            </w:r>
            <w:r>
              <w:rPr>
                <w:rFonts w:ascii="黑体" w:eastAsia="黑体" w:hAnsi="黑体" w:cs="Times New Roman" w:hint="default"/>
                <w:i w:val="0"/>
                <w:caps w:val="0"/>
                <w:strike w:val="0"/>
                <w:dstrike w:val="0"/>
                <w:vanish w:val="0"/>
                <w:kern w:val="2"/>
                <w:szCs w:val="28"/>
                <w:vertAlign w:val="baseline"/>
                <w:lang w:val="en-US" w:eastAsia="zh-CN" w:bidi="ar-SA"/>
              </w:rPr>
              <w:t xml:space="preserve">.4  </w:t>
            </w:r>
            <w:r>
              <w:rPr>
                <w:rFonts w:hint="eastAsia"/>
              </w:rPr>
              <w:t>组织保障</w:t>
            </w:r>
            <w:r>
              <w:tab/>
            </w:r>
            <w:r>
              <w:fldChar w:fldCharType="begin"/>
            </w:r>
            <w:r>
              <w:instrText xml:space="preserve"> PAGEREF _Toc23280 \h </w:instrText>
            </w:r>
            <w:r>
              <w:fldChar w:fldCharType="separate"/>
            </w:r>
            <w:r>
              <w:t>24</w:t>
            </w:r>
            <w:r>
              <w:fldChar w:fldCharType="end"/>
            </w:r>
          </w:hyperlink>
        </w:p>
        <w:p>
          <w:pPr>
            <w:pStyle w:val="TOC2"/>
            <w:tabs>
              <w:tab w:val="right" w:leader="dot" w:pos="9071"/>
            </w:tabs>
          </w:pPr>
          <w:hyperlink w:anchor="_Toc24776" w:history="1">
            <w:r>
              <w:rPr>
                <w:rFonts w:cs="Times New Roman" w:hint="eastAsia"/>
                <w:i w:val="0"/>
                <w:caps w:val="0"/>
                <w:strike w:val="0"/>
                <w:dstrike w:val="0"/>
                <w:vanish w:val="0"/>
                <w:kern w:val="2"/>
                <w:szCs w:val="28"/>
                <w:vertAlign w:val="baseline"/>
                <w:lang w:val="en-US" w:eastAsia="zh-CN" w:bidi="ar-SA"/>
              </w:rPr>
              <w:t>5</w:t>
            </w:r>
            <w:r>
              <w:rPr>
                <w:rFonts w:ascii="黑体" w:eastAsia="黑体" w:hAnsi="黑体" w:cs="Times New Roman" w:hint="default"/>
                <w:i w:val="0"/>
                <w:caps w:val="0"/>
                <w:strike w:val="0"/>
                <w:dstrike w:val="0"/>
                <w:vanish w:val="0"/>
                <w:kern w:val="2"/>
                <w:szCs w:val="28"/>
                <w:vertAlign w:val="baseline"/>
                <w:lang w:val="en-US" w:eastAsia="zh-CN" w:bidi="ar-SA"/>
              </w:rPr>
              <w:t xml:space="preserve">.5  </w:t>
            </w:r>
            <w:r>
              <w:rPr>
                <w:rFonts w:hint="eastAsia"/>
                <w:szCs w:val="28"/>
              </w:rPr>
              <w:t>监测项目</w:t>
            </w:r>
            <w:r>
              <w:tab/>
            </w:r>
            <w:r>
              <w:fldChar w:fldCharType="begin"/>
            </w:r>
            <w:r>
              <w:instrText xml:space="preserve"> PAGEREF _Toc24776 \h </w:instrText>
            </w:r>
            <w:r>
              <w:fldChar w:fldCharType="separate"/>
            </w:r>
            <w:r>
              <w:t>28</w:t>
            </w:r>
            <w:r>
              <w:fldChar w:fldCharType="end"/>
            </w:r>
          </w:hyperlink>
        </w:p>
        <w:p>
          <w:pPr>
            <w:pStyle w:val="TOC2"/>
            <w:tabs>
              <w:tab w:val="right" w:leader="dot" w:pos="9071"/>
            </w:tabs>
          </w:pPr>
          <w:hyperlink w:anchor="_Toc6627" w:history="1">
            <w:r>
              <w:rPr>
                <w:rFonts w:cs="Times New Roman" w:hint="eastAsia"/>
                <w:i w:val="0"/>
                <w:caps w:val="0"/>
                <w:strike w:val="0"/>
                <w:dstrike w:val="0"/>
                <w:vanish w:val="0"/>
                <w:kern w:val="2"/>
                <w:szCs w:val="28"/>
                <w:vertAlign w:val="baseline"/>
                <w:lang w:val="en-US" w:eastAsia="zh-CN" w:bidi="ar-SA"/>
              </w:rPr>
              <w:t>5</w:t>
            </w:r>
            <w:r>
              <w:rPr>
                <w:rFonts w:ascii="黑体" w:eastAsia="黑体" w:hAnsi="黑体" w:cs="Times New Roman" w:hint="default"/>
                <w:i w:val="0"/>
                <w:caps w:val="0"/>
                <w:strike w:val="0"/>
                <w:dstrike w:val="0"/>
                <w:vanish w:val="0"/>
                <w:kern w:val="2"/>
                <w:szCs w:val="28"/>
                <w:vertAlign w:val="baseline"/>
                <w:lang w:val="en-US" w:eastAsia="zh-CN" w:bidi="ar-SA"/>
              </w:rPr>
              <w:t xml:space="preserve">.6  </w:t>
            </w:r>
            <w:r>
              <w:rPr>
                <w:rFonts w:hint="eastAsia"/>
                <w:szCs w:val="28"/>
              </w:rPr>
              <w:t>文明施工及环境保护措施</w:t>
            </w:r>
            <w:r>
              <w:tab/>
            </w:r>
            <w:r>
              <w:fldChar w:fldCharType="begin"/>
            </w:r>
            <w:r>
              <w:instrText xml:space="preserve"> PAGEREF _Toc6627 \h </w:instrText>
            </w:r>
            <w:r>
              <w:fldChar w:fldCharType="separate"/>
            </w:r>
            <w:r>
              <w:t>30</w:t>
            </w:r>
            <w:r>
              <w:fldChar w:fldCharType="end"/>
            </w:r>
          </w:hyperlink>
        </w:p>
        <w:p>
          <w:pPr>
            <w:pStyle w:val="TOC1"/>
            <w:tabs>
              <w:tab w:val="right" w:leader="dot" w:pos="9071"/>
            </w:tabs>
          </w:pPr>
          <w:hyperlink w:anchor="_Toc12505" w:history="1">
            <w:r>
              <w:rPr>
                <w:rFonts w:ascii="黑体" w:eastAsia="黑体" w:hAnsi="黑体" w:cs="黑体" w:hint="eastAsia"/>
                <w:i w:val="0"/>
                <w:caps w:val="0"/>
                <w:strike w:val="0"/>
                <w:dstrike w:val="0"/>
                <w:vanish w:val="0"/>
                <w:kern w:val="2"/>
                <w:szCs w:val="32"/>
                <w:vertAlign w:val="baseline"/>
                <w:lang w:val="en-US" w:eastAsia="zh-CN" w:bidi="ar-SA"/>
              </w:rPr>
              <w:t>第</w:t>
            </w:r>
            <w:r>
              <w:rPr>
                <w:rFonts w:cs="黑体" w:hint="eastAsia"/>
                <w:i w:val="0"/>
                <w:caps w:val="0"/>
                <w:strike w:val="0"/>
                <w:dstrike w:val="0"/>
                <w:vanish w:val="0"/>
                <w:kern w:val="2"/>
                <w:szCs w:val="32"/>
                <w:vertAlign w:val="baseline"/>
                <w:lang w:val="en-US" w:eastAsia="zh-CN" w:bidi="ar-SA"/>
              </w:rPr>
              <w:t>六</w:t>
            </w:r>
            <w:r>
              <w:rPr>
                <w:rFonts w:ascii="黑体" w:eastAsia="黑体" w:hAnsi="黑体" w:cs="黑体" w:hint="eastAsia"/>
                <w:i w:val="0"/>
                <w:caps w:val="0"/>
                <w:strike w:val="0"/>
                <w:dstrike w:val="0"/>
                <w:vanish w:val="0"/>
                <w:kern w:val="2"/>
                <w:szCs w:val="32"/>
                <w:vertAlign w:val="baseline"/>
                <w:lang w:val="en-US" w:eastAsia="zh-CN" w:bidi="ar-SA"/>
              </w:rPr>
              <w:t xml:space="preserve">章  </w:t>
            </w:r>
            <w:r>
              <w:rPr>
                <w:rFonts w:hint="eastAsia"/>
                <w:szCs w:val="32"/>
                <w:lang w:val="en-US" w:eastAsia="zh-CN"/>
              </w:rPr>
              <w:t>施工管理及作业人员配备和分工</w:t>
            </w:r>
            <w:r>
              <w:tab/>
            </w:r>
            <w:r>
              <w:fldChar w:fldCharType="begin"/>
            </w:r>
            <w:r>
              <w:instrText xml:space="preserve"> PAGEREF _Toc12505 \h </w:instrText>
            </w:r>
            <w:r>
              <w:fldChar w:fldCharType="separate"/>
            </w:r>
            <w:r>
              <w:t>31</w:t>
            </w:r>
            <w:r>
              <w:fldChar w:fldCharType="end"/>
            </w:r>
          </w:hyperlink>
        </w:p>
        <w:p>
          <w:pPr>
            <w:pStyle w:val="TOC2"/>
            <w:tabs>
              <w:tab w:val="right" w:leader="dot" w:pos="9071"/>
            </w:tabs>
          </w:pPr>
          <w:hyperlink w:anchor="_Toc32401" w:history="1">
            <w:r>
              <w:rPr>
                <w:rFonts w:cs="Times New Roman" w:hint="eastAsia"/>
                <w:i w:val="0"/>
                <w:caps w:val="0"/>
                <w:strike w:val="0"/>
                <w:dstrike w:val="0"/>
                <w:vanish w:val="0"/>
                <w:kern w:val="2"/>
                <w:szCs w:val="28"/>
                <w:vertAlign w:val="baseline"/>
                <w:lang w:val="en-US" w:eastAsia="zh-CN" w:bidi="ar-SA"/>
              </w:rPr>
              <w:t>6</w:t>
            </w:r>
            <w:r>
              <w:rPr>
                <w:rFonts w:ascii="黑体" w:eastAsia="黑体" w:hAnsi="黑体" w:cs="Times New Roman" w:hint="default"/>
                <w:i w:val="0"/>
                <w:caps w:val="0"/>
                <w:strike w:val="0"/>
                <w:dstrike w:val="0"/>
                <w:vanish w:val="0"/>
                <w:kern w:val="2"/>
                <w:szCs w:val="28"/>
                <w:vertAlign w:val="baseline"/>
                <w:lang w:val="en-US" w:eastAsia="zh-CN" w:bidi="ar-SA"/>
              </w:rPr>
              <w:t xml:space="preserve">.1  </w:t>
            </w:r>
            <w:r>
              <w:rPr>
                <w:rFonts w:hint="eastAsia"/>
                <w:lang w:val="en-US" w:eastAsia="zh-CN"/>
              </w:rPr>
              <w:t>施工管理人员组织机构</w:t>
            </w:r>
            <w:r>
              <w:tab/>
            </w:r>
            <w:r>
              <w:fldChar w:fldCharType="begin"/>
            </w:r>
            <w:r>
              <w:instrText xml:space="preserve"> PAGEREF _Toc32401 \h </w:instrText>
            </w:r>
            <w:r>
              <w:fldChar w:fldCharType="separate"/>
            </w:r>
            <w:r>
              <w:t>31</w:t>
            </w:r>
            <w:r>
              <w:fldChar w:fldCharType="end"/>
            </w:r>
          </w:hyperlink>
        </w:p>
        <w:p>
          <w:pPr>
            <w:pStyle w:val="TOC2"/>
            <w:tabs>
              <w:tab w:val="right" w:leader="dot" w:pos="9071"/>
            </w:tabs>
          </w:pPr>
          <w:hyperlink w:anchor="_Toc4429" w:history="1">
            <w:r>
              <w:rPr>
                <w:rFonts w:cs="Times New Roman" w:hint="eastAsia"/>
                <w:i w:val="0"/>
                <w:caps w:val="0"/>
                <w:strike w:val="0"/>
                <w:dstrike w:val="0"/>
                <w:vanish w:val="0"/>
                <w:kern w:val="2"/>
                <w:szCs w:val="28"/>
                <w:vertAlign w:val="baseline"/>
                <w:lang w:val="en-US" w:eastAsia="zh-CN" w:bidi="ar-SA"/>
              </w:rPr>
              <w:t>6</w:t>
            </w:r>
            <w:r>
              <w:rPr>
                <w:rFonts w:ascii="黑体" w:eastAsia="黑体" w:hAnsi="黑体" w:cs="Times New Roman" w:hint="default"/>
                <w:i w:val="0"/>
                <w:caps w:val="0"/>
                <w:strike w:val="0"/>
                <w:dstrike w:val="0"/>
                <w:vanish w:val="0"/>
                <w:kern w:val="2"/>
                <w:szCs w:val="28"/>
                <w:vertAlign w:val="baseline"/>
                <w:lang w:val="en-US" w:eastAsia="zh-CN" w:bidi="ar-SA"/>
              </w:rPr>
              <w:t xml:space="preserve">.2  </w:t>
            </w:r>
            <w:r>
              <w:rPr>
                <w:rFonts w:hint="eastAsia"/>
                <w:szCs w:val="28"/>
              </w:rPr>
              <w:t>施工</w:t>
            </w:r>
            <w:r>
              <w:rPr>
                <w:rFonts w:hint="eastAsia"/>
                <w:szCs w:val="28"/>
                <w:lang w:val="en-US" w:eastAsia="zh-CN"/>
              </w:rPr>
              <w:t>管理人员及职责</w:t>
            </w:r>
            <w:r>
              <w:tab/>
            </w:r>
            <w:r>
              <w:fldChar w:fldCharType="begin"/>
            </w:r>
            <w:r>
              <w:instrText xml:space="preserve"> PAGEREF _Toc4429 \h </w:instrText>
            </w:r>
            <w:r>
              <w:fldChar w:fldCharType="separate"/>
            </w:r>
            <w:r>
              <w:t>32</w:t>
            </w:r>
            <w:r>
              <w:fldChar w:fldCharType="end"/>
            </w:r>
          </w:hyperlink>
        </w:p>
        <w:p>
          <w:pPr>
            <w:pStyle w:val="TOC2"/>
            <w:tabs>
              <w:tab w:val="right" w:leader="dot" w:pos="9071"/>
            </w:tabs>
          </w:pPr>
          <w:hyperlink w:anchor="_Toc2653" w:history="1">
            <w:r>
              <w:rPr>
                <w:rFonts w:cs="Times New Roman" w:hint="eastAsia"/>
                <w:i w:val="0"/>
                <w:caps w:val="0"/>
                <w:strike w:val="0"/>
                <w:dstrike w:val="0"/>
                <w:vanish w:val="0"/>
                <w:kern w:val="2"/>
                <w:szCs w:val="28"/>
                <w:vertAlign w:val="baseline"/>
                <w:lang w:val="en-US" w:eastAsia="zh-CN" w:bidi="ar-SA"/>
              </w:rPr>
              <w:t>6</w:t>
            </w:r>
            <w:r>
              <w:rPr>
                <w:rFonts w:ascii="黑体" w:eastAsia="黑体" w:hAnsi="黑体" w:cs="Times New Roman" w:hint="default"/>
                <w:i w:val="0"/>
                <w:caps w:val="0"/>
                <w:strike w:val="0"/>
                <w:dstrike w:val="0"/>
                <w:vanish w:val="0"/>
                <w:kern w:val="2"/>
                <w:szCs w:val="28"/>
                <w:vertAlign w:val="baseline"/>
                <w:lang w:val="en-US" w:eastAsia="zh-CN" w:bidi="ar-SA"/>
              </w:rPr>
              <w:t xml:space="preserve">.3  </w:t>
            </w:r>
            <w:r>
              <w:rPr>
                <w:rFonts w:hint="eastAsia"/>
                <w:szCs w:val="28"/>
              </w:rPr>
              <w:t>相关人员证件</w:t>
            </w:r>
            <w:r>
              <w:tab/>
            </w:r>
            <w:r>
              <w:fldChar w:fldCharType="begin"/>
            </w:r>
            <w:r>
              <w:instrText xml:space="preserve"> PAGEREF _Toc2653 \h </w:instrText>
            </w:r>
            <w:r>
              <w:fldChar w:fldCharType="separate"/>
            </w:r>
            <w:r>
              <w:t>33</w:t>
            </w:r>
            <w:r>
              <w:fldChar w:fldCharType="end"/>
            </w:r>
          </w:hyperlink>
        </w:p>
        <w:p>
          <w:pPr>
            <w:pStyle w:val="TOC1"/>
            <w:tabs>
              <w:tab w:val="right" w:leader="dot" w:pos="9071"/>
            </w:tabs>
          </w:pPr>
          <w:hyperlink w:anchor="_Toc23701" w:history="1">
            <w:r>
              <w:rPr>
                <w:rFonts w:ascii="黑体" w:eastAsia="黑体" w:hAnsi="黑体" w:cs="黑体" w:hint="eastAsia"/>
                <w:i w:val="0"/>
                <w:caps w:val="0"/>
                <w:strike w:val="0"/>
                <w:dstrike w:val="0"/>
                <w:vanish w:val="0"/>
                <w:kern w:val="2"/>
                <w:szCs w:val="32"/>
                <w:vertAlign w:val="baseline"/>
                <w:lang w:val="en-US" w:eastAsia="zh-CN" w:bidi="ar-SA"/>
              </w:rPr>
              <w:t>第</w:t>
            </w:r>
            <w:r>
              <w:rPr>
                <w:rFonts w:cs="黑体" w:hint="eastAsia"/>
                <w:i w:val="0"/>
                <w:caps w:val="0"/>
                <w:strike w:val="0"/>
                <w:dstrike w:val="0"/>
                <w:vanish w:val="0"/>
                <w:kern w:val="2"/>
                <w:szCs w:val="32"/>
                <w:vertAlign w:val="baseline"/>
                <w:lang w:val="en-US" w:eastAsia="zh-CN" w:bidi="ar-SA"/>
              </w:rPr>
              <w:t>七</w:t>
            </w:r>
            <w:r>
              <w:rPr>
                <w:rFonts w:ascii="黑体" w:eastAsia="黑体" w:hAnsi="黑体" w:cs="黑体" w:hint="eastAsia"/>
                <w:i w:val="0"/>
                <w:caps w:val="0"/>
                <w:strike w:val="0"/>
                <w:dstrike w:val="0"/>
                <w:vanish w:val="0"/>
                <w:kern w:val="2"/>
                <w:szCs w:val="32"/>
                <w:vertAlign w:val="baseline"/>
                <w:lang w:val="en-US" w:eastAsia="zh-CN" w:bidi="ar-SA"/>
              </w:rPr>
              <w:t xml:space="preserve">章  </w:t>
            </w:r>
            <w:r>
              <w:rPr>
                <w:rFonts w:hint="eastAsia"/>
                <w:szCs w:val="32"/>
              </w:rPr>
              <w:t>验收要求</w:t>
            </w:r>
            <w:r>
              <w:tab/>
            </w:r>
            <w:r>
              <w:fldChar w:fldCharType="begin"/>
            </w:r>
            <w:r>
              <w:instrText xml:space="preserve"> PAGEREF _Toc23701 \h </w:instrText>
            </w:r>
            <w:r>
              <w:fldChar w:fldCharType="separate"/>
            </w:r>
            <w:r>
              <w:t>33</w:t>
            </w:r>
            <w:r>
              <w:fldChar w:fldCharType="end"/>
            </w:r>
          </w:hyperlink>
        </w:p>
        <w:p>
          <w:pPr>
            <w:pStyle w:val="TOC2"/>
            <w:tabs>
              <w:tab w:val="right" w:leader="dot" w:pos="9071"/>
            </w:tabs>
          </w:pPr>
          <w:hyperlink w:anchor="_Toc31268" w:history="1">
            <w:r>
              <w:rPr>
                <w:rFonts w:cs="Times New Roman" w:hint="eastAsia"/>
                <w:i w:val="0"/>
                <w:caps w:val="0"/>
                <w:strike w:val="0"/>
                <w:dstrike w:val="0"/>
                <w:vanish w:val="0"/>
                <w:kern w:val="2"/>
                <w:szCs w:val="28"/>
                <w:vertAlign w:val="baseline"/>
                <w:lang w:val="en-US" w:eastAsia="zh-CN" w:bidi="ar-SA"/>
              </w:rPr>
              <w:t>7</w:t>
            </w:r>
            <w:r>
              <w:rPr>
                <w:rFonts w:ascii="黑体" w:eastAsia="黑体" w:hAnsi="黑体" w:cs="Times New Roman" w:hint="default"/>
                <w:i w:val="0"/>
                <w:caps w:val="0"/>
                <w:strike w:val="0"/>
                <w:dstrike w:val="0"/>
                <w:vanish w:val="0"/>
                <w:kern w:val="2"/>
                <w:szCs w:val="28"/>
                <w:vertAlign w:val="baseline"/>
                <w:lang w:val="en-US" w:eastAsia="zh-CN" w:bidi="ar-SA"/>
              </w:rPr>
              <w:t xml:space="preserve">.1  </w:t>
            </w:r>
            <w:r>
              <w:rPr>
                <w:rFonts w:hint="eastAsia"/>
                <w:szCs w:val="28"/>
              </w:rPr>
              <w:t>验收标准</w:t>
            </w:r>
            <w:r>
              <w:tab/>
            </w:r>
            <w:r>
              <w:fldChar w:fldCharType="begin"/>
            </w:r>
            <w:r>
              <w:instrText xml:space="preserve"> PAGEREF _Toc31268 \h </w:instrText>
            </w:r>
            <w:r>
              <w:fldChar w:fldCharType="separate"/>
            </w:r>
            <w:r>
              <w:t>33</w:t>
            </w:r>
            <w:r>
              <w:fldChar w:fldCharType="end"/>
            </w:r>
          </w:hyperlink>
        </w:p>
        <w:p>
          <w:pPr>
            <w:pStyle w:val="TOC2"/>
            <w:tabs>
              <w:tab w:val="right" w:leader="dot" w:pos="9071"/>
            </w:tabs>
          </w:pPr>
          <w:hyperlink w:anchor="_Toc16258" w:history="1">
            <w:r>
              <w:rPr>
                <w:rFonts w:cs="Times New Roman" w:hint="eastAsia"/>
                <w:i w:val="0"/>
                <w:caps w:val="0"/>
                <w:strike w:val="0"/>
                <w:dstrike w:val="0"/>
                <w:vanish w:val="0"/>
                <w:kern w:val="2"/>
                <w:szCs w:val="28"/>
                <w:vertAlign w:val="baseline"/>
                <w:lang w:val="en-US" w:eastAsia="zh-CN" w:bidi="ar-SA"/>
              </w:rPr>
              <w:t>7</w:t>
            </w:r>
            <w:r>
              <w:rPr>
                <w:rFonts w:cs="Times New Roman" w:hint="default"/>
                <w:i w:val="0"/>
                <w:caps w:val="0"/>
                <w:strike w:val="0"/>
                <w:dstrike w:val="0"/>
                <w:vanish w:val="0"/>
                <w:kern w:val="2"/>
                <w:szCs w:val="28"/>
                <w:vertAlign w:val="baseline"/>
                <w:lang w:val="en-US" w:eastAsia="zh-CN" w:bidi="ar-SA"/>
              </w:rPr>
              <w:t xml:space="preserve">.2  </w:t>
            </w:r>
            <w:r>
              <w:rPr>
                <w:rFonts w:cs="Times New Roman" w:hint="eastAsia"/>
                <w:i w:val="0"/>
                <w:caps w:val="0"/>
                <w:strike w:val="0"/>
                <w:dstrike w:val="0"/>
                <w:vanish w:val="0"/>
                <w:kern w:val="2"/>
                <w:szCs w:val="28"/>
                <w:vertAlign w:val="baseline"/>
                <w:lang w:val="en-US" w:eastAsia="zh-CN" w:bidi="ar-SA"/>
              </w:rPr>
              <w:t>塔机拆卸前的检查</w:t>
            </w:r>
            <w:r>
              <w:tab/>
            </w:r>
            <w:r>
              <w:fldChar w:fldCharType="begin"/>
            </w:r>
            <w:r>
              <w:instrText xml:space="preserve"> PAGEREF _Toc16258 \h </w:instrText>
            </w:r>
            <w:r>
              <w:fldChar w:fldCharType="separate"/>
            </w:r>
            <w:r>
              <w:t>33</w:t>
            </w:r>
            <w:r>
              <w:fldChar w:fldCharType="end"/>
            </w:r>
          </w:hyperlink>
        </w:p>
        <w:p>
          <w:pPr>
            <w:pStyle w:val="TOC2"/>
            <w:tabs>
              <w:tab w:val="right" w:leader="dot" w:pos="9071"/>
            </w:tabs>
          </w:pPr>
          <w:hyperlink w:anchor="_Toc17719" w:history="1">
            <w:r>
              <w:rPr>
                <w:rFonts w:cs="Times New Roman" w:hint="eastAsia"/>
                <w:i w:val="0"/>
                <w:caps w:val="0"/>
                <w:strike w:val="0"/>
                <w:dstrike w:val="0"/>
                <w:vanish w:val="0"/>
                <w:kern w:val="2"/>
                <w:szCs w:val="28"/>
                <w:vertAlign w:val="baseline"/>
                <w:lang w:val="en-US" w:eastAsia="zh-CN" w:bidi="ar-SA"/>
              </w:rPr>
              <w:t>7</w:t>
            </w:r>
            <w:r>
              <w:rPr>
                <w:rFonts w:ascii="黑体" w:eastAsia="黑体" w:hAnsi="黑体" w:cs="Times New Roman" w:hint="default"/>
                <w:i w:val="0"/>
                <w:caps w:val="0"/>
                <w:strike w:val="0"/>
                <w:dstrike w:val="0"/>
                <w:vanish w:val="0"/>
                <w:kern w:val="2"/>
                <w:szCs w:val="28"/>
                <w:vertAlign w:val="baseline"/>
                <w:lang w:val="en-US" w:eastAsia="zh-CN" w:bidi="ar-SA"/>
              </w:rPr>
              <w:t xml:space="preserve">.3  </w:t>
            </w:r>
            <w:r>
              <w:rPr>
                <w:rFonts w:hint="eastAsia"/>
                <w:szCs w:val="28"/>
              </w:rPr>
              <w:t>验收</w:t>
            </w:r>
            <w:r>
              <w:rPr>
                <w:rFonts w:hint="eastAsia"/>
                <w:szCs w:val="28"/>
                <w:lang w:val="en-US" w:eastAsia="zh-CN"/>
              </w:rPr>
              <w:t>项目及人员</w:t>
            </w:r>
            <w:r>
              <w:tab/>
            </w:r>
            <w:r>
              <w:fldChar w:fldCharType="begin"/>
            </w:r>
            <w:r>
              <w:instrText xml:space="preserve"> PAGEREF _Toc17719 \h </w:instrText>
            </w:r>
            <w:r>
              <w:fldChar w:fldCharType="separate"/>
            </w:r>
            <w:r>
              <w:t>34</w:t>
            </w:r>
            <w:r>
              <w:fldChar w:fldCharType="end"/>
            </w:r>
          </w:hyperlink>
        </w:p>
        <w:p>
          <w:pPr>
            <w:pStyle w:val="TOC1"/>
            <w:tabs>
              <w:tab w:val="right" w:leader="dot" w:pos="9071"/>
            </w:tabs>
          </w:pPr>
          <w:hyperlink w:anchor="_Toc25308" w:history="1">
            <w:r>
              <w:rPr>
                <w:rFonts w:ascii="黑体" w:eastAsia="黑体" w:hAnsi="黑体" w:cs="黑体" w:hint="eastAsia"/>
                <w:i w:val="0"/>
                <w:caps w:val="0"/>
                <w:strike w:val="0"/>
                <w:dstrike w:val="0"/>
                <w:vanish w:val="0"/>
                <w:kern w:val="2"/>
                <w:szCs w:val="32"/>
                <w:vertAlign w:val="baseline"/>
                <w:lang w:val="en-US" w:eastAsia="zh-CN" w:bidi="ar-SA"/>
              </w:rPr>
              <w:t>第</w:t>
            </w:r>
            <w:r>
              <w:rPr>
                <w:rFonts w:cs="黑体" w:hint="eastAsia"/>
                <w:i w:val="0"/>
                <w:caps w:val="0"/>
                <w:strike w:val="0"/>
                <w:dstrike w:val="0"/>
                <w:vanish w:val="0"/>
                <w:kern w:val="2"/>
                <w:szCs w:val="32"/>
                <w:vertAlign w:val="baseline"/>
                <w:lang w:val="en-US" w:eastAsia="zh-CN" w:bidi="ar-SA"/>
              </w:rPr>
              <w:t>八</w:t>
            </w:r>
            <w:r>
              <w:rPr>
                <w:rFonts w:ascii="黑体" w:eastAsia="黑体" w:hAnsi="黑体" w:cs="黑体" w:hint="eastAsia"/>
                <w:i w:val="0"/>
                <w:caps w:val="0"/>
                <w:strike w:val="0"/>
                <w:dstrike w:val="0"/>
                <w:vanish w:val="0"/>
                <w:kern w:val="2"/>
                <w:szCs w:val="32"/>
                <w:vertAlign w:val="baseline"/>
                <w:lang w:val="en-US" w:eastAsia="zh-CN" w:bidi="ar-SA"/>
              </w:rPr>
              <w:t xml:space="preserve">章  </w:t>
            </w:r>
            <w:r>
              <w:rPr>
                <w:rFonts w:hint="eastAsia"/>
                <w:szCs w:val="32"/>
              </w:rPr>
              <w:t>应急措施</w:t>
            </w:r>
            <w:r>
              <w:tab/>
            </w:r>
            <w:r>
              <w:fldChar w:fldCharType="begin"/>
            </w:r>
            <w:r>
              <w:instrText xml:space="preserve"> PAGEREF _Toc25308 \h </w:instrText>
            </w:r>
            <w:r>
              <w:fldChar w:fldCharType="separate"/>
            </w:r>
            <w:r>
              <w:t>36</w:t>
            </w:r>
            <w:r>
              <w:fldChar w:fldCharType="end"/>
            </w:r>
          </w:hyperlink>
        </w:p>
        <w:p>
          <w:pPr>
            <w:pStyle w:val="TOC2"/>
            <w:tabs>
              <w:tab w:val="right" w:leader="dot" w:pos="9071"/>
            </w:tabs>
          </w:pPr>
          <w:hyperlink w:anchor="_Toc11534" w:history="1">
            <w:r>
              <w:rPr>
                <w:rFonts w:cs="Times New Roman" w:hint="eastAsia"/>
                <w:i w:val="0"/>
                <w:caps w:val="0"/>
                <w:strike w:val="0"/>
                <w:dstrike w:val="0"/>
                <w:vanish w:val="0"/>
                <w:kern w:val="2"/>
                <w:szCs w:val="28"/>
                <w:vertAlign w:val="baseline"/>
                <w:lang w:val="en-US" w:eastAsia="zh-CN" w:bidi="ar-SA"/>
              </w:rPr>
              <w:t>8</w:t>
            </w:r>
            <w:r>
              <w:rPr>
                <w:rFonts w:ascii="黑体" w:eastAsia="黑体" w:hAnsi="黑体" w:cs="Times New Roman" w:hint="default"/>
                <w:i w:val="0"/>
                <w:caps w:val="0"/>
                <w:strike w:val="0"/>
                <w:dstrike w:val="0"/>
                <w:vanish w:val="0"/>
                <w:kern w:val="2"/>
                <w:szCs w:val="28"/>
                <w:vertAlign w:val="baseline"/>
                <w:lang w:val="en-US" w:eastAsia="zh-CN" w:bidi="ar-SA"/>
              </w:rPr>
              <w:t xml:space="preserve">.1  </w:t>
            </w:r>
            <w:r>
              <w:rPr>
                <w:rFonts w:hint="eastAsia"/>
                <w:szCs w:val="28"/>
              </w:rPr>
              <w:t>目的</w:t>
            </w:r>
            <w:r>
              <w:tab/>
            </w:r>
            <w:r>
              <w:fldChar w:fldCharType="begin"/>
            </w:r>
            <w:r>
              <w:instrText xml:space="preserve"> PAGEREF _Toc11534 \h </w:instrText>
            </w:r>
            <w:r>
              <w:fldChar w:fldCharType="separate"/>
            </w:r>
            <w:r>
              <w:t>36</w:t>
            </w:r>
            <w:r>
              <w:fldChar w:fldCharType="end"/>
            </w:r>
          </w:hyperlink>
        </w:p>
        <w:p>
          <w:pPr>
            <w:pStyle w:val="TOC2"/>
            <w:tabs>
              <w:tab w:val="right" w:leader="dot" w:pos="9071"/>
            </w:tabs>
          </w:pPr>
          <w:hyperlink w:anchor="_Toc5831" w:history="1">
            <w:r>
              <w:rPr>
                <w:rFonts w:cs="Times New Roman" w:hint="eastAsia"/>
                <w:i w:val="0"/>
                <w:caps w:val="0"/>
                <w:strike w:val="0"/>
                <w:dstrike w:val="0"/>
                <w:vanish w:val="0"/>
                <w:kern w:val="2"/>
                <w:szCs w:val="28"/>
                <w:highlight w:val="yellow"/>
                <w:vertAlign w:val="baseline"/>
                <w:lang w:val="en-US" w:eastAsia="zh-CN" w:bidi="ar-SA"/>
              </w:rPr>
              <w:t>8</w:t>
            </w:r>
            <w:r>
              <w:rPr>
                <w:rFonts w:ascii="黑体" w:eastAsia="黑体" w:hAnsi="黑体" w:cs="Times New Roman" w:hint="default"/>
                <w:i w:val="0"/>
                <w:caps w:val="0"/>
                <w:strike w:val="0"/>
                <w:dstrike w:val="0"/>
                <w:vanish w:val="0"/>
                <w:kern w:val="2"/>
                <w:szCs w:val="28"/>
                <w:highlight w:val="yellow"/>
                <w:vertAlign w:val="baseline"/>
                <w:lang w:val="en-US" w:eastAsia="zh-CN" w:bidi="ar-SA"/>
              </w:rPr>
              <w:t xml:space="preserve">.2  </w:t>
            </w:r>
            <w:r>
              <w:rPr>
                <w:rFonts w:ascii="Calibri" w:hAnsi="Calibri" w:cs="Calibri" w:hint="eastAsia"/>
                <w:bCs/>
                <w:szCs w:val="28"/>
                <w:highlight w:val="yellow"/>
              </w:rPr>
              <w:t>应急救援组织机构</w:t>
            </w:r>
            <w:r>
              <w:tab/>
            </w:r>
            <w:r>
              <w:fldChar w:fldCharType="begin"/>
            </w:r>
            <w:r>
              <w:instrText xml:space="preserve"> PAGEREF _Toc5831 \h </w:instrText>
            </w:r>
            <w:r>
              <w:fldChar w:fldCharType="separate"/>
            </w:r>
            <w:r>
              <w:t>36</w:t>
            </w:r>
            <w:r>
              <w:fldChar w:fldCharType="end"/>
            </w:r>
          </w:hyperlink>
        </w:p>
        <w:p>
          <w:pPr>
            <w:pStyle w:val="TOC2"/>
            <w:tabs>
              <w:tab w:val="right" w:leader="dot" w:pos="9071"/>
            </w:tabs>
          </w:pPr>
          <w:hyperlink w:anchor="_Toc11168" w:history="1">
            <w:r>
              <w:rPr>
                <w:rFonts w:cs="Times New Roman" w:hint="eastAsia"/>
                <w:i w:val="0"/>
                <w:caps w:val="0"/>
                <w:strike w:val="0"/>
                <w:dstrike w:val="0"/>
                <w:vanish w:val="0"/>
                <w:kern w:val="2"/>
                <w:szCs w:val="28"/>
                <w:vertAlign w:val="baseline"/>
                <w:lang w:val="en-US" w:eastAsia="zh-CN" w:bidi="ar-SA"/>
              </w:rPr>
              <w:t>8</w:t>
            </w:r>
            <w:r>
              <w:rPr>
                <w:rFonts w:ascii="黑体" w:eastAsia="黑体" w:hAnsi="黑体" w:cs="Times New Roman" w:hint="default"/>
                <w:i w:val="0"/>
                <w:caps w:val="0"/>
                <w:strike w:val="0"/>
                <w:dstrike w:val="0"/>
                <w:vanish w:val="0"/>
                <w:kern w:val="2"/>
                <w:szCs w:val="28"/>
                <w:vertAlign w:val="baseline"/>
                <w:lang w:val="en-US" w:eastAsia="zh-CN" w:bidi="ar-SA"/>
              </w:rPr>
              <w:t xml:space="preserve">.3  </w:t>
            </w:r>
            <w:r>
              <w:rPr>
                <w:rFonts w:hint="eastAsia"/>
                <w:szCs w:val="28"/>
              </w:rPr>
              <w:t>应急小组职责及分工</w:t>
            </w:r>
            <w:r>
              <w:tab/>
            </w:r>
            <w:r>
              <w:fldChar w:fldCharType="begin"/>
            </w:r>
            <w:r>
              <w:instrText xml:space="preserve"> PAGEREF _Toc11168 \h </w:instrText>
            </w:r>
            <w:r>
              <w:fldChar w:fldCharType="separate"/>
            </w:r>
            <w:r>
              <w:t>36</w:t>
            </w:r>
            <w:r>
              <w:fldChar w:fldCharType="end"/>
            </w:r>
          </w:hyperlink>
        </w:p>
        <w:p>
          <w:pPr>
            <w:pStyle w:val="TOC2"/>
            <w:tabs>
              <w:tab w:val="right" w:leader="dot" w:pos="9071"/>
            </w:tabs>
          </w:pPr>
          <w:hyperlink w:anchor="_Toc13876" w:history="1">
            <w:r>
              <w:rPr>
                <w:rFonts w:cs="Times New Roman" w:hint="eastAsia"/>
                <w:i w:val="0"/>
                <w:caps w:val="0"/>
                <w:strike w:val="0"/>
                <w:dstrike w:val="0"/>
                <w:vanish w:val="0"/>
                <w:kern w:val="2"/>
                <w:szCs w:val="28"/>
                <w:vertAlign w:val="baseline"/>
                <w:lang w:val="en-US" w:eastAsia="zh-CN" w:bidi="ar-SA"/>
              </w:rPr>
              <w:t>8</w:t>
            </w:r>
            <w:r>
              <w:rPr>
                <w:rFonts w:ascii="黑体" w:eastAsia="黑体" w:hAnsi="黑体" w:cs="Times New Roman" w:hint="default"/>
                <w:i w:val="0"/>
                <w:caps w:val="0"/>
                <w:strike w:val="0"/>
                <w:dstrike w:val="0"/>
                <w:vanish w:val="0"/>
                <w:kern w:val="2"/>
                <w:szCs w:val="28"/>
                <w:vertAlign w:val="baseline"/>
                <w:lang w:val="en-US" w:eastAsia="zh-CN" w:bidi="ar-SA"/>
              </w:rPr>
              <w:t xml:space="preserve">.4  </w:t>
            </w:r>
            <w:r>
              <w:rPr>
                <w:rFonts w:hint="eastAsia"/>
                <w:szCs w:val="28"/>
              </w:rPr>
              <w:t>应急处置程序</w:t>
            </w:r>
            <w:r>
              <w:tab/>
            </w:r>
            <w:r>
              <w:fldChar w:fldCharType="begin"/>
            </w:r>
            <w:r>
              <w:instrText xml:space="preserve"> PAGEREF _Toc13876 \h </w:instrText>
            </w:r>
            <w:r>
              <w:fldChar w:fldCharType="separate"/>
            </w:r>
            <w:r>
              <w:t>38</w:t>
            </w:r>
            <w:r>
              <w:fldChar w:fldCharType="end"/>
            </w:r>
          </w:hyperlink>
        </w:p>
        <w:p>
          <w:pPr>
            <w:pStyle w:val="TOC2"/>
            <w:tabs>
              <w:tab w:val="right" w:leader="dot" w:pos="9071"/>
            </w:tabs>
          </w:pPr>
          <w:hyperlink w:anchor="_Toc15758" w:history="1">
            <w:r>
              <w:rPr>
                <w:rFonts w:cs="Times New Roman" w:hint="eastAsia"/>
                <w:i w:val="0"/>
                <w:caps w:val="0"/>
                <w:strike w:val="0"/>
                <w:dstrike w:val="0"/>
                <w:vanish w:val="0"/>
                <w:kern w:val="2"/>
                <w:szCs w:val="28"/>
                <w:vertAlign w:val="baseline"/>
                <w:lang w:val="en-US" w:eastAsia="zh-CN" w:bidi="ar-SA"/>
              </w:rPr>
              <w:t>8</w:t>
            </w:r>
            <w:r>
              <w:rPr>
                <w:rFonts w:ascii="黑体" w:eastAsia="黑体" w:hAnsi="黑体" w:cs="Times New Roman" w:hint="default"/>
                <w:i w:val="0"/>
                <w:caps w:val="0"/>
                <w:strike w:val="0"/>
                <w:dstrike w:val="0"/>
                <w:vanish w:val="0"/>
                <w:kern w:val="2"/>
                <w:szCs w:val="28"/>
                <w:vertAlign w:val="baseline"/>
                <w:lang w:val="en-US" w:eastAsia="zh-CN" w:bidi="ar-SA"/>
              </w:rPr>
              <w:t xml:space="preserve">.5  </w:t>
            </w:r>
            <w:r>
              <w:rPr>
                <w:rFonts w:hint="eastAsia"/>
                <w:szCs w:val="28"/>
              </w:rPr>
              <w:t>事故报告制度</w:t>
            </w:r>
            <w:r>
              <w:tab/>
            </w:r>
            <w:r>
              <w:fldChar w:fldCharType="begin"/>
            </w:r>
            <w:r>
              <w:instrText xml:space="preserve"> PAGEREF _Toc15758 \h </w:instrText>
            </w:r>
            <w:r>
              <w:fldChar w:fldCharType="separate"/>
            </w:r>
            <w:r>
              <w:t>38</w:t>
            </w:r>
            <w:r>
              <w:fldChar w:fldCharType="end"/>
            </w:r>
          </w:hyperlink>
        </w:p>
        <w:p>
          <w:pPr>
            <w:pStyle w:val="TOC2"/>
            <w:tabs>
              <w:tab w:val="right" w:leader="dot" w:pos="9071"/>
            </w:tabs>
          </w:pPr>
          <w:hyperlink w:anchor="_Toc27373" w:history="1">
            <w:r>
              <w:rPr>
                <w:rFonts w:cs="Times New Roman" w:hint="eastAsia"/>
                <w:i w:val="0"/>
                <w:caps w:val="0"/>
                <w:strike w:val="0"/>
                <w:dstrike w:val="0"/>
                <w:vanish w:val="0"/>
                <w:kern w:val="2"/>
                <w:szCs w:val="28"/>
                <w:vertAlign w:val="baseline"/>
                <w:lang w:val="en-US" w:eastAsia="zh-CN" w:bidi="ar-SA"/>
              </w:rPr>
              <w:t>8</w:t>
            </w:r>
            <w:r>
              <w:rPr>
                <w:rFonts w:ascii="黑体" w:eastAsia="黑体" w:hAnsi="黑体" w:cs="Times New Roman" w:hint="default"/>
                <w:i w:val="0"/>
                <w:caps w:val="0"/>
                <w:strike w:val="0"/>
                <w:dstrike w:val="0"/>
                <w:vanish w:val="0"/>
                <w:kern w:val="2"/>
                <w:szCs w:val="28"/>
                <w:vertAlign w:val="baseline"/>
                <w:lang w:val="en-US" w:eastAsia="zh-CN" w:bidi="ar-SA"/>
              </w:rPr>
              <w:t xml:space="preserve">.6  </w:t>
            </w:r>
            <w:r>
              <w:rPr>
                <w:rFonts w:hint="eastAsia"/>
                <w:szCs w:val="28"/>
              </w:rPr>
              <w:t>应急救援物资</w:t>
            </w:r>
            <w:r>
              <w:tab/>
            </w:r>
            <w:r>
              <w:fldChar w:fldCharType="begin"/>
            </w:r>
            <w:r>
              <w:instrText xml:space="preserve"> PAGEREF _Toc27373 \h </w:instrText>
            </w:r>
            <w:r>
              <w:fldChar w:fldCharType="separate"/>
            </w:r>
            <w:r>
              <w:t>40</w:t>
            </w:r>
            <w:r>
              <w:fldChar w:fldCharType="end"/>
            </w:r>
          </w:hyperlink>
        </w:p>
        <w:p>
          <w:pPr>
            <w:pStyle w:val="TOC2"/>
            <w:tabs>
              <w:tab w:val="right" w:leader="dot" w:pos="9071"/>
            </w:tabs>
          </w:pPr>
          <w:hyperlink w:anchor="_Toc11899" w:history="1">
            <w:r>
              <w:rPr>
                <w:rFonts w:cs="Times New Roman" w:hint="eastAsia"/>
                <w:i w:val="0"/>
                <w:caps w:val="0"/>
                <w:strike w:val="0"/>
                <w:dstrike w:val="0"/>
                <w:vanish w:val="0"/>
                <w:kern w:val="2"/>
                <w:szCs w:val="28"/>
                <w:vertAlign w:val="baseline"/>
                <w:lang w:val="en-US" w:eastAsia="zh-CN" w:bidi="ar-SA"/>
              </w:rPr>
              <w:t>8</w:t>
            </w:r>
            <w:r>
              <w:rPr>
                <w:rFonts w:ascii="黑体" w:eastAsia="黑体" w:hAnsi="黑体" w:cs="Times New Roman" w:hint="default"/>
                <w:i w:val="0"/>
                <w:caps w:val="0"/>
                <w:strike w:val="0"/>
                <w:dstrike w:val="0"/>
                <w:vanish w:val="0"/>
                <w:kern w:val="2"/>
                <w:szCs w:val="28"/>
                <w:vertAlign w:val="baseline"/>
                <w:lang w:val="en-US" w:eastAsia="zh-CN" w:bidi="ar-SA"/>
              </w:rPr>
              <w:t xml:space="preserve">.7  </w:t>
            </w:r>
            <w:r>
              <w:rPr>
                <w:rFonts w:hint="eastAsia"/>
                <w:szCs w:val="28"/>
              </w:rPr>
              <w:t>应急救援路线</w:t>
            </w:r>
            <w:r>
              <w:tab/>
            </w:r>
            <w:r>
              <w:fldChar w:fldCharType="begin"/>
            </w:r>
            <w:r>
              <w:instrText xml:space="preserve"> PAGEREF _Toc11899 \h </w:instrText>
            </w:r>
            <w:r>
              <w:fldChar w:fldCharType="separate"/>
            </w:r>
            <w:r>
              <w:t>41</w:t>
            </w:r>
            <w:r>
              <w:fldChar w:fldCharType="end"/>
            </w:r>
          </w:hyperlink>
        </w:p>
        <w:p>
          <w:pPr>
            <w:pStyle w:val="TOC2"/>
            <w:tabs>
              <w:tab w:val="right" w:leader="dot" w:pos="9071"/>
            </w:tabs>
            <w:sectPr>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start="2"/>
              <w:cols w:num="1" w:space="1680"/>
              <w:titlePg w:val="0"/>
              <w:docGrid w:linePitch="326" w:charSpace="59452"/>
            </w:sectPr>
          </w:pPr>
          <w:hyperlink w:anchor="_Toc32514" w:history="1">
            <w:r>
              <w:rPr>
                <w:rFonts w:cs="Times New Roman" w:hint="eastAsia"/>
                <w:i w:val="0"/>
                <w:caps w:val="0"/>
                <w:strike w:val="0"/>
                <w:dstrike w:val="0"/>
                <w:vanish w:val="0"/>
                <w:kern w:val="2"/>
                <w:szCs w:val="28"/>
                <w:vertAlign w:val="baseline"/>
                <w:lang w:val="en-US" w:eastAsia="zh-CN" w:bidi="ar-SA"/>
              </w:rPr>
              <w:t>8</w:t>
            </w:r>
            <w:r>
              <w:rPr>
                <w:rFonts w:ascii="黑体" w:eastAsia="黑体" w:hAnsi="黑体" w:cs="Times New Roman" w:hint="default"/>
                <w:i w:val="0"/>
                <w:caps w:val="0"/>
                <w:strike w:val="0"/>
                <w:dstrike w:val="0"/>
                <w:vanish w:val="0"/>
                <w:kern w:val="2"/>
                <w:szCs w:val="28"/>
                <w:vertAlign w:val="baseline"/>
                <w:lang w:val="en-US" w:eastAsia="zh-CN" w:bidi="ar-SA"/>
              </w:rPr>
              <w:t xml:space="preserve">.8  </w:t>
            </w:r>
            <w:r>
              <w:rPr>
                <w:rFonts w:hint="eastAsia"/>
                <w:szCs w:val="28"/>
              </w:rPr>
              <w:t>应急救援措施</w:t>
            </w:r>
            <w:r>
              <w:tab/>
            </w:r>
            <w:r>
              <w:fldChar w:fldCharType="begin"/>
            </w:r>
            <w:r>
              <w:instrText xml:space="preserve"> PAGEREF _Toc32514 \h </w:instrText>
            </w:r>
            <w:r>
              <w:fldChar w:fldCharType="separate"/>
            </w:r>
            <w:r>
              <w:t>41</w:t>
            </w:r>
            <w:r>
              <w:fldChar w:fldCharType="end"/>
            </w:r>
          </w:hyperlink>
        </w:p>
      </w:sdtContent>
    </w:sdt>
    <w:sdt>
      <w:sdtPr>
        <w:rPr>
          <w:rFonts w:ascii="宋体" w:eastAsia="宋体" w:hAnsi="宋体" w:cs="Times New Roman"/>
          <w:b/>
          <w:bCs/>
          <w:kern w:val="2"/>
          <w:sz w:val="32"/>
          <w:szCs w:val="32"/>
          <w:lang w:val="en-US" w:eastAsia="zh-CN" w:bidi="ar-SA"/>
        </w:rPr>
        <w:id w:val="1827933761"/>
        <w:docPartObj>
          <w:docPartGallery w:val="Table of Contents"/>
          <w:docPartUnique/>
        </w:docPartObj>
        <w15:color w:val="DBDBDB"/>
      </w:sdtPr>
      <w:sdtEndPr>
        <w:rPr>
          <w:rFonts w:ascii="宋体" w:eastAsia="宋体" w:hAnsi="宋体" w:cs="Times New Roman" w:hint="eastAsia"/>
          <w:b/>
          <w:bCs/>
          <w:kern w:val="2"/>
          <w:sz w:val="24"/>
          <w:szCs w:val="24"/>
          <w:lang w:val="en-US" w:eastAsia="zh-CN" w:bidi="ar-SA"/>
        </w:rPr>
      </w:sdtEndPr>
      <w:sdtContent>
        <w:p>
          <w:pPr>
            <w:pStyle w:val="TOC1"/>
            <w:tabs>
              <w:tab w:val="right" w:leader="dot" w:pos="9071"/>
            </w:tabs>
          </w:pPr>
          <w:hyperlink w:anchor="_Toc326" w:history="1">
            <w:r>
              <w:rPr>
                <w:rFonts w:ascii="黑体" w:eastAsia="黑体" w:hAnsi="黑体" w:cs="黑体" w:hint="eastAsia"/>
                <w:i w:val="0"/>
                <w:caps w:val="0"/>
                <w:strike w:val="0"/>
                <w:dstrike w:val="0"/>
                <w:vanish w:val="0"/>
                <w:kern w:val="2"/>
                <w:szCs w:val="32"/>
                <w:vertAlign w:val="baseline"/>
                <w:lang w:val="en-US" w:eastAsia="zh-CN" w:bidi="ar-SA"/>
              </w:rPr>
              <w:t>第</w:t>
            </w:r>
            <w:r>
              <w:rPr>
                <w:rFonts w:cs="黑体" w:hint="eastAsia"/>
                <w:i w:val="0"/>
                <w:caps w:val="0"/>
                <w:strike w:val="0"/>
                <w:dstrike w:val="0"/>
                <w:vanish w:val="0"/>
                <w:kern w:val="2"/>
                <w:szCs w:val="32"/>
                <w:vertAlign w:val="baseline"/>
                <w:lang w:val="en-US" w:eastAsia="zh-CN" w:bidi="ar-SA"/>
              </w:rPr>
              <w:t>九</w:t>
            </w:r>
            <w:r>
              <w:rPr>
                <w:rFonts w:ascii="黑体" w:eastAsia="黑体" w:hAnsi="黑体" w:cs="黑体" w:hint="eastAsia"/>
                <w:i w:val="0"/>
                <w:caps w:val="0"/>
                <w:strike w:val="0"/>
                <w:dstrike w:val="0"/>
                <w:vanish w:val="0"/>
                <w:kern w:val="2"/>
                <w:szCs w:val="32"/>
                <w:vertAlign w:val="baseline"/>
                <w:lang w:val="en-US" w:eastAsia="zh-CN" w:bidi="ar-SA"/>
              </w:rPr>
              <w:t xml:space="preserve">章  </w:t>
            </w:r>
            <w:r>
              <w:rPr>
                <w:rFonts w:hint="eastAsia"/>
                <w:szCs w:val="32"/>
                <w:lang w:val="en-US" w:eastAsia="zh-CN"/>
              </w:rPr>
              <w:t>计算书</w:t>
            </w:r>
            <w:r>
              <w:tab/>
            </w:r>
            <w:r>
              <w:fldChar w:fldCharType="begin"/>
            </w:r>
            <w:r>
              <w:instrText xml:space="preserve"> PAGEREF _Toc326 \h </w:instrText>
            </w:r>
            <w:r>
              <w:fldChar w:fldCharType="separate"/>
            </w:r>
            <w:r>
              <w:t>44</w:t>
            </w:r>
            <w:r>
              <w:fldChar w:fldCharType="end"/>
            </w:r>
          </w:hyperlink>
        </w:p>
        <w:p>
          <w:pPr>
            <w:pStyle w:val="TOC2"/>
            <w:tabs>
              <w:tab w:val="right" w:leader="dot" w:pos="9071"/>
            </w:tabs>
          </w:pPr>
          <w:hyperlink w:anchor="_Toc3746" w:history="1">
            <w:r>
              <w:rPr>
                <w:rFonts w:cs="Times New Roman" w:hint="eastAsia"/>
                <w:i w:val="0"/>
                <w:caps w:val="0"/>
                <w:strike w:val="0"/>
                <w:dstrike w:val="0"/>
                <w:vanish w:val="0"/>
                <w:kern w:val="2"/>
                <w:szCs w:val="28"/>
                <w:vertAlign w:val="baseline"/>
                <w:lang w:val="en-US" w:eastAsia="zh-CN" w:bidi="ar-SA"/>
              </w:rPr>
              <w:t>9</w:t>
            </w:r>
            <w:r>
              <w:rPr>
                <w:rFonts w:ascii="黑体" w:eastAsia="黑体" w:hAnsi="黑体" w:cs="Times New Roman" w:hint="default"/>
                <w:i w:val="0"/>
                <w:caps w:val="0"/>
                <w:strike w:val="0"/>
                <w:dstrike w:val="0"/>
                <w:vanish w:val="0"/>
                <w:kern w:val="2"/>
                <w:szCs w:val="28"/>
                <w:vertAlign w:val="baseline"/>
                <w:lang w:val="en-US" w:eastAsia="zh-CN" w:bidi="ar-SA"/>
              </w:rPr>
              <w:t xml:space="preserve">.1  </w:t>
            </w:r>
            <w:r>
              <w:rPr>
                <w:rFonts w:hint="eastAsia"/>
                <w:szCs w:val="28"/>
                <w:lang w:val="zh-CN"/>
              </w:rPr>
              <w:t>各型</w:t>
            </w:r>
            <w:r>
              <w:rPr>
                <w:rFonts w:hint="eastAsia"/>
                <w:szCs w:val="28"/>
              </w:rPr>
              <w:t>塔式起重机主要部件重量明细表</w:t>
            </w:r>
            <w:r>
              <w:tab/>
            </w:r>
            <w:r>
              <w:fldChar w:fldCharType="begin"/>
            </w:r>
            <w:r>
              <w:instrText xml:space="preserve"> PAGEREF _Toc3746 \h </w:instrText>
            </w:r>
            <w:r>
              <w:fldChar w:fldCharType="separate"/>
            </w:r>
            <w:r>
              <w:t>44</w:t>
            </w:r>
            <w:r>
              <w:fldChar w:fldCharType="end"/>
            </w:r>
          </w:hyperlink>
        </w:p>
        <w:p>
          <w:pPr>
            <w:pStyle w:val="TOC2"/>
            <w:tabs>
              <w:tab w:val="right" w:leader="dot" w:pos="9071"/>
            </w:tabs>
          </w:pPr>
          <w:hyperlink w:anchor="_Toc6917" w:history="1">
            <w:r>
              <w:rPr>
                <w:rFonts w:cs="Times New Roman" w:hint="eastAsia"/>
                <w:i w:val="0"/>
                <w:caps w:val="0"/>
                <w:strike w:val="0"/>
                <w:dstrike w:val="0"/>
                <w:vanish w:val="0"/>
                <w:kern w:val="2"/>
                <w:szCs w:val="28"/>
                <w:vertAlign w:val="baseline"/>
                <w:lang w:val="en-US" w:eastAsia="zh-CN" w:bidi="ar-SA"/>
              </w:rPr>
              <w:t>9</w:t>
            </w:r>
            <w:r>
              <w:rPr>
                <w:rFonts w:ascii="黑体" w:eastAsia="黑体" w:hAnsi="黑体" w:cs="Times New Roman" w:hint="default"/>
                <w:i w:val="0"/>
                <w:caps w:val="0"/>
                <w:strike w:val="0"/>
                <w:dstrike w:val="0"/>
                <w:vanish w:val="0"/>
                <w:kern w:val="2"/>
                <w:szCs w:val="28"/>
                <w:vertAlign w:val="baseline"/>
                <w:lang w:val="zh-CN" w:eastAsia="zh-CN" w:bidi="ar-SA"/>
              </w:rPr>
              <w:t xml:space="preserve">.2  </w:t>
            </w:r>
            <w:r>
              <w:rPr>
                <w:rFonts w:hint="eastAsia"/>
                <w:szCs w:val="28"/>
                <w:lang w:val="zh-CN"/>
              </w:rPr>
              <w:t>钢丝绳计算</w:t>
            </w:r>
            <w:r>
              <w:tab/>
            </w:r>
            <w:r>
              <w:fldChar w:fldCharType="begin"/>
            </w:r>
            <w:r>
              <w:instrText xml:space="preserve"> PAGEREF _Toc6917 \h </w:instrText>
            </w:r>
            <w:r>
              <w:fldChar w:fldCharType="separate"/>
            </w:r>
            <w:r>
              <w:t>47</w:t>
            </w:r>
            <w:r>
              <w:fldChar w:fldCharType="end"/>
            </w:r>
          </w:hyperlink>
        </w:p>
        <w:p>
          <w:pPr>
            <w:pStyle w:val="TOC2"/>
            <w:tabs>
              <w:tab w:val="right" w:leader="dot" w:pos="9071"/>
            </w:tabs>
          </w:pPr>
          <w:hyperlink w:anchor="_Toc17824" w:history="1">
            <w:r>
              <w:rPr>
                <w:rFonts w:cs="Times New Roman" w:hint="eastAsia"/>
                <w:i w:val="0"/>
                <w:caps w:val="0"/>
                <w:strike w:val="0"/>
                <w:dstrike w:val="0"/>
                <w:vanish w:val="0"/>
                <w:kern w:val="2"/>
                <w:szCs w:val="28"/>
                <w:vertAlign w:val="baseline"/>
                <w:lang w:val="en-US" w:eastAsia="zh-CN" w:bidi="ar-SA"/>
              </w:rPr>
              <w:t>9</w:t>
            </w:r>
            <w:r>
              <w:rPr>
                <w:rFonts w:ascii="黑体" w:eastAsia="黑体" w:hAnsi="黑体" w:cs="Times New Roman" w:hint="default"/>
                <w:i w:val="0"/>
                <w:caps w:val="0"/>
                <w:strike w:val="0"/>
                <w:dstrike w:val="0"/>
                <w:vanish w:val="0"/>
                <w:kern w:val="2"/>
                <w:szCs w:val="28"/>
                <w:vertAlign w:val="baseline"/>
                <w:lang w:val="zh-CN" w:eastAsia="zh-CN" w:bidi="ar-SA"/>
              </w:rPr>
              <w:t xml:space="preserve">.3  </w:t>
            </w:r>
            <w:r>
              <w:rPr>
                <w:rFonts w:hint="eastAsia"/>
                <w:szCs w:val="28"/>
                <w:lang w:val="zh-CN"/>
              </w:rPr>
              <w:t>卡环计算</w:t>
            </w:r>
            <w:r>
              <w:tab/>
            </w:r>
            <w:r>
              <w:fldChar w:fldCharType="begin"/>
            </w:r>
            <w:r>
              <w:instrText xml:space="preserve"> PAGEREF _Toc17824 \h </w:instrText>
            </w:r>
            <w:r>
              <w:fldChar w:fldCharType="separate"/>
            </w:r>
            <w:r>
              <w:t>49</w:t>
            </w:r>
            <w:r>
              <w:fldChar w:fldCharType="end"/>
            </w:r>
          </w:hyperlink>
        </w:p>
        <w:p>
          <w:pPr>
            <w:pStyle w:val="TOC2"/>
            <w:tabs>
              <w:tab w:val="right" w:leader="dot" w:pos="9071"/>
            </w:tabs>
          </w:pPr>
          <w:hyperlink w:anchor="_Toc20215" w:history="1">
            <w:r>
              <w:rPr>
                <w:rFonts w:cs="Times New Roman" w:hint="eastAsia"/>
                <w:i w:val="0"/>
                <w:caps w:val="0"/>
                <w:strike w:val="0"/>
                <w:dstrike w:val="0"/>
                <w:vanish w:val="0"/>
                <w:kern w:val="2"/>
                <w:szCs w:val="28"/>
                <w:vertAlign w:val="baseline"/>
                <w:lang w:val="en-US" w:eastAsia="zh-CN" w:bidi="ar-SA"/>
              </w:rPr>
              <w:t>9</w:t>
            </w:r>
            <w:r>
              <w:rPr>
                <w:rFonts w:ascii="黑体" w:eastAsia="黑体" w:hAnsi="黑体" w:cs="Times New Roman" w:hint="default"/>
                <w:i w:val="0"/>
                <w:caps w:val="0"/>
                <w:strike w:val="0"/>
                <w:dstrike w:val="0"/>
                <w:vanish w:val="0"/>
                <w:kern w:val="2"/>
                <w:szCs w:val="28"/>
                <w:vertAlign w:val="baseline"/>
                <w:lang w:val="zh-CN" w:eastAsia="zh-CN" w:bidi="ar-SA"/>
              </w:rPr>
              <w:t xml:space="preserve">.4  </w:t>
            </w:r>
            <w:r>
              <w:rPr>
                <w:rFonts w:hint="eastAsia"/>
                <w:szCs w:val="28"/>
                <w:lang w:val="zh-CN"/>
              </w:rPr>
              <w:t>绳卡计算</w:t>
            </w:r>
            <w:r>
              <w:tab/>
            </w:r>
            <w:r>
              <w:fldChar w:fldCharType="begin"/>
            </w:r>
            <w:r>
              <w:instrText xml:space="preserve"> PAGEREF _Toc20215 \h </w:instrText>
            </w:r>
            <w:r>
              <w:fldChar w:fldCharType="separate"/>
            </w:r>
            <w:r>
              <w:t>50</w:t>
            </w:r>
            <w:r>
              <w:fldChar w:fldCharType="end"/>
            </w:r>
          </w:hyperlink>
        </w:p>
        <w:p>
          <w:pPr>
            <w:pStyle w:val="TOC1"/>
            <w:tabs>
              <w:tab w:val="right" w:leader="dot" w:pos="9071"/>
            </w:tabs>
          </w:pPr>
          <w:hyperlink w:anchor="_Toc28208" w:history="1">
            <w:r>
              <w:rPr>
                <w:rFonts w:cs="黑体" w:hint="eastAsia"/>
                <w:i w:val="0"/>
                <w:caps w:val="0"/>
                <w:strike w:val="0"/>
                <w:dstrike w:val="0"/>
                <w:vanish w:val="0"/>
                <w:kern w:val="2"/>
                <w:szCs w:val="32"/>
                <w:vertAlign w:val="baseline"/>
                <w:lang w:val="en-US" w:eastAsia="zh-CN" w:bidi="ar-SA"/>
              </w:rPr>
              <w:t>第十章</w:t>
            </w:r>
            <w:r>
              <w:rPr>
                <w:rFonts w:ascii="黑体" w:eastAsia="黑体" w:hAnsi="黑体" w:cs="黑体" w:hint="eastAsia"/>
                <w:i w:val="0"/>
                <w:caps w:val="0"/>
                <w:strike w:val="0"/>
                <w:dstrike w:val="0"/>
                <w:vanish w:val="0"/>
                <w:kern w:val="2"/>
                <w:szCs w:val="32"/>
                <w:vertAlign w:val="baseline"/>
                <w:lang w:val="zh-CN" w:eastAsia="zh-CN" w:bidi="ar-SA"/>
              </w:rPr>
              <w:t xml:space="preserve">  </w:t>
            </w:r>
            <w:r>
              <w:rPr>
                <w:rFonts w:ascii="黑体" w:eastAsia="黑体" w:hAnsi="黑体" w:cs="黑体" w:hint="eastAsia"/>
                <w:i w:val="0"/>
                <w:caps w:val="0"/>
                <w:strike w:val="0"/>
                <w:dstrike w:val="0"/>
                <w:vanish w:val="0"/>
                <w:kern w:val="2"/>
                <w:szCs w:val="32"/>
                <w:vertAlign w:val="baseline"/>
                <w:lang w:val="en-US" w:eastAsia="zh-CN" w:bidi="ar-SA"/>
              </w:rPr>
              <w:t>附图</w:t>
            </w:r>
            <w:r>
              <w:tab/>
            </w:r>
            <w:r>
              <w:fldChar w:fldCharType="begin"/>
            </w:r>
            <w:r>
              <w:instrText xml:space="preserve"> PAGEREF _Toc28208 \h </w:instrText>
            </w:r>
            <w:r>
              <w:fldChar w:fldCharType="separate"/>
            </w:r>
            <w:r>
              <w:t>51</w:t>
            </w:r>
            <w:r>
              <w:fldChar w:fldCharType="end"/>
            </w:r>
          </w:hyperlink>
        </w:p>
        <w:p>
          <w:pPr>
            <w:pStyle w:val="cscec8z"/>
            <w:rPr>
              <w:rFonts w:hint="eastAsia"/>
            </w:rPr>
          </w:pPr>
          <w:r>
            <w:rPr>
              <w:rFonts w:ascii="宋体" w:eastAsia="宋体" w:hAnsi="宋体" w:cs="宋体" w:hint="eastAsia"/>
              <w:szCs w:val="24"/>
            </w:rPr>
            <w:fldChar w:fldCharType="end"/>
          </w:r>
        </w:p>
      </w:sdtContent>
    </w:sdt>
    <w:p>
      <w:pPr>
        <w:bidi w:val="0"/>
        <w:rPr>
          <w:rFonts w:hint="eastAsia"/>
        </w:rPr>
      </w:pPr>
    </w:p>
    <w:p>
      <w:pPr>
        <w:bidi w:val="0"/>
        <w:rPr>
          <w:rFonts w:hint="eastAsia"/>
        </w:rPr>
      </w:pPr>
    </w:p>
    <w:p>
      <w:pPr>
        <w:bidi w:val="0"/>
        <w:rPr>
          <w:rFonts w:hint="eastAsia"/>
        </w:rPr>
      </w:pPr>
    </w:p>
    <w:p>
      <w:pPr>
        <w:tabs>
          <w:tab w:val="left" w:pos="5591"/>
        </w:tabs>
        <w:bidi w:val="0"/>
        <w:rPr>
          <w:rFonts w:hint="eastAsia"/>
        </w:rPr>
      </w:pPr>
      <w:r>
        <w:rPr>
          <w:rFonts w:hint="eastAsia"/>
          <w:lang w:eastAsia="zh-CN"/>
        </w:rPr>
        <w:tab/>
      </w:r>
    </w:p>
    <w:p>
      <w:pPr>
        <w:bidi w:val="0"/>
        <w:rPr>
          <w:rFonts w:hint="eastAsia"/>
        </w:rPr>
      </w:pPr>
    </w:p>
    <w:p>
      <w:pPr>
        <w:tabs>
          <w:tab w:val="center" w:pos="4535"/>
        </w:tabs>
        <w:bidi w:val="0"/>
        <w:jc w:val="left"/>
        <w:rPr>
          <w:rFonts w:hint="eastAsia"/>
        </w:rPr>
        <w:sectPr>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start="3"/>
          <w:cols w:num="1" w:space="1680"/>
          <w:titlePg w:val="0"/>
          <w:docGrid w:linePitch="326" w:charSpace="59452"/>
        </w:sectPr>
      </w:pPr>
      <w:r>
        <w:rPr>
          <w:rFonts w:hint="eastAsia"/>
          <w:lang w:eastAsia="zh-CN"/>
        </w:rPr>
        <w:tab/>
      </w:r>
    </w:p>
    <w:p>
      <w:pPr>
        <w:pStyle w:val="Heading1"/>
        <w:bidi w:val="0"/>
        <w:rPr>
          <w:rFonts w:cs="黑体" w:hint="eastAsia"/>
          <w:sz w:val="32"/>
          <w:szCs w:val="32"/>
        </w:rPr>
      </w:pPr>
      <w:bookmarkStart w:id="9" w:name="_Toc13968"/>
      <w:bookmarkStart w:id="10" w:name="_Toc27174"/>
      <w:bookmarkStart w:id="11" w:name="_Toc22747"/>
      <w:r>
        <w:rPr>
          <w:rFonts w:ascii="黑体" w:eastAsia="黑体" w:hAnsi="黑体" w:cs="黑体" w:hint="eastAsia"/>
          <w:b w:val="0"/>
          <w:i w:val="0"/>
          <w:caps w:val="0"/>
          <w:strike w:val="0"/>
          <w:dstrike w:val="0"/>
          <w:vanish w:val="0"/>
          <w:color w:val="auto"/>
          <w:kern w:val="2"/>
          <w:sz w:val="32"/>
          <w:szCs w:val="32"/>
          <w:u w:val="none"/>
          <w:vertAlign w:val="baseline"/>
          <w:lang w:val="en-US" w:eastAsia="zh-CN" w:bidi="ar-SA"/>
        </w:rPr>
        <w:t xml:space="preserve">第一章  </w:t>
      </w:r>
      <w:r>
        <w:rPr>
          <w:rFonts w:ascii="黑体" w:eastAsia="黑体" w:hAnsi="黑体" w:cs="黑体" w:hint="eastAsia"/>
          <w:sz w:val="32"/>
          <w:szCs w:val="32"/>
          <w:lang w:val="en-US" w:eastAsia="zh-CN"/>
        </w:rPr>
        <w:t>工程概况</w:t>
      </w:r>
      <w:bookmarkEnd w:id="9"/>
      <w:bookmarkEnd w:id="10"/>
      <w:bookmarkEnd w:id="11"/>
    </w:p>
    <w:p>
      <w:pPr>
        <w:pStyle w:val="cscec82"/>
        <w:pageBreakBefore w:val="0"/>
        <w:numPr>
          <w:ilvl w:val="1"/>
          <w:numId w:val="0"/>
        </w:numPr>
        <w:kinsoku/>
        <w:wordWrap/>
        <w:overflowPunct/>
        <w:topLinePunct w:val="0"/>
        <w:autoSpaceDE/>
        <w:autoSpaceDN/>
        <w:bidi w:val="0"/>
        <w:spacing w:line="360" w:lineRule="auto"/>
        <w:ind w:left="0" w:firstLine="0" w:leftChars="0" w:firstLineChars="0"/>
        <w:textAlignment w:val="auto"/>
        <w:rPr>
          <w:rFonts w:cs="黑体" w:hint="eastAsia"/>
          <w:sz w:val="28"/>
          <w:szCs w:val="28"/>
        </w:rPr>
      </w:pPr>
      <w:bookmarkStart w:id="12" w:name="_Toc26359"/>
      <w:r>
        <w:rPr>
          <w:rFonts w:ascii="黑体" w:eastAsia="黑体" w:hAnsi="黑体" w:cs="黑体" w:hint="default"/>
          <w:b w:val="0"/>
          <w:i w:val="0"/>
          <w:caps w:val="0"/>
          <w:strike w:val="0"/>
          <w:dstrike w:val="0"/>
          <w:vanish w:val="0"/>
          <w:color w:val="auto"/>
          <w:kern w:val="2"/>
          <w:sz w:val="28"/>
          <w:szCs w:val="28"/>
          <w:u w:val="none"/>
          <w:vertAlign w:val="baseline"/>
          <w:lang w:val="en-US" w:eastAsia="zh-CN" w:bidi="ar-SA"/>
        </w:rPr>
        <w:t xml:space="preserve">1.1  </w:t>
      </w:r>
      <w:r>
        <w:rPr>
          <w:rFonts w:ascii="黑体" w:eastAsia="黑体" w:hAnsi="黑体" w:cs="黑体" w:hint="eastAsia"/>
          <w:sz w:val="28"/>
          <w:szCs w:val="28"/>
        </w:rPr>
        <w:t>总体概况</w:t>
      </w:r>
      <w:bookmarkEnd w:id="12"/>
      <w:r>
        <w:rPr>
          <w:rFonts w:ascii="黑体" w:eastAsia="黑体" w:hAnsi="黑体" w:cs="黑体" w:hint="eastAsia"/>
          <w:sz w:val="28"/>
          <w:szCs w:val="28"/>
        </w:rPr>
        <w:tab/>
      </w:r>
      <w:bookmarkStart w:id="13" w:name="_Toc27674"/>
      <w:bookmarkStart w:id="14" w:name="_Toc27716"/>
      <w:bookmarkStart w:id="15" w:name="_Toc29543"/>
      <w:bookmarkStart w:id="16" w:name="_Toc7389"/>
      <w:bookmarkStart w:id="17" w:name="_Toc26479"/>
      <w:bookmarkStart w:id="18" w:name="_Toc25629"/>
    </w:p>
    <w:p>
      <w:pPr>
        <w:keepNext w:val="0"/>
        <w:keepLines w:val="0"/>
        <w:pageBreakBefore w:val="0"/>
        <w:widowControl w:val="0"/>
        <w:kinsoku/>
        <w:wordWrap/>
        <w:overflowPunct/>
        <w:topLinePunct w:val="0"/>
        <w:autoSpaceDE/>
        <w:autoSpaceDN/>
        <w:bidi w:val="0"/>
        <w:adjustRightInd/>
        <w:snapToGrid/>
        <w:spacing w:line="360" w:lineRule="auto"/>
        <w:ind w:left="1679" w:hanging="1200" w:leftChars="228" w:hangingChars="500"/>
        <w:textAlignment w:val="auto"/>
        <w:rPr>
          <w:rFonts w:cs="宋体" w:hint="eastAsia"/>
          <w:sz w:val="24"/>
          <w:szCs w:val="24"/>
          <w:lang w:val="zh-CN"/>
        </w:rPr>
      </w:pPr>
      <w:r>
        <w:rPr>
          <w:rFonts w:ascii="宋体" w:eastAsia="宋体" w:hAnsi="宋体" w:cs="宋体" w:hint="eastAsia"/>
          <w:sz w:val="24"/>
          <w:szCs w:val="24"/>
          <w:lang w:val="zh-CN"/>
        </w:rPr>
        <w:t>工程名称：</w:t>
      </w:r>
      <w:r>
        <w:rPr>
          <w:rFonts w:ascii="宋体" w:eastAsia="宋体" w:hAnsi="宋体" w:cs="宋体" w:hint="eastAsia"/>
          <w:sz w:val="24"/>
          <w:szCs w:val="24"/>
          <w:lang w:val="zh-CN" w:eastAsia="zh-CN"/>
        </w:rPr>
        <w:t>济南市钢城区艾山街道城子坡片区城市更新项目产业研发中心项目（二期）工程总承包（EPC）项目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hint="eastAsia"/>
          <w:sz w:val="24"/>
          <w:szCs w:val="24"/>
        </w:rPr>
      </w:pPr>
      <w:r>
        <w:rPr>
          <w:rFonts w:ascii="宋体" w:eastAsia="宋体" w:hAnsi="宋体" w:cs="宋体" w:hint="eastAsia"/>
          <w:sz w:val="24"/>
          <w:szCs w:val="24"/>
        </w:rPr>
        <w:t>建设单位：济南民生实业有限公司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hint="eastAsia"/>
          <w:sz w:val="24"/>
          <w:szCs w:val="24"/>
        </w:rPr>
      </w:pPr>
      <w:r>
        <w:rPr>
          <w:rFonts w:ascii="宋体" w:eastAsia="宋体" w:hAnsi="宋体" w:cs="宋体" w:hint="eastAsia"/>
          <w:sz w:val="24"/>
          <w:szCs w:val="24"/>
        </w:rPr>
        <w:t>勘察单位：济南市政工程设计研究院（集团）有限责任公司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hint="eastAsia"/>
          <w:sz w:val="24"/>
          <w:szCs w:val="24"/>
        </w:rPr>
      </w:pPr>
      <w:r>
        <w:rPr>
          <w:rFonts w:ascii="宋体" w:eastAsia="宋体" w:hAnsi="宋体" w:cs="宋体" w:hint="eastAsia"/>
          <w:sz w:val="24"/>
          <w:szCs w:val="24"/>
        </w:rPr>
        <w:t>审计单位：永明项目管理有限公司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hint="eastAsia"/>
          <w:sz w:val="24"/>
          <w:szCs w:val="24"/>
        </w:rPr>
      </w:pPr>
      <w:r>
        <w:rPr>
          <w:rFonts w:ascii="宋体" w:eastAsia="宋体" w:hAnsi="宋体" w:cs="宋体" w:hint="eastAsia"/>
          <w:sz w:val="24"/>
          <w:szCs w:val="24"/>
        </w:rPr>
        <w:t>监理单位：济南齐鲁建设项目管理有限责任公司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hint="eastAsia"/>
          <w:sz w:val="24"/>
          <w:szCs w:val="24"/>
        </w:rPr>
      </w:pPr>
      <w:r>
        <w:rPr>
          <w:rFonts w:ascii="宋体" w:eastAsia="宋体" w:hAnsi="宋体" w:cs="宋体" w:hint="eastAsia"/>
          <w:sz w:val="24"/>
          <w:szCs w:val="24"/>
        </w:rPr>
        <w:t>设计单位：同圆设计集团股份有限公司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hint="eastAsia"/>
          <w:sz w:val="24"/>
          <w:szCs w:val="24"/>
        </w:rPr>
      </w:pPr>
      <w:r>
        <w:rPr>
          <w:rFonts w:ascii="宋体" w:eastAsia="宋体" w:hAnsi="宋体" w:cs="宋体" w:hint="eastAsia"/>
          <w:sz w:val="24"/>
          <w:szCs w:val="24"/>
        </w:rPr>
        <w:t>施工单位：中交第二公路工程局有限公司</w:t>
      </w:r>
    </w:p>
    <w:p>
      <w:pPr>
        <w:pageBreakBefore w:val="0"/>
        <w:kinsoku/>
        <w:wordWrap/>
        <w:overflowPunct/>
        <w:topLinePunct w:val="0"/>
        <w:autoSpaceDE/>
        <w:autoSpaceDN/>
        <w:bidi w:val="0"/>
        <w:spacing w:line="360" w:lineRule="auto"/>
        <w:ind w:firstLine="480" w:firstLineChars="200"/>
        <w:jc w:val="left"/>
        <w:textAlignment w:val="auto"/>
        <w:rPr>
          <w:rFonts w:cs="宋体" w:hint="eastAsia"/>
          <w:sz w:val="24"/>
          <w:szCs w:val="24"/>
          <w:lang w:val="zh-CN"/>
        </w:rPr>
      </w:pPr>
      <w:r>
        <w:rPr>
          <w:rFonts w:ascii="宋体" w:eastAsia="宋体" w:hAnsi="宋体" w:cs="宋体" w:hint="eastAsia"/>
          <w:sz w:val="24"/>
          <w:szCs w:val="24"/>
          <w:lang w:val="zh-CN"/>
        </w:rPr>
        <w:t>塔式起重机租赁单位：</w:t>
      </w:r>
      <w:r>
        <w:rPr>
          <w:rFonts w:ascii="宋体" w:eastAsia="宋体" w:hAnsi="宋体" w:cs="宋体" w:hint="eastAsia"/>
          <w:color w:val="000000"/>
          <w:sz w:val="24"/>
          <w:szCs w:val="24"/>
        </w:rPr>
        <w:t>科技股份有限公司</w:t>
      </w:r>
    </w:p>
    <w:p>
      <w:pPr>
        <w:pageBreakBefore w:val="0"/>
        <w:kinsoku/>
        <w:wordWrap/>
        <w:overflowPunct/>
        <w:topLinePunct w:val="0"/>
        <w:autoSpaceDE/>
        <w:autoSpaceDN/>
        <w:bidi w:val="0"/>
        <w:spacing w:line="360" w:lineRule="auto"/>
        <w:ind w:firstLine="480" w:firstLineChars="200"/>
        <w:jc w:val="left"/>
        <w:textAlignment w:val="auto"/>
        <w:rPr>
          <w:rFonts w:cs="宋体" w:hint="eastAsia"/>
          <w:color w:val="000000"/>
          <w:sz w:val="24"/>
          <w:szCs w:val="24"/>
        </w:rPr>
      </w:pPr>
      <w:r>
        <w:rPr>
          <w:rFonts w:ascii="宋体" w:eastAsia="宋体" w:hAnsi="宋体" w:cs="宋体" w:hint="eastAsia"/>
          <w:sz w:val="24"/>
          <w:szCs w:val="24"/>
          <w:lang w:val="zh-CN"/>
        </w:rPr>
        <w:t>塔式起重机安</w:t>
      </w:r>
      <w:r>
        <w:rPr>
          <w:rFonts w:ascii="宋体" w:eastAsia="宋体" w:hAnsi="宋体" w:cs="宋体" w:hint="eastAsia"/>
          <w:sz w:val="24"/>
          <w:szCs w:val="24"/>
          <w:lang w:val="en-US" w:eastAsia="zh-CN"/>
        </w:rPr>
        <w:t>拆</w:t>
      </w:r>
      <w:r>
        <w:rPr>
          <w:rFonts w:ascii="宋体" w:eastAsia="宋体" w:hAnsi="宋体" w:cs="宋体" w:hint="eastAsia"/>
          <w:sz w:val="24"/>
          <w:szCs w:val="24"/>
          <w:lang w:val="zh-CN"/>
        </w:rPr>
        <w:t>单位：</w:t>
      </w:r>
      <w:r>
        <w:rPr>
          <w:rFonts w:ascii="宋体" w:eastAsia="宋体" w:hAnsi="宋体" w:cs="宋体" w:hint="eastAsia"/>
          <w:color w:val="000000"/>
          <w:sz w:val="24"/>
          <w:szCs w:val="24"/>
        </w:rPr>
        <w:t>科技股份有限公司</w:t>
      </w:r>
    </w:p>
    <w:p>
      <w:pPr>
        <w:pStyle w:val="cscec82"/>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480" w:leftChars="0" w:firstLineChars="200"/>
        <w:textAlignment w:val="auto"/>
        <w:rPr>
          <w:rFonts w:ascii="宋体" w:eastAsia="宋体" w:hAnsi="宋体" w:cs="宋体" w:hint="eastAsia"/>
          <w:szCs w:val="24"/>
          <w:lang w:val="zh-CN"/>
        </w:rPr>
      </w:pPr>
      <w:bookmarkStart w:id="19" w:name="_Toc19100"/>
      <w:bookmarkStart w:id="20" w:name="_Toc29191"/>
      <w:bookmarkStart w:id="21" w:name="_Toc19368"/>
      <w:bookmarkStart w:id="22" w:name="_Toc8567"/>
      <w:r>
        <w:rPr>
          <w:rFonts w:ascii="宋体" w:eastAsia="宋体" w:hAnsi="宋体" w:cs="宋体" w:hint="eastAsia"/>
          <w:kern w:val="2"/>
          <w:sz w:val="24"/>
          <w:szCs w:val="24"/>
          <w:lang w:val="en-US" w:eastAsia="zh-CN" w:bidi="ar-SA"/>
        </w:rPr>
        <w:t>工程地址：</w:t>
      </w:r>
      <w:r>
        <w:rPr>
          <w:rFonts w:ascii="宋体" w:eastAsia="宋体" w:hAnsi="宋体" w:cs="宋体" w:hint="eastAsia"/>
          <w:sz w:val="24"/>
          <w:szCs w:val="24"/>
        </w:rPr>
        <w:t>济南市钢城区艾山街道北城子坡村，东临永兴路，北临九龙大街，西侧为产业园Z1规划路，南侧为钢城区消防救援大队</w:t>
      </w:r>
      <w:r>
        <w:rPr>
          <w:rFonts w:ascii="宋体" w:eastAsia="宋体" w:hAnsi="宋体" w:cs="宋体" w:hint="eastAsia"/>
          <w:kern w:val="2"/>
          <w:sz w:val="24"/>
          <w:szCs w:val="24"/>
          <w:lang w:val="zh-CN" w:eastAsia="zh-CN" w:bidi="ar-SA"/>
        </w:rPr>
        <w:t>。</w:t>
      </w:r>
      <w:bookmarkEnd w:id="19"/>
      <w:bookmarkEnd w:id="20"/>
      <w:bookmarkEnd w:id="21"/>
      <w:bookmarkEnd w:id="22"/>
    </w:p>
    <w:p>
      <w:pPr>
        <w:pStyle w:val="20"/>
        <w:pageBreakBefore w:val="0"/>
        <w:kinsoku/>
        <w:wordWrap/>
        <w:overflowPunct/>
        <w:topLinePunct w:val="0"/>
        <w:autoSpaceDE/>
        <w:autoSpaceDN/>
        <w:bidi w:val="0"/>
        <w:spacing w:line="360" w:lineRule="auto"/>
        <w:ind w:firstLine="480"/>
        <w:textAlignment w:val="auto"/>
        <w:rPr>
          <w:rFonts w:ascii="宋体" w:hAnsi="宋体" w:hint="eastAsia"/>
          <w:szCs w:val="24"/>
        </w:rPr>
      </w:pPr>
      <w:r>
        <w:rPr>
          <w:rFonts w:ascii="宋体" w:eastAsia="宋体" w:hAnsi="宋体" w:cs="宋体" w:hint="eastAsia"/>
          <w:sz w:val="24"/>
          <w:szCs w:val="24"/>
        </w:rPr>
        <w:t>项目用地性质为商务用地，建设用地面积18030㎡，总建筑面积68980.02㎡，其中地上建筑面积39644.67㎡，地下建筑面积29335.36㎡。项目共计5栋单体，分别为高层办公1#、高层办公4#、独栋办公1#、独栋办公3#、独栋办公4#，层数分别为9F、12F、6F、4F、3F，主要结构类型为框架-剪力墙结构。地上容积率2.2，地下容积率1.63，建筑密度0.29，绿化率15%。具体参数见下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hint="eastAsia"/>
          <w:sz w:val="24"/>
          <w:szCs w:val="24"/>
        </w:rPr>
        <w:sectPr>
          <w:footerReference w:type="default" r:id="rId8"/>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
          <w:cols w:num="1" w:space="1680"/>
          <w:docGrid w:linePitch="326" w:charSpace="59452"/>
        </w:sectPr>
      </w:pPr>
      <w:r>
        <w:rPr>
          <w:rFonts w:ascii="宋体" w:eastAsia="宋体" w:hAnsi="宋体" w:cs="宋体" w:hint="eastAsia"/>
          <w:sz w:val="24"/>
          <w:szCs w:val="24"/>
        </w:rPr>
        <w:t>项目暂估合同额2.8亿，招标人为济南市民生实业有限公司（由其全资子公司山东钢都置业有限公司实施），联合体成员暂定为中交二公局、同圆设计集团、民生实业下属物料公司。</w:t>
      </w:r>
    </w:p>
    <w:p>
      <w:pPr>
        <w:pStyle w:val="BodyTextFirstIndent2"/>
        <w:pageBreakBefore w:val="0"/>
        <w:kinsoku/>
        <w:wordWrap/>
        <w:overflowPunct/>
        <w:topLinePunct w:val="0"/>
        <w:autoSpaceDE/>
        <w:autoSpaceDN/>
        <w:bidi w:val="0"/>
        <w:spacing w:line="360" w:lineRule="auto"/>
        <w:ind w:left="0" w:firstLine="0" w:leftChars="0" w:firstLineChars="0"/>
        <w:jc w:val="center"/>
        <w:textAlignment w:val="auto"/>
        <w:rPr>
          <w:rFonts w:ascii="宋体" w:eastAsia="宋体" w:hAnsi="宋体" w:cs="宋体" w:hint="eastAsia"/>
          <w:sz w:val="24"/>
          <w:szCs w:val="24"/>
        </w:rPr>
      </w:pPr>
      <w:r>
        <w:drawing>
          <wp:inline distT="0" distB="0" distL="114300" distR="114300">
            <wp:extent cx="5726430" cy="2203450"/>
            <wp:effectExtent l="0" t="0" r="7620" b="635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9"/>
                    <a:stretch>
                      <a:fillRect/>
                    </a:stretch>
                  </pic:blipFill>
                  <pic:spPr>
                    <a:xfrm>
                      <a:off x="0" y="0"/>
                      <a:ext cx="5726430" cy="2203450"/>
                    </a:xfrm>
                    <a:prstGeom prst="rect">
                      <a:avLst/>
                    </a:prstGeom>
                    <a:noFill/>
                    <a:ln>
                      <a:noFill/>
                    </a:ln>
                  </pic:spPr>
                </pic:pic>
              </a:graphicData>
            </a:graphic>
          </wp:inline>
        </w:drawing>
      </w:r>
    </w:p>
    <w:p>
      <w:pPr>
        <w:pStyle w:val="cscec82"/>
        <w:numPr>
          <w:ilvl w:val="1"/>
          <w:numId w:val="0"/>
        </w:numPr>
        <w:bidi w:val="0"/>
        <w:ind w:left="0" w:firstLine="0" w:leftChars="0" w:firstLineChars="0"/>
        <w:rPr>
          <w:rFonts w:hint="eastAsia"/>
          <w:sz w:val="28"/>
          <w:szCs w:val="28"/>
        </w:rPr>
      </w:pPr>
      <w:bookmarkStart w:id="23" w:name="_Toc8485_WPSOffice_Level2"/>
      <w:bookmarkStart w:id="24" w:name="_Toc27408"/>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1.2  </w:t>
      </w:r>
      <w:r>
        <w:rPr>
          <w:rFonts w:hint="eastAsia"/>
          <w:sz w:val="28"/>
          <w:szCs w:val="28"/>
        </w:rPr>
        <w:t>危大工程概况</w:t>
      </w:r>
      <w:bookmarkEnd w:id="13"/>
      <w:bookmarkEnd w:id="14"/>
      <w:bookmarkEnd w:id="15"/>
      <w:bookmarkEnd w:id="16"/>
      <w:bookmarkEnd w:id="17"/>
      <w:bookmarkEnd w:id="18"/>
      <w:bookmarkEnd w:id="23"/>
      <w:bookmarkEnd w:id="24"/>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本工程塔式起重机械使用、安拆根据住房城乡建设部办公厅关于实施《危险性较大的分部分项工程安全管理规定》有关问题的通知建办质〔2018〕31号管理规定；属于危险性较大的分部分项工程并编制专项施工方案。</w:t>
      </w:r>
    </w:p>
    <w:p>
      <w:pPr>
        <w:pStyle w:val="cscec82"/>
        <w:numPr>
          <w:ilvl w:val="1"/>
          <w:numId w:val="0"/>
        </w:numPr>
        <w:bidi w:val="0"/>
        <w:ind w:left="0" w:firstLine="0" w:leftChars="0" w:firstLineChars="0"/>
        <w:rPr>
          <w:rFonts w:hint="eastAsia"/>
          <w:sz w:val="28"/>
          <w:szCs w:val="28"/>
        </w:rPr>
      </w:pPr>
      <w:bookmarkStart w:id="25" w:name="_Toc16168"/>
      <w:bookmarkStart w:id="26" w:name="_Toc28750"/>
      <w:bookmarkStart w:id="27" w:name="_Toc2548"/>
      <w:bookmarkStart w:id="28" w:name="_Toc6822_WPSOffice_Level2"/>
      <w:bookmarkStart w:id="29" w:name="_Toc995"/>
      <w:bookmarkStart w:id="30" w:name="_Toc29285"/>
      <w:bookmarkStart w:id="31" w:name="_Toc26615"/>
      <w:bookmarkStart w:id="32" w:name="_Toc26637"/>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1.3  </w:t>
      </w:r>
      <w:r>
        <w:rPr>
          <w:rFonts w:hint="eastAsia"/>
          <w:sz w:val="28"/>
          <w:szCs w:val="28"/>
        </w:rPr>
        <w:t>施工平面布置</w:t>
      </w:r>
      <w:bookmarkEnd w:id="25"/>
    </w:p>
    <w:p>
      <w:pPr>
        <w:pageBreakBefore w:val="0"/>
        <w:kinsoku/>
        <w:wordWrap/>
        <w:overflowPunct/>
        <w:topLinePunct w:val="0"/>
        <w:autoSpaceDE/>
        <w:autoSpaceDN/>
        <w:bidi w:val="0"/>
        <w:spacing w:line="360" w:lineRule="auto"/>
        <w:ind w:firstLine="480" w:firstLineChars="200"/>
        <w:jc w:val="left"/>
        <w:textAlignment w:val="auto"/>
        <w:rPr>
          <w:rFonts w:cs="宋体" w:hint="eastAsia"/>
          <w:sz w:val="24"/>
          <w:szCs w:val="24"/>
        </w:rPr>
        <w:sectPr>
          <w:footerReference w:type="default" r:id="rId10"/>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2"/>
          <w:cols w:num="1" w:space="1680"/>
          <w:titlePg w:val="0"/>
          <w:docGrid w:linePitch="326" w:charSpace="59452"/>
        </w:sectPr>
      </w:pPr>
      <w:r>
        <w:rPr>
          <w:rFonts w:ascii="宋体" w:eastAsia="宋体" w:hAnsi="宋体" w:cs="宋体" w:hint="eastAsia"/>
          <w:sz w:val="24"/>
          <w:szCs w:val="24"/>
        </w:rPr>
        <w:t>本工程艾山街道城子坡片区城市更新项目产业研发中心项目（二期）</w:t>
      </w:r>
      <w:r>
        <w:rPr>
          <w:rFonts w:ascii="宋体" w:eastAsia="宋体" w:hAnsi="宋体" w:cs="宋体" w:hint="eastAsia"/>
          <w:sz w:val="24"/>
          <w:szCs w:val="24"/>
          <w:lang w:val="en-US" w:eastAsia="zh-CN"/>
        </w:rPr>
        <w:t>塔机</w:t>
      </w:r>
      <w:r>
        <w:rPr>
          <w:rFonts w:ascii="宋体" w:eastAsia="宋体" w:hAnsi="宋体" w:cs="宋体" w:hint="eastAsia"/>
          <w:sz w:val="24"/>
          <w:szCs w:val="24"/>
        </w:rPr>
        <w:t>定位</w:t>
      </w:r>
      <w:r>
        <w:rPr>
          <w:rFonts w:ascii="宋体" w:eastAsia="宋体" w:hAnsi="宋体" w:cs="宋体" w:hint="eastAsia"/>
          <w:sz w:val="24"/>
          <w:szCs w:val="24"/>
          <w:lang w:val="en-US" w:eastAsia="zh-CN"/>
        </w:rPr>
        <w:t>总平面图如下</w:t>
      </w:r>
      <w:r>
        <w:rPr>
          <w:rFonts w:ascii="宋体" w:eastAsia="宋体" w:hAnsi="宋体" w:cs="宋体" w:hint="eastAsia"/>
          <w:sz w:val="24"/>
          <w:szCs w:val="24"/>
        </w:rPr>
        <w:t>。</w:t>
      </w:r>
    </w:p>
    <w:p>
      <w:pPr>
        <w:pStyle w:val="BodyTextFirstIndent2"/>
        <w:pageBreakBefore w:val="0"/>
        <w:kinsoku/>
        <w:wordWrap/>
        <w:overflowPunct/>
        <w:topLinePunct w:val="0"/>
        <w:autoSpaceDE/>
        <w:autoSpaceDN/>
        <w:bidi w:val="0"/>
        <w:spacing w:line="360" w:lineRule="auto"/>
        <w:ind w:left="0" w:firstLine="0" w:leftChars="0" w:firstLineChars="0"/>
        <w:jc w:val="center"/>
        <w:textAlignment w:val="auto"/>
        <w:rPr>
          <w:rFonts w:ascii="宋体" w:eastAsia="宋体" w:hAnsi="宋体" w:cs="宋体" w:hint="eastAsia"/>
          <w:sz w:val="24"/>
          <w:szCs w:val="24"/>
        </w:rPr>
      </w:pPr>
      <w:r>
        <w:drawing>
          <wp:inline distT="0" distB="0" distL="114300" distR="114300">
            <wp:extent cx="5757545" cy="6810375"/>
            <wp:effectExtent l="0" t="0" r="14605" b="952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xmlns:r="http://schemas.openxmlformats.org/officeDocument/2006/relationships" r:embed="rId11"/>
                    <a:stretch>
                      <a:fillRect/>
                    </a:stretch>
                  </pic:blipFill>
                  <pic:spPr>
                    <a:xfrm>
                      <a:off x="0" y="0"/>
                      <a:ext cx="5757545" cy="6810375"/>
                    </a:xfrm>
                    <a:prstGeom prst="rect">
                      <a:avLst/>
                    </a:prstGeom>
                    <a:noFill/>
                    <a:ln>
                      <a:noFill/>
                    </a:ln>
                  </pic:spPr>
                </pic:pic>
              </a:graphicData>
            </a:graphic>
          </wp:inline>
        </w:drawing>
      </w:r>
    </w:p>
    <w:p>
      <w:pPr>
        <w:pStyle w:val="cscec8t"/>
        <w:numPr>
          <w:ilvl w:val="6"/>
          <w:numId w:val="0"/>
        </w:numPr>
        <w:bidi w:val="0"/>
        <w:ind w:left="0" w:firstLine="0" w:leftChars="0" w:firstLineChars="0"/>
        <w:rPr>
          <w:rFonts w:ascii="宋体" w:eastAsia="宋体" w:hAnsi="宋体" w:cs="宋体" w:hint="eastAsia"/>
        </w:rPr>
      </w:pPr>
      <w:r>
        <w:rPr>
          <w:rFonts w:ascii="黑体" w:eastAsia="黑体" w:hAnsi="黑体" w:cs="宋体" w:hint="eastAsia"/>
          <w:b w:val="0"/>
          <w:i w:val="0"/>
          <w:kern w:val="2"/>
          <w:sz w:val="24"/>
          <w:szCs w:val="24"/>
          <w:lang w:val="en-US" w:eastAsia="zh-CN" w:bidi="ar-SA"/>
        </w:rPr>
        <w:t xml:space="preserve">图1.3-1  </w:t>
      </w:r>
      <w:r>
        <w:rPr>
          <w:rFonts w:ascii="宋体" w:eastAsia="宋体" w:hAnsi="宋体" w:cs="宋体" w:hint="eastAsia"/>
          <w:sz w:val="24"/>
          <w:szCs w:val="24"/>
          <w:lang w:val="en-US" w:eastAsia="zh-CN"/>
        </w:rPr>
        <w:t>塔机</w:t>
      </w:r>
      <w:r>
        <w:rPr>
          <w:rFonts w:ascii="宋体" w:eastAsia="宋体" w:hAnsi="宋体" w:cs="宋体" w:hint="eastAsia"/>
          <w:sz w:val="24"/>
          <w:szCs w:val="24"/>
        </w:rPr>
        <w:t>定位</w:t>
      </w:r>
      <w:r>
        <w:rPr>
          <w:rFonts w:ascii="宋体" w:eastAsia="宋体" w:hAnsi="宋体" w:cs="宋体" w:hint="eastAsia"/>
          <w:sz w:val="24"/>
          <w:szCs w:val="24"/>
          <w:lang w:val="en-US" w:eastAsia="zh-CN"/>
        </w:rPr>
        <w:t>总</w:t>
      </w:r>
      <w:r>
        <w:rPr>
          <w:rFonts w:ascii="宋体" w:eastAsia="宋体" w:hAnsi="宋体" w:cs="宋体" w:hint="eastAsia"/>
          <w:sz w:val="24"/>
          <w:szCs w:val="24"/>
        </w:rPr>
        <w:t>平面图</w:t>
      </w:r>
    </w:p>
    <w:p>
      <w:pPr>
        <w:pStyle w:val="cscec84"/>
        <w:numPr>
          <w:ilvl w:val="3"/>
          <w:numId w:val="0"/>
        </w:numPr>
        <w:bidi w:val="0"/>
        <w:ind w:left="0" w:firstLine="0" w:leftChars="0" w:firstLineChars="0"/>
        <w:rPr>
          <w:rFonts w:hint="eastAsia"/>
        </w:rPr>
      </w:pPr>
      <w:r>
        <w:rPr>
          <w:rFonts w:ascii="宋体" w:eastAsia="宋体" w:hAnsi="黑体" w:cs="Times New Roman" w:hint="eastAsia"/>
          <w:b w:val="0"/>
          <w:i w:val="0"/>
          <w:caps w:val="0"/>
          <w:strike w:val="0"/>
          <w:dstrike w:val="0"/>
          <w:vanish w:val="0"/>
          <w:color w:val="auto"/>
          <w:kern w:val="2"/>
          <w:sz w:val="24"/>
          <w:szCs w:val="24"/>
          <w:u w:val="none"/>
          <w:vertAlign w:val="baseline"/>
          <w:lang w:val="en-US" w:eastAsia="zh-CN" w:bidi="ar-SA"/>
        </w:rPr>
        <w:t xml:space="preserve">1.3.1.3  </w:t>
      </w:r>
      <w:r>
        <w:rPr>
          <w:rFonts w:hint="eastAsia"/>
        </w:rPr>
        <w:t>塔机安装高度</w:t>
      </w:r>
    </w:p>
    <w:p>
      <w:pPr>
        <w:pStyle w:val="cscec8b"/>
        <w:numPr>
          <w:ilvl w:val="7"/>
          <w:numId w:val="0"/>
        </w:numPr>
        <w:bidi w:val="0"/>
        <w:ind w:left="0" w:firstLine="0" w:leftChars="0" w:firstLineChars="0"/>
        <w:rPr>
          <w:rFonts w:hint="eastAsia"/>
        </w:rPr>
      </w:pPr>
      <w:r>
        <w:rPr>
          <w:rFonts w:ascii="黑体" w:eastAsia="黑体" w:hAnsi="黑体" w:cs="Times New Roman" w:hint="eastAsia"/>
          <w:b w:val="0"/>
          <w:i w:val="0"/>
          <w:kern w:val="2"/>
          <w:sz w:val="24"/>
          <w:szCs w:val="24"/>
          <w:lang w:val="en-US" w:eastAsia="zh-CN" w:bidi="ar-SA"/>
        </w:rPr>
        <w:t xml:space="preserve">表1.3-1  </w:t>
      </w:r>
      <w:r>
        <w:rPr>
          <w:rFonts w:hint="eastAsia"/>
        </w:rPr>
        <w:t>各型塔式起重机安装高度明细表</w:t>
      </w:r>
    </w:p>
    <w:tbl>
      <w:tblPr>
        <w:tblStyle w:val="TableNormal"/>
        <w:tblW w:w="9253" w:type="dxa"/>
        <w:jc w:val="center"/>
        <w:tblBorders>
          <w:top w:val="thinThickSmallGap" w:sz="24" w:space="0" w:color="000000"/>
          <w:left w:val="thinThickSmallGap" w:sz="24" w:space="0" w:color="000000"/>
          <w:bottom w:val="thinThickSmallGap" w:sz="24" w:space="0" w:color="000000"/>
          <w:right w:val="thinThickSmallGap" w:sz="24" w:space="0" w:color="000000"/>
          <w:insideH w:val="single" w:sz="4" w:space="0" w:color="000000"/>
          <w:insideV w:val="single" w:sz="8" w:space="0" w:color="000000"/>
        </w:tblBorders>
        <w:tblLayout w:type="fixed"/>
        <w:tblCellMar>
          <w:top w:w="0" w:type="dxa"/>
          <w:left w:w="108" w:type="dxa"/>
          <w:bottom w:w="0" w:type="dxa"/>
          <w:right w:w="108" w:type="dxa"/>
        </w:tblCellMar>
      </w:tblPr>
      <w:tblGrid>
        <w:gridCol w:w="725"/>
        <w:gridCol w:w="1019"/>
        <w:gridCol w:w="1418"/>
        <w:gridCol w:w="707"/>
        <w:gridCol w:w="740"/>
        <w:gridCol w:w="1032"/>
        <w:gridCol w:w="947"/>
        <w:gridCol w:w="881"/>
        <w:gridCol w:w="679"/>
        <w:gridCol w:w="1105"/>
      </w:tblGrid>
      <w:tr>
        <w:tblPrEx>
          <w:tblW w:w="9253" w:type="dxa"/>
          <w:jc w:val="center"/>
          <w:tblBorders>
            <w:top w:val="thinThickSmallGap" w:sz="24" w:space="0" w:color="000000"/>
            <w:left w:val="thinThickSmallGap" w:sz="24" w:space="0" w:color="000000"/>
            <w:bottom w:val="thinThickSmallGap" w:sz="24" w:space="0" w:color="000000"/>
            <w:right w:val="thinThickSmallGap" w:sz="24" w:space="0" w:color="000000"/>
            <w:insideH w:val="single" w:sz="4" w:space="0" w:color="000000"/>
            <w:insideV w:val="single" w:sz="8" w:space="0" w:color="000000"/>
          </w:tblBorders>
          <w:tblLayout w:type="fixed"/>
          <w:tblCellMar>
            <w:top w:w="0" w:type="dxa"/>
            <w:left w:w="108" w:type="dxa"/>
            <w:bottom w:w="0" w:type="dxa"/>
            <w:right w:w="108" w:type="dxa"/>
          </w:tblCellMar>
        </w:tblPrEx>
        <w:trPr>
          <w:trHeight w:val="1024"/>
          <w:jc w:val="center"/>
        </w:trPr>
        <w:tc>
          <w:tcPr>
            <w:tcW w:w="725"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塔机编号</w:t>
            </w:r>
          </w:p>
        </w:tc>
        <w:tc>
          <w:tcPr>
            <w:tcW w:w="1019"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初次高度（m)</w:t>
            </w:r>
          </w:p>
        </w:tc>
        <w:tc>
          <w:tcPr>
            <w:tcW w:w="1418"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最终</w:t>
            </w:r>
          </w:p>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塔高（m)</w:t>
            </w:r>
          </w:p>
        </w:tc>
        <w:tc>
          <w:tcPr>
            <w:tcW w:w="707"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臂长（m)</w:t>
            </w:r>
          </w:p>
        </w:tc>
        <w:tc>
          <w:tcPr>
            <w:tcW w:w="740"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大臂方向</w:t>
            </w:r>
          </w:p>
        </w:tc>
        <w:tc>
          <w:tcPr>
            <w:tcW w:w="1032"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最小吊重（T)</w:t>
            </w:r>
          </w:p>
        </w:tc>
        <w:tc>
          <w:tcPr>
            <w:tcW w:w="947"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最大吊重（T)</w:t>
            </w:r>
          </w:p>
        </w:tc>
        <w:tc>
          <w:tcPr>
            <w:tcW w:w="881"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最终附墙道数</w:t>
            </w:r>
          </w:p>
        </w:tc>
        <w:tc>
          <w:tcPr>
            <w:tcW w:w="679"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使用部位</w:t>
            </w:r>
          </w:p>
        </w:tc>
        <w:tc>
          <w:tcPr>
            <w:tcW w:w="1105"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备注</w:t>
            </w:r>
          </w:p>
        </w:tc>
      </w:tr>
    </w:tbl>
    <w:p>
      <w:pPr>
        <w:sectPr>
          <w:footerReference w:type="default" r:id="rId12"/>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3"/>
          <w:cols w:num="1" w:space="1680"/>
          <w:titlePg w:val="0"/>
          <w:docGrid w:linePitch="326" w:charSpace="59452"/>
        </w:sectPr>
      </w:pPr>
    </w:p>
    <w:tbl>
      <w:tblPr>
        <w:tblStyle w:val="TableNormal"/>
        <w:tblW w:w="9253" w:type="dxa"/>
        <w:jc w:val="center"/>
        <w:tblBorders>
          <w:top w:val="thinThickSmallGap" w:sz="24" w:space="0" w:color="000000"/>
          <w:left w:val="thinThickSmallGap" w:sz="24" w:space="0" w:color="000000"/>
          <w:bottom w:val="thinThickSmallGap" w:sz="24" w:space="0" w:color="000000"/>
          <w:right w:val="thinThickSmallGap" w:sz="24" w:space="0" w:color="000000"/>
          <w:insideH w:val="single" w:sz="4" w:space="0" w:color="000000"/>
          <w:insideV w:val="single" w:sz="8" w:space="0" w:color="000000"/>
        </w:tblBorders>
        <w:tblLayout w:type="fixed"/>
        <w:tblCellMar>
          <w:top w:w="0" w:type="dxa"/>
          <w:left w:w="108" w:type="dxa"/>
          <w:bottom w:w="0" w:type="dxa"/>
          <w:right w:w="108" w:type="dxa"/>
        </w:tblCellMar>
      </w:tblPr>
      <w:tblGrid>
        <w:gridCol w:w="725"/>
        <w:gridCol w:w="1019"/>
        <w:gridCol w:w="1418"/>
        <w:gridCol w:w="707"/>
        <w:gridCol w:w="740"/>
        <w:gridCol w:w="1032"/>
        <w:gridCol w:w="947"/>
        <w:gridCol w:w="881"/>
        <w:gridCol w:w="679"/>
        <w:gridCol w:w="1105"/>
      </w:tblGrid>
      <w:tr>
        <w:tblPrEx>
          <w:tblW w:w="9253" w:type="dxa"/>
          <w:jc w:val="center"/>
          <w:tblBorders>
            <w:top w:val="thinThickSmallGap" w:sz="24" w:space="0" w:color="000000"/>
            <w:left w:val="thinThickSmallGap" w:sz="24" w:space="0" w:color="000000"/>
            <w:bottom w:val="thinThickSmallGap" w:sz="24" w:space="0" w:color="000000"/>
            <w:right w:val="thinThickSmallGap" w:sz="24" w:space="0" w:color="000000"/>
            <w:insideH w:val="single" w:sz="4" w:space="0" w:color="000000"/>
            <w:insideV w:val="single" w:sz="8" w:space="0" w:color="000000"/>
          </w:tblBorders>
          <w:tblLayout w:type="fixed"/>
          <w:tblCellMar>
            <w:top w:w="0" w:type="dxa"/>
            <w:left w:w="108" w:type="dxa"/>
            <w:bottom w:w="0" w:type="dxa"/>
            <w:right w:w="108" w:type="dxa"/>
          </w:tblCellMar>
        </w:tblPrEx>
        <w:trPr>
          <w:trHeight w:val="702"/>
          <w:jc w:val="center"/>
        </w:trPr>
        <w:tc>
          <w:tcPr>
            <w:tcW w:w="725"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2#</w:t>
            </w:r>
          </w:p>
        </w:tc>
        <w:tc>
          <w:tcPr>
            <w:tcW w:w="1019"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40.1</w:t>
            </w:r>
          </w:p>
        </w:tc>
        <w:tc>
          <w:tcPr>
            <w:tcW w:w="1418"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59.7m(21节)</w:t>
            </w:r>
          </w:p>
        </w:tc>
        <w:tc>
          <w:tcPr>
            <w:tcW w:w="707"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50</w:t>
            </w:r>
          </w:p>
        </w:tc>
        <w:tc>
          <w:tcPr>
            <w:tcW w:w="740"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东</w:t>
            </w:r>
          </w:p>
        </w:tc>
        <w:tc>
          <w:tcPr>
            <w:tcW w:w="1032"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3.1</w:t>
            </w:r>
          </w:p>
        </w:tc>
        <w:tc>
          <w:tcPr>
            <w:tcW w:w="947"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8.0</w:t>
            </w:r>
          </w:p>
        </w:tc>
        <w:tc>
          <w:tcPr>
            <w:tcW w:w="881"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679"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高层办公1#楼</w:t>
            </w:r>
          </w:p>
        </w:tc>
        <w:tc>
          <w:tcPr>
            <w:tcW w:w="1105"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科技</w:t>
            </w:r>
          </w:p>
        </w:tc>
      </w:tr>
      <w:tr>
        <w:tblPrEx>
          <w:tblW w:w="9253" w:type="dxa"/>
          <w:jc w:val="center"/>
          <w:tblLayout w:type="fixed"/>
          <w:tblCellMar>
            <w:top w:w="0" w:type="dxa"/>
            <w:left w:w="108" w:type="dxa"/>
            <w:bottom w:w="0" w:type="dxa"/>
            <w:right w:w="108" w:type="dxa"/>
          </w:tblCellMar>
        </w:tblPrEx>
        <w:trPr>
          <w:trHeight w:val="791"/>
          <w:jc w:val="center"/>
        </w:trPr>
        <w:tc>
          <w:tcPr>
            <w:tcW w:w="725"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019"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48.5</w:t>
            </w:r>
          </w:p>
        </w:tc>
        <w:tc>
          <w:tcPr>
            <w:tcW w:w="1418"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73.7m(26节)</w:t>
            </w:r>
          </w:p>
        </w:tc>
        <w:tc>
          <w:tcPr>
            <w:tcW w:w="707"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55</w:t>
            </w:r>
          </w:p>
        </w:tc>
        <w:tc>
          <w:tcPr>
            <w:tcW w:w="740"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西</w:t>
            </w:r>
          </w:p>
        </w:tc>
        <w:tc>
          <w:tcPr>
            <w:tcW w:w="1032"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2.7</w:t>
            </w:r>
          </w:p>
        </w:tc>
        <w:tc>
          <w:tcPr>
            <w:tcW w:w="947"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8.0</w:t>
            </w:r>
          </w:p>
        </w:tc>
        <w:tc>
          <w:tcPr>
            <w:tcW w:w="881"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2</w:t>
            </w:r>
          </w:p>
        </w:tc>
        <w:tc>
          <w:tcPr>
            <w:tcW w:w="679"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高层办公4#楼</w:t>
            </w:r>
          </w:p>
        </w:tc>
        <w:tc>
          <w:tcPr>
            <w:tcW w:w="1105" w:type="dxa"/>
            <w:tcBorders>
              <w:tl2br w:val="nil"/>
              <w:tr2bl w:val="nil"/>
            </w:tcBorders>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科技</w:t>
            </w:r>
          </w:p>
        </w:tc>
      </w:tr>
    </w:tbl>
    <w:p>
      <w:pPr>
        <w:pStyle w:val="cscec83"/>
        <w:numPr>
          <w:ilvl w:val="2"/>
          <w:numId w:val="0"/>
        </w:numPr>
        <w:bidi w:val="0"/>
        <w:ind w:left="0" w:firstLine="0" w:leftChars="0" w:firstLineChars="0"/>
        <w:rPr>
          <w:rFonts w:hint="eastAsia"/>
        </w:rPr>
      </w:pPr>
      <w:bookmarkStart w:id="33" w:name="_Toc24477_WPSOffice_Level2"/>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1.3.2  </w:t>
      </w:r>
      <w:r>
        <w:rPr>
          <w:rFonts w:hint="eastAsia"/>
        </w:rPr>
        <w:t>塔式起重机附</w:t>
      </w:r>
      <w:bookmarkEnd w:id="33"/>
      <w:r>
        <w:rPr>
          <w:rFonts w:hint="eastAsia"/>
        </w:rPr>
        <w:t>着安装参数</w:t>
      </w:r>
    </w:p>
    <w:p>
      <w:pPr>
        <w:pStyle w:val="cscec8b"/>
        <w:numPr>
          <w:ilvl w:val="7"/>
          <w:numId w:val="0"/>
        </w:numPr>
        <w:bidi w:val="0"/>
        <w:ind w:left="0" w:firstLine="0" w:leftChars="0" w:firstLineChars="0"/>
        <w:rPr>
          <w:rFonts w:ascii="宋体" w:eastAsia="宋体" w:hAnsi="宋体" w:cs="宋体" w:hint="eastAsia"/>
          <w:b/>
        </w:rPr>
      </w:pPr>
      <w:bookmarkStart w:id="34" w:name="_Toc6822_WPSOffice_Level3"/>
      <w:r>
        <w:rPr>
          <w:rFonts w:ascii="黑体" w:eastAsia="黑体" w:hAnsi="黑体" w:cs="宋体" w:hint="eastAsia"/>
          <w:b w:val="0"/>
          <w:i w:val="0"/>
          <w:kern w:val="2"/>
          <w:sz w:val="24"/>
          <w:szCs w:val="24"/>
          <w:lang w:val="en-US" w:eastAsia="zh-CN" w:bidi="ar-SA"/>
        </w:rPr>
        <w:t xml:space="preserve">表1.3-2  </w:t>
      </w:r>
      <w:r>
        <w:rPr>
          <w:rFonts w:ascii="宋体" w:eastAsia="宋体" w:hAnsi="宋体" w:cs="宋体" w:hint="eastAsia"/>
          <w:b/>
          <w:bCs/>
          <w:color w:val="000000"/>
          <w:sz w:val="24"/>
          <w:szCs w:val="24"/>
        </w:rPr>
        <w:t>塔式起重机</w:t>
      </w:r>
      <w:r>
        <w:rPr>
          <w:rFonts w:ascii="宋体" w:eastAsia="宋体" w:hAnsi="宋体" w:cs="宋体" w:hint="eastAsia"/>
          <w:b/>
          <w:sz w:val="24"/>
          <w:szCs w:val="24"/>
        </w:rPr>
        <w:t>附着安装参数表</w:t>
      </w:r>
      <w:bookmarkEnd w:id="34"/>
    </w:p>
    <w:tbl>
      <w:tblPr>
        <w:tblStyle w:val="TableNormal"/>
        <w:tblW w:w="8780" w:type="dxa"/>
        <w:jc w:val="center"/>
        <w:tblBorders>
          <w:top w:val="thinThickSmallGap" w:sz="24" w:space="0" w:color="auto"/>
          <w:left w:val="thinThickSmallGap" w:sz="24" w:space="0" w:color="auto"/>
          <w:bottom w:val="thinThickSmallGap" w:sz="24" w:space="0" w:color="auto"/>
          <w:right w:val="thinThickSmallGap" w:sz="24" w:space="0" w:color="auto"/>
          <w:insideH w:val="single" w:sz="4" w:space="0" w:color="auto"/>
          <w:insideV w:val="single" w:sz="4" w:space="0" w:color="auto"/>
        </w:tblBorders>
        <w:tblLayout w:type="fixed"/>
        <w:tblCellMar>
          <w:top w:w="0" w:type="dxa"/>
          <w:left w:w="108" w:type="dxa"/>
          <w:bottom w:w="0" w:type="dxa"/>
          <w:right w:w="108" w:type="dxa"/>
        </w:tblCellMar>
      </w:tblPr>
      <w:tblGrid>
        <w:gridCol w:w="757"/>
        <w:gridCol w:w="1342"/>
        <w:gridCol w:w="1229"/>
        <w:gridCol w:w="1271"/>
        <w:gridCol w:w="1273"/>
        <w:gridCol w:w="983"/>
        <w:gridCol w:w="1925"/>
      </w:tblGrid>
      <w:tr>
        <w:tblPrEx>
          <w:tblW w:w="8780" w:type="dxa"/>
          <w:jc w:val="center"/>
          <w:tblBorders>
            <w:top w:val="thinThickSmallGap" w:sz="24" w:space="0" w:color="auto"/>
            <w:left w:val="thinThickSmallGap" w:sz="24" w:space="0" w:color="auto"/>
            <w:bottom w:val="thinThickSmallGap" w:sz="24" w:space="0" w:color="auto"/>
            <w:right w:val="thinThickSmallGap" w:sz="2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731"/>
          <w:jc w:val="center"/>
        </w:trPr>
        <w:tc>
          <w:tcPr>
            <w:tcW w:w="757" w:type="dxa"/>
            <w:vMerge w:val="restart"/>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塔机编号</w:t>
            </w:r>
          </w:p>
        </w:tc>
        <w:tc>
          <w:tcPr>
            <w:tcW w:w="6098" w:type="dxa"/>
            <w:gridSpan w:val="5"/>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附着高度m）</w:t>
            </w:r>
          </w:p>
        </w:tc>
        <w:tc>
          <w:tcPr>
            <w:tcW w:w="1925" w:type="dxa"/>
            <w:vMerge w:val="restart"/>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备注</w:t>
            </w:r>
          </w:p>
        </w:tc>
      </w:tr>
      <w:tr>
        <w:tblPrEx>
          <w:tblW w:w="8780" w:type="dxa"/>
          <w:jc w:val="center"/>
          <w:tblLayout w:type="fixed"/>
          <w:tblCellMar>
            <w:top w:w="0" w:type="dxa"/>
            <w:left w:w="108" w:type="dxa"/>
            <w:bottom w:w="0" w:type="dxa"/>
            <w:right w:w="108" w:type="dxa"/>
          </w:tblCellMar>
        </w:tblPrEx>
        <w:trPr>
          <w:trHeight w:hRule="exact" w:val="824"/>
          <w:jc w:val="center"/>
        </w:trPr>
        <w:tc>
          <w:tcPr>
            <w:tcW w:w="757" w:type="dxa"/>
            <w:vMerge/>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1342"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一道</w:t>
            </w:r>
          </w:p>
        </w:tc>
        <w:tc>
          <w:tcPr>
            <w:tcW w:w="1229"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二道</w:t>
            </w:r>
          </w:p>
        </w:tc>
        <w:tc>
          <w:tcPr>
            <w:tcW w:w="1271"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三道</w:t>
            </w:r>
          </w:p>
        </w:tc>
        <w:tc>
          <w:tcPr>
            <w:tcW w:w="1273"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四道</w:t>
            </w:r>
          </w:p>
        </w:tc>
        <w:tc>
          <w:tcPr>
            <w:tcW w:w="983"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终塔悬臂段长（m）</w:t>
            </w:r>
          </w:p>
        </w:tc>
        <w:tc>
          <w:tcPr>
            <w:tcW w:w="1925" w:type="dxa"/>
            <w:vMerge/>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8780" w:type="dxa"/>
          <w:jc w:val="center"/>
          <w:tblLayout w:type="fixed"/>
          <w:tblCellMar>
            <w:top w:w="0" w:type="dxa"/>
            <w:left w:w="108" w:type="dxa"/>
            <w:bottom w:w="0" w:type="dxa"/>
            <w:right w:w="108" w:type="dxa"/>
          </w:tblCellMar>
        </w:tblPrEx>
        <w:trPr>
          <w:trHeight w:hRule="exact" w:val="723"/>
          <w:jc w:val="center"/>
        </w:trPr>
        <w:tc>
          <w:tcPr>
            <w:tcW w:w="757"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2#</w:t>
            </w:r>
          </w:p>
        </w:tc>
        <w:tc>
          <w:tcPr>
            <w:tcW w:w="1342"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6层顶梁</w:t>
            </w:r>
          </w:p>
        </w:tc>
        <w:tc>
          <w:tcPr>
            <w:tcW w:w="1229"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1271" w:type="dxa"/>
            <w:tcBorders>
              <w:tl2br w:val="single" w:sz="4" w:space="0" w:color="auto"/>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1273" w:type="dxa"/>
            <w:tcBorders>
              <w:tl2br w:val="single" w:sz="4" w:space="0" w:color="auto"/>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983"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24.9m</w:t>
            </w:r>
          </w:p>
        </w:tc>
        <w:tc>
          <w:tcPr>
            <w:tcW w:w="1925"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科技QTZ160(H6515)</w:t>
            </w:r>
          </w:p>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8780" w:type="dxa"/>
          <w:jc w:val="center"/>
          <w:tblLayout w:type="fixed"/>
          <w:tblCellMar>
            <w:top w:w="0" w:type="dxa"/>
            <w:left w:w="108" w:type="dxa"/>
            <w:bottom w:w="0" w:type="dxa"/>
            <w:right w:w="108" w:type="dxa"/>
          </w:tblCellMar>
        </w:tblPrEx>
        <w:trPr>
          <w:trHeight w:hRule="exact" w:val="719"/>
          <w:jc w:val="center"/>
        </w:trPr>
        <w:tc>
          <w:tcPr>
            <w:tcW w:w="757"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342"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6层顶梁</w:t>
            </w:r>
          </w:p>
        </w:tc>
        <w:tc>
          <w:tcPr>
            <w:tcW w:w="1229"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10层顶梁</w:t>
            </w:r>
          </w:p>
        </w:tc>
        <w:tc>
          <w:tcPr>
            <w:tcW w:w="1271" w:type="dxa"/>
            <w:tcBorders>
              <w:tl2br w:val="single" w:sz="4" w:space="0" w:color="auto"/>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1273" w:type="dxa"/>
            <w:tcBorders>
              <w:tl2br w:val="single" w:sz="4" w:space="0" w:color="auto"/>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983"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21.9</w:t>
            </w:r>
          </w:p>
        </w:tc>
        <w:tc>
          <w:tcPr>
            <w:tcW w:w="1925" w:type="dxa"/>
            <w:tcBorders>
              <w:tl2br w:val="nil"/>
              <w:tr2bl w:val="nil"/>
            </w:tcBorders>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科技QTZ160(H6515)</w:t>
            </w:r>
          </w:p>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8780" w:type="dxa"/>
          <w:jc w:val="center"/>
          <w:tblLayout w:type="fixed"/>
          <w:tblCellMar>
            <w:top w:w="0" w:type="dxa"/>
            <w:left w:w="108" w:type="dxa"/>
            <w:bottom w:w="0" w:type="dxa"/>
            <w:right w:w="108" w:type="dxa"/>
          </w:tblCellMar>
        </w:tblPrEx>
        <w:trPr>
          <w:trHeight w:hRule="exact" w:val="906"/>
          <w:jc w:val="center"/>
        </w:trPr>
        <w:tc>
          <w:tcPr>
            <w:tcW w:w="8780" w:type="dxa"/>
            <w:gridSpan w:val="7"/>
            <w:tcBorders>
              <w:tl2br w:val="nil"/>
              <w:tr2bl w:val="nil"/>
            </w:tcBorders>
            <w:vAlign w:val="center"/>
          </w:tcPr>
          <w:p>
            <w:pPr>
              <w:pageBreakBefore w:val="0"/>
              <w:widowControl/>
              <w:kinsoku/>
              <w:wordWrap/>
              <w:overflowPunct/>
              <w:topLinePunct w:val="0"/>
              <w:autoSpaceDE/>
              <w:autoSpaceDN/>
              <w:bidi w:val="0"/>
              <w:spacing w:line="360" w:lineRule="auto"/>
              <w:jc w:val="left"/>
              <w:textAlignment w:val="auto"/>
              <w:rPr>
                <w:rFonts w:cs="宋体" w:hint="eastAsia"/>
                <w:color w:val="000000"/>
                <w:kern w:val="0"/>
                <w:sz w:val="24"/>
                <w:szCs w:val="24"/>
                <w:highlight w:val="yellow"/>
              </w:rPr>
            </w:pPr>
            <w:r>
              <w:rPr>
                <w:rFonts w:ascii="宋体" w:eastAsia="宋体" w:hAnsi="宋体" w:cs="宋体" w:hint="eastAsia"/>
                <w:color w:val="000000" w:themeColor="text1"/>
                <w:sz w:val="24"/>
                <w:szCs w:val="24"/>
                <w14:textFill>
                  <w14:solidFill>
                    <w14:schemeClr w14:val="tx1"/>
                  </w14:solidFill>
                </w14:textFill>
              </w:rPr>
              <w:t>备注：附着高度以±0.00起算</w:t>
            </w:r>
          </w:p>
        </w:tc>
      </w:tr>
    </w:tbl>
    <w:p>
      <w:pPr>
        <w:pStyle w:val="cscec83"/>
        <w:numPr>
          <w:ilvl w:val="2"/>
          <w:numId w:val="0"/>
        </w:numPr>
        <w:bidi w:val="0"/>
        <w:ind w:left="0" w:firstLine="0" w:leftChars="0" w:firstLineChars="0"/>
        <w:rPr>
          <w:rFonts w:hint="eastAsia"/>
        </w:rPr>
      </w:pPr>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1.3.3  </w:t>
      </w:r>
      <w:r>
        <w:rPr>
          <w:rFonts w:hint="eastAsia"/>
        </w:rPr>
        <w:t>塔式起重机空间交叉关系</w:t>
      </w:r>
    </w:p>
    <w:p>
      <w:pPr>
        <w:pageBreakBefore w:val="0"/>
        <w:kinsoku/>
        <w:wordWrap/>
        <w:overflowPunct/>
        <w:topLinePunct w:val="0"/>
        <w:autoSpaceDE/>
        <w:autoSpaceDN/>
        <w:bidi w:val="0"/>
        <w:spacing w:line="360" w:lineRule="auto"/>
        <w:ind w:firstLine="480" w:firstLineChars="200"/>
        <w:jc w:val="center"/>
        <w:textAlignment w:val="auto"/>
        <w:outlineLvl w:val="1"/>
        <w:rPr>
          <w:rFonts w:cs="宋体" w:hint="eastAsia"/>
          <w:b/>
          <w:bCs/>
          <w:color w:val="000000"/>
          <w:sz w:val="24"/>
          <w:szCs w:val="24"/>
        </w:rPr>
      </w:pPr>
      <w:bookmarkStart w:id="35" w:name="_Toc7076"/>
      <w:bookmarkStart w:id="36" w:name="_Toc105"/>
      <w:bookmarkStart w:id="37" w:name="_Toc5678"/>
      <w:bookmarkStart w:id="38" w:name="_Toc14333"/>
      <w:r>
        <w:rPr>
          <w:rFonts w:ascii="宋体" w:eastAsia="宋体" w:hAnsi="宋体" w:cs="宋体" w:hint="eastAsia"/>
          <w:b/>
          <w:bCs/>
          <w:color w:val="000000"/>
          <w:sz w:val="24"/>
          <w:szCs w:val="24"/>
        </w:rPr>
        <w:t>群塔塔位空间关系参数表</w:t>
      </w:r>
      <w:bookmarkEnd w:id="35"/>
      <w:bookmarkEnd w:id="36"/>
      <w:bookmarkEnd w:id="37"/>
      <w:bookmarkEnd w:id="38"/>
    </w:p>
    <w:tbl>
      <w:tblPr>
        <w:tblStyle w:val="TableNormal"/>
        <w:tblW w:w="8900" w:type="dxa"/>
        <w:jc w:val="center"/>
        <w:tblBorders>
          <w:top w:val="thinThickSmallGap" w:sz="24" w:space="0" w:color="auto"/>
          <w:left w:val="none" w:sz="0" w:space="0" w:color="auto"/>
          <w:bottom w:val="thinThickSmallGap" w:sz="2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41"/>
        <w:gridCol w:w="1314"/>
        <w:gridCol w:w="1908"/>
        <w:gridCol w:w="1975"/>
        <w:gridCol w:w="1966"/>
        <w:gridCol w:w="996"/>
      </w:tblGrid>
      <w:tr>
        <w:tblPrEx>
          <w:tblW w:w="8900" w:type="dxa"/>
          <w:jc w:val="center"/>
          <w:tblBorders>
            <w:top w:val="thinThickSmallGap" w:sz="24" w:space="0" w:color="auto"/>
            <w:left w:val="none" w:sz="0" w:space="0" w:color="auto"/>
            <w:bottom w:val="thinThickSmallGap" w:sz="2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781"/>
          <w:jc w:val="center"/>
        </w:trPr>
        <w:tc>
          <w:tcPr>
            <w:tcW w:w="741" w:type="dxa"/>
            <w:tcBorders>
              <w:left w:val="thinThickSmallGap" w:sz="24" w:space="0" w:color="auto"/>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序号</w:t>
            </w:r>
          </w:p>
        </w:tc>
        <w:tc>
          <w:tcPr>
            <w:tcW w:w="1314" w:type="dxa"/>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塔机编号</w:t>
            </w:r>
          </w:p>
        </w:tc>
        <w:tc>
          <w:tcPr>
            <w:tcW w:w="1908" w:type="dxa"/>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塔机中心距(m)</w:t>
            </w:r>
          </w:p>
        </w:tc>
        <w:tc>
          <w:tcPr>
            <w:tcW w:w="1975" w:type="dxa"/>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大臂重合长度（m）</w:t>
            </w:r>
          </w:p>
        </w:tc>
        <w:tc>
          <w:tcPr>
            <w:tcW w:w="1966" w:type="dxa"/>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大臂净高差（m）</w:t>
            </w:r>
          </w:p>
        </w:tc>
        <w:tc>
          <w:tcPr>
            <w:tcW w:w="996" w:type="dxa"/>
            <w:tcBorders>
              <w:right w:val="thinThickSmallGap" w:sz="24" w:space="0" w:color="auto"/>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备注</w:t>
            </w:r>
          </w:p>
        </w:tc>
      </w:tr>
      <w:tr>
        <w:tblPrEx>
          <w:tblW w:w="8900" w:type="dxa"/>
          <w:jc w:val="center"/>
          <w:tblLayout w:type="fixed"/>
          <w:tblCellMar>
            <w:top w:w="0" w:type="dxa"/>
            <w:left w:w="108" w:type="dxa"/>
            <w:bottom w:w="0" w:type="dxa"/>
            <w:right w:w="108" w:type="dxa"/>
          </w:tblCellMar>
        </w:tblPrEx>
        <w:trPr>
          <w:trHeight w:val="452"/>
          <w:jc w:val="center"/>
        </w:trPr>
        <w:tc>
          <w:tcPr>
            <w:tcW w:w="741" w:type="dxa"/>
            <w:tcBorders>
              <w:left w:val="thinThickSmallGap" w:sz="24" w:space="0" w:color="auto"/>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314" w:type="dxa"/>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1#~2#</w:t>
            </w:r>
          </w:p>
        </w:tc>
        <w:tc>
          <w:tcPr>
            <w:tcW w:w="1908" w:type="dxa"/>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56.21m</w:t>
            </w:r>
          </w:p>
        </w:tc>
        <w:tc>
          <w:tcPr>
            <w:tcW w:w="1975" w:type="dxa"/>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50</w:t>
            </w:r>
          </w:p>
        </w:tc>
        <w:tc>
          <w:tcPr>
            <w:tcW w:w="1966" w:type="dxa"/>
            <w:noWrap/>
            <w:vAlign w:val="center"/>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8.08</w:t>
            </w:r>
          </w:p>
        </w:tc>
        <w:tc>
          <w:tcPr>
            <w:tcW w:w="996" w:type="dxa"/>
            <w:tcBorders>
              <w:right w:val="thinThickSmallGap" w:sz="24" w:space="0" w:color="auto"/>
            </w:tcBorders>
            <w:noWrap/>
            <w:vAlign w:val="center"/>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含臂尖</w:t>
            </w:r>
          </w:p>
        </w:tc>
      </w:tr>
      <w:bookmarkEnd w:id="26"/>
      <w:bookmarkEnd w:id="27"/>
      <w:bookmarkEnd w:id="28"/>
      <w:bookmarkEnd w:id="29"/>
      <w:bookmarkEnd w:id="30"/>
      <w:bookmarkEnd w:id="31"/>
      <w:bookmarkEnd w:id="32"/>
    </w:tbl>
    <w:p>
      <w:pPr>
        <w:pStyle w:val="cscec82"/>
        <w:numPr>
          <w:ilvl w:val="1"/>
          <w:numId w:val="0"/>
        </w:numPr>
        <w:bidi w:val="0"/>
        <w:ind w:left="0" w:firstLine="0" w:leftChars="0" w:firstLineChars="0"/>
        <w:rPr>
          <w:rFonts w:hint="eastAsia"/>
        </w:rPr>
      </w:pPr>
      <w:bookmarkStart w:id="39" w:name="_Toc31127"/>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1.4  </w:t>
      </w:r>
      <w:r>
        <w:rPr>
          <w:rFonts w:hint="eastAsia"/>
        </w:rPr>
        <w:t>施工要求</w:t>
      </w:r>
      <w:bookmarkEnd w:id="39"/>
    </w:p>
    <w:p>
      <w:pPr>
        <w:pageBreakBefore w:val="0"/>
        <w:numPr>
          <w:ilvl w:val="0"/>
          <w:numId w:val="18"/>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进场人员做好安全教育、并与安拆单位签订安全生产管理协议。</w:t>
      </w:r>
    </w:p>
    <w:p>
      <w:pPr>
        <w:pageBreakBefore w:val="0"/>
        <w:numPr>
          <w:ilvl w:val="0"/>
          <w:numId w:val="18"/>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混凝土基础周围应修筑边坡和排水设施，并应与基坑保持一定安全距离。</w:t>
      </w:r>
    </w:p>
    <w:p>
      <w:pPr>
        <w:pageBreakBefore w:val="0"/>
        <w:numPr>
          <w:ilvl w:val="0"/>
          <w:numId w:val="18"/>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混凝土基础强度达到设计要求；并有第三方检测报告。</w:t>
      </w:r>
    </w:p>
    <w:p>
      <w:pPr>
        <w:pageBreakBefore w:val="0"/>
        <w:numPr>
          <w:ilvl w:val="0"/>
          <w:numId w:val="18"/>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安装前必须取得安监站备案告知回执后才能进场安装；未进行安装告知不能进行安装及拆卸。</w:t>
      </w:r>
    </w:p>
    <w:p>
      <w:pPr>
        <w:pageBreakBefore w:val="0"/>
        <w:numPr>
          <w:ilvl w:val="0"/>
          <w:numId w:val="18"/>
        </w:numPr>
        <w:kinsoku/>
        <w:wordWrap/>
        <w:overflowPunct/>
        <w:topLinePunct w:val="0"/>
        <w:autoSpaceDE/>
        <w:autoSpaceDN/>
        <w:bidi w:val="0"/>
        <w:spacing w:line="360" w:lineRule="auto"/>
        <w:ind w:firstLine="480" w:firstLineChars="200"/>
        <w:textAlignment w:val="auto"/>
        <w:rPr>
          <w:rFonts w:cs="宋体" w:hint="eastAsia"/>
          <w:sz w:val="24"/>
          <w:szCs w:val="24"/>
        </w:rPr>
        <w:sectPr>
          <w:footerReference w:type="default" r:id="rId13"/>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4"/>
          <w:cols w:num="1" w:space="1680"/>
          <w:titlePg w:val="0"/>
          <w:docGrid w:linePitch="326" w:charSpace="59452"/>
        </w:sectPr>
      </w:pPr>
      <w:r>
        <w:rPr>
          <w:rFonts w:ascii="宋体" w:eastAsia="宋体" w:hAnsi="宋体" w:cs="宋体" w:hint="eastAsia"/>
          <w:sz w:val="24"/>
          <w:szCs w:val="24"/>
        </w:rPr>
        <w:t>对辅助安装塔式起重机的汽车吊运行工作情况、位置地质进行检查；安装进场前的道路已作平整夯实，且无车辆或其他阻碍安装作业的障碍物。</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对安装、拆卸人员所使用的工具、安全带、安全帽等进行检查，不合格者立即更换。</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对所有安装、拆卸塔式起重机的各机构、各部位、结构焊缝、重要部位螺栓、销轴、卷扬机构和钢丝绳、吊钩、吊具以及电气设备、线路等进行验收检查并填写验收记录、严禁强行作业；对待安装的整机及各部件等进行检查，特别是液压系统、金属机构、机构等。</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风力在三级及以上时，不得进行升降作业。在作业中风力突然增大达到四级时，必须立即停止，并应紧固上、下塔身各连接螺栓。</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附着杆系的布置方式、相互间距和附着距离等，应按出厂使用说明书规定执行。有变动时，应另行设计。</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附着框架宜设置在塔身标准节连接处，箍紧塔身。塔架对角处在无斜撑时应加固。</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塔身顶升接高到规定锚固间距时，应及时增设与建筑物的锚固装置，塔身高出锚固装置的自由端高度，应符合出厂规定。</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作业过程中，应经常检查锚固装置，发现松动或异常情况时，应立即停止作业，故障未排除，不得继续作业。</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锚固装置的安装、拆卸、检查和调整，均应有专人负责，工作时应系安全带和戴安全帽，并应遵守高处作业有关安全操作的规定。</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安装作业前，全体作业员工学习领会安装方案，进行安全技术交底，落实到每项工作的实处，要求每个作业人员理解工作内容、技术要求规范和安全措施，领会注意事项。</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进入施工作业现场必须戴好安全帽，高空作业时，需系好安全带，穿防滑鞋。在冬季、雨季作业应采取防滑措施。</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安装作业区域范围内应设置安全警戒线，由施工现场派专人看守，无关人员 不得进入警戒线区域。安装作业人员工作岗位明确，作业职责清楚，既要坚守工作岗位，又要相互配合自觉遵守安全操作规程。</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安装、拆卸螺栓、螺母时，使用的铁锤与扳手应握牢固，必要时牵挂防坠绳，以防止螺栓、螺母、铁锤、扳手等拆卸物件从高空坠落。在使用铁锤打击物件时操作者应由熟练的作业员操作。</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sectPr>
          <w:footerReference w:type="default" r:id="rId14"/>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5"/>
          <w:cols w:num="1" w:space="1680"/>
          <w:titlePg w:val="0"/>
          <w:docGrid w:linePitch="326" w:charSpace="59452"/>
        </w:sectPr>
      </w:pPr>
    </w:p>
    <w:p>
      <w:pPr>
        <w:pageBreakBefore w:val="0"/>
        <w:numPr>
          <w:ilvl w:val="0"/>
          <w:numId w:val="0"/>
        </w:numPr>
        <w:kinsoku/>
        <w:wordWrap/>
        <w:overflowPunct/>
        <w:topLinePunct w:val="0"/>
        <w:autoSpaceDE/>
        <w:autoSpaceDN/>
        <w:bidi w:val="0"/>
        <w:spacing w:line="360" w:lineRule="auto"/>
        <w:ind w:left="0" w:firstLine="480" w:firstLineChars="200"/>
        <w:textAlignment w:val="auto"/>
        <w:rPr>
          <w:rFonts w:cs="宋体" w:hint="eastAsia"/>
          <w:sz w:val="24"/>
          <w:szCs w:val="24"/>
        </w:rPr>
      </w:pPr>
      <w:r>
        <w:rPr>
          <w:rFonts w:ascii="宋体" w:eastAsia="宋体" w:hAnsi="宋体" w:cs="宋体" w:hint="eastAsia"/>
          <w:sz w:val="24"/>
          <w:szCs w:val="24"/>
        </w:rPr>
        <w:t>安装前检查基础表面的水平面度，基础表面应经过二次找平至水平面度1/1000。</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根据本施工现场具体情况，平整好塔机进场的放置、拼装及安装场地；安装拆卸前准备好一台50t汽车式起重机。</w:t>
      </w:r>
    </w:p>
    <w:p>
      <w:pPr>
        <w:pageBreakBefore w:val="0"/>
        <w:numPr>
          <w:ilvl w:val="0"/>
          <w:numId w:val="4"/>
        </w:numPr>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电路的架设：将380V的电源架设到塔机的基础侧，以便安装塔机使用。</w:t>
      </w:r>
    </w:p>
    <w:p>
      <w:pPr>
        <w:pStyle w:val="cscec82"/>
        <w:numPr>
          <w:ilvl w:val="1"/>
          <w:numId w:val="0"/>
        </w:numPr>
        <w:bidi w:val="0"/>
        <w:ind w:left="0" w:firstLine="0" w:leftChars="0" w:firstLineChars="0"/>
        <w:rPr>
          <w:rFonts w:hint="eastAsia"/>
        </w:rPr>
      </w:pPr>
      <w:bookmarkStart w:id="40" w:name="_Toc19582"/>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1.5  </w:t>
      </w:r>
      <w:r>
        <w:rPr>
          <w:rFonts w:hint="eastAsia"/>
        </w:rPr>
        <w:t>技术保证条件</w:t>
      </w:r>
      <w:bookmarkEnd w:id="40"/>
    </w:p>
    <w:p>
      <w:pPr>
        <w:pageBreakBefore w:val="0"/>
        <w:numPr>
          <w:ilvl w:val="0"/>
          <w:numId w:val="5"/>
        </w:numPr>
        <w:kinsoku/>
        <w:wordWrap/>
        <w:overflowPunct/>
        <w:topLinePunct w:val="0"/>
        <w:autoSpaceDE/>
        <w:autoSpaceDN/>
        <w:bidi w:val="0"/>
        <w:spacing w:line="360" w:lineRule="auto"/>
        <w:textAlignment w:val="auto"/>
        <w:rPr>
          <w:rFonts w:cs="宋体" w:hint="eastAsia"/>
          <w:sz w:val="24"/>
          <w:szCs w:val="24"/>
        </w:rPr>
      </w:pPr>
      <w:r>
        <w:rPr>
          <w:rFonts w:ascii="宋体" w:eastAsia="宋体" w:hAnsi="宋体" w:cs="宋体" w:hint="eastAsia"/>
          <w:sz w:val="24"/>
          <w:szCs w:val="24"/>
        </w:rPr>
        <w:t>塔式起重机安装、拆卸单位必须具有从事塔式起重机安装、拆卸业务的资质</w:t>
      </w:r>
    </w:p>
    <w:p>
      <w:pPr>
        <w:pageBreakBefore w:val="0"/>
        <w:numPr>
          <w:ilvl w:val="0"/>
          <w:numId w:val="5"/>
        </w:numPr>
        <w:kinsoku/>
        <w:wordWrap/>
        <w:overflowPunct/>
        <w:topLinePunct w:val="0"/>
        <w:autoSpaceDE/>
        <w:autoSpaceDN/>
        <w:bidi w:val="0"/>
        <w:spacing w:line="360" w:lineRule="auto"/>
        <w:textAlignment w:val="auto"/>
        <w:rPr>
          <w:rFonts w:cs="宋体" w:hint="eastAsia"/>
          <w:sz w:val="24"/>
          <w:szCs w:val="24"/>
        </w:rPr>
      </w:pPr>
      <w:r>
        <w:rPr>
          <w:rFonts w:ascii="宋体" w:eastAsia="宋体" w:hAnsi="宋体" w:cs="宋体" w:hint="eastAsia"/>
          <w:sz w:val="24"/>
          <w:szCs w:val="24"/>
        </w:rPr>
        <w:t>塔式起重机安装、有健全的安全管理制度。按拆单位必须具有从事塔式起重机安拆单位应具备安全管理保证体系。</w:t>
      </w:r>
    </w:p>
    <w:p>
      <w:pPr>
        <w:pageBreakBefore w:val="0"/>
        <w:numPr>
          <w:ilvl w:val="0"/>
          <w:numId w:val="5"/>
        </w:numPr>
        <w:kinsoku/>
        <w:wordWrap/>
        <w:overflowPunct/>
        <w:topLinePunct w:val="0"/>
        <w:autoSpaceDE/>
        <w:autoSpaceDN/>
        <w:bidi w:val="0"/>
        <w:spacing w:line="360" w:lineRule="auto"/>
        <w:textAlignment w:val="auto"/>
        <w:rPr>
          <w:rFonts w:cs="宋体" w:hint="eastAsia"/>
          <w:sz w:val="24"/>
          <w:szCs w:val="24"/>
        </w:rPr>
      </w:pPr>
      <w:r>
        <w:rPr>
          <w:rFonts w:ascii="宋体" w:eastAsia="宋体" w:hAnsi="宋体" w:cs="宋体" w:hint="eastAsia"/>
          <w:sz w:val="24"/>
          <w:szCs w:val="24"/>
        </w:rPr>
        <w:t>塔式起重机安装、拆卸作业应配备下列人员：</w:t>
      </w:r>
    </w:p>
    <w:p>
      <w:pPr>
        <w:pageBreakBefore w:val="0"/>
        <w:kinsoku/>
        <w:wordWrap/>
        <w:overflowPunct/>
        <w:topLinePunct w:val="0"/>
        <w:autoSpaceDE/>
        <w:autoSpaceDN/>
        <w:bidi w:val="0"/>
        <w:spacing w:line="360" w:lineRule="auto"/>
        <w:textAlignment w:val="auto"/>
        <w:rPr>
          <w:rFonts w:cs="宋体" w:hint="eastAsia"/>
          <w:sz w:val="24"/>
          <w:szCs w:val="24"/>
        </w:rPr>
      </w:pPr>
      <w:r>
        <w:rPr>
          <w:rFonts w:ascii="宋体" w:eastAsia="宋体" w:hAnsi="宋体" w:cs="宋体" w:hint="eastAsia"/>
          <w:sz w:val="24"/>
          <w:szCs w:val="24"/>
        </w:rPr>
        <w:t>1）持有安全生产考核合格证书的项目负责人和安全负责人、机械管理人员；并应有安拆单位技术和安全人员在场监护。</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2）具有建筑施工特种作业操作资格证书的建筑起重机械安装拆卸工、起重司机、起重信号工、司索工、电工等特种作业操作人员。</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3）塔式起重机应具有特种设备制造许可证、产品合格证、制造监督检验证明，并已在县级以上地方建设主管部门备案登记。</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4）塔式起重机应符合现行国家标准《塔式起重机安全规程》及《塔式起重机》性能的相关规定。</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5）塔式起重机安装、拆卸前，应编制专项施工方案，指导作业人员实施安装、拆卸作业。专项施工方案应根据塔式起重机使用说明书和作业场地的实际情况编制，并应符合国家现行相关标准的规定。专项施工方案应由本单位技术、安全、设备等部门审核、技术负责人审批后，经监理单位批准实施。</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6）基础混凝土强度等级、基础表面平整度、埋设件的位置、标高、垂直度、预埋件锚固长度以及施工工艺符合出厂说明书要求。</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7）塔机的金属结构及所有电气设备的金属外壳，应有可靠的接地装置，接地电阻应符合规范及方案要求。</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8）基础混凝土及钢筋原材经过见证取样送检并取得合格检测报告；基础混凝土强度需要达到90%以上方可安装</w:t>
      </w:r>
      <w:r>
        <w:rPr>
          <w:rFonts w:cs="宋体" w:hint="eastAsia"/>
          <w:sz w:val="24"/>
          <w:szCs w:val="24"/>
          <w:lang w:eastAsia="zh-CN"/>
        </w:rPr>
        <w:t>，</w:t>
      </w:r>
      <w:r>
        <w:rPr>
          <w:rFonts w:cs="宋体" w:hint="eastAsia"/>
          <w:sz w:val="24"/>
          <w:szCs w:val="24"/>
          <w:lang w:val="en-US" w:eastAsia="zh-CN"/>
        </w:rPr>
        <w:t>达到100%方可使用</w:t>
      </w:r>
      <w:r>
        <w:rPr>
          <w:rFonts w:ascii="宋体" w:eastAsia="宋体" w:hAnsi="宋体" w:cs="宋体" w:hint="eastAsia"/>
          <w:sz w:val="24"/>
          <w:szCs w:val="24"/>
        </w:rPr>
        <w:t>。</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sectPr>
          <w:footerReference w:type="default" r:id="rId15"/>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6"/>
          <w:cols w:num="1" w:space="1680"/>
          <w:titlePg w:val="0"/>
          <w:docGrid w:linePitch="326" w:charSpace="59452"/>
        </w:sectPr>
      </w:pP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9）采用高强度螺栓连接的结构，应使用原厂制造的连接螺栓，自制螺栓应有质量合格的试验证明，否则不得使用。连接螺栓时，应采用扭矩扳手或专用扳手，并应按装配技术要求拧紧。在紧固要求有预紧力的螺栓时，必须使用专门的可读数的工具，将螺栓准确地紧固到规定的预紧力值。</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10）填好设备运转记录表、检修保养记录、交接班记录。</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11）作业前进行安全技术交底；必须详细了解并严格按照说明书中所规定的拆卸程序进行作业，严禁对产品说明书中规定的拆卸程序做任何改动</w:t>
      </w:r>
      <w:r>
        <w:rPr>
          <w:rFonts w:cs="宋体" w:hint="eastAsia"/>
          <w:sz w:val="24"/>
          <w:szCs w:val="24"/>
          <w:lang w:eastAsia="zh-CN"/>
        </w:rPr>
        <w:t>。</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12）熟知解体各拆卸部件相连接处所采用的联接形式和所使用的联接件的尺寸、规定及要求。对于有润滑要求的螺栓，必须按说明书的要求，按规定的时间，用规定的润滑剂润滑。</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13）了解每个拆卸部件的重量和吊点位置。作业过程中，拆卸工人必须对所使用的机械设备和工具的性能及操作规程有全面了解，并严格按规定使用。</w:t>
      </w:r>
    </w:p>
    <w:p>
      <w:pPr>
        <w:pageBreakBefore w:val="0"/>
        <w:kinsoku/>
        <w:wordWrap/>
        <w:overflowPunct/>
        <w:topLinePunct w:val="0"/>
        <w:autoSpaceDE/>
        <w:autoSpaceDN/>
        <w:bidi w:val="0"/>
        <w:spacing w:line="360" w:lineRule="auto"/>
        <w:ind w:firstLine="480" w:firstLineChars="200"/>
        <w:textAlignment w:val="auto"/>
        <w:rPr>
          <w:rFonts w:cs="宋体" w:hint="eastAsia"/>
          <w:sz w:val="24"/>
          <w:szCs w:val="24"/>
        </w:rPr>
      </w:pPr>
      <w:r>
        <w:rPr>
          <w:rFonts w:ascii="宋体" w:eastAsia="宋体" w:hAnsi="宋体" w:cs="宋体" w:hint="eastAsia"/>
          <w:sz w:val="24"/>
          <w:szCs w:val="24"/>
        </w:rPr>
        <w:t>14）每次的顶升加节及拆卸，应有完整的施工记录和安装（拆卸）作业单位操作人员的签名等见证资料。</w:t>
      </w:r>
    </w:p>
    <w:p>
      <w:pPr>
        <w:pStyle w:val="cscec82"/>
        <w:numPr>
          <w:ilvl w:val="1"/>
          <w:numId w:val="0"/>
        </w:numPr>
        <w:bidi w:val="0"/>
        <w:ind w:left="0" w:firstLine="0" w:leftChars="0" w:firstLineChars="0"/>
        <w:rPr>
          <w:rFonts w:hint="eastAsia"/>
        </w:rPr>
      </w:pPr>
      <w:bookmarkStart w:id="41" w:name="_Toc30030"/>
      <w:bookmarkStart w:id="42" w:name="_Toc30901"/>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1.6  </w:t>
      </w:r>
      <w:r>
        <w:rPr>
          <w:rFonts w:hint="eastAsia"/>
        </w:rPr>
        <w:t>周边环境条件</w:t>
      </w:r>
      <w:bookmarkEnd w:id="41"/>
      <w:bookmarkEnd w:id="42"/>
    </w:p>
    <w:p>
      <w:pPr>
        <w:pageBreakBefore w:val="0"/>
        <w:kinsoku/>
        <w:wordWrap/>
        <w:overflowPunct/>
        <w:topLinePunct w:val="0"/>
        <w:autoSpaceDE/>
        <w:autoSpaceDN/>
        <w:bidi w:val="0"/>
        <w:spacing w:line="360" w:lineRule="auto"/>
        <w:ind w:firstLine="480" w:firstLineChars="200"/>
        <w:jc w:val="left"/>
        <w:textAlignment w:val="auto"/>
        <w:rPr>
          <w:rFonts w:cs="宋体" w:hint="eastAsia"/>
          <w:sz w:val="24"/>
          <w:szCs w:val="24"/>
        </w:rPr>
      </w:pPr>
      <w:bookmarkStart w:id="43" w:name="_Toc29116"/>
      <w:r>
        <w:rPr>
          <w:rFonts w:cs="宋体" w:hint="eastAsia"/>
          <w:sz w:val="24"/>
          <w:szCs w:val="24"/>
          <w:lang w:val="en-US" w:eastAsia="zh-CN"/>
        </w:rPr>
        <w:t>本工程</w:t>
      </w:r>
      <w:r>
        <w:rPr>
          <w:rFonts w:ascii="宋体" w:eastAsia="宋体" w:hAnsi="宋体" w:cs="宋体" w:hint="eastAsia"/>
          <w:sz w:val="24"/>
          <w:szCs w:val="24"/>
        </w:rPr>
        <w:t>场区地理环境优越，交通十分便利。</w:t>
      </w:r>
    </w:p>
    <w:p>
      <w:pPr>
        <w:pStyle w:val="cscec82"/>
        <w:numPr>
          <w:ilvl w:val="1"/>
          <w:numId w:val="0"/>
        </w:numPr>
        <w:bidi w:val="0"/>
        <w:ind w:left="0" w:firstLine="0" w:leftChars="0" w:firstLineChars="0"/>
        <w:rPr>
          <w:rFonts w:hint="eastAsia"/>
          <w:highlight w:val="yellow"/>
        </w:rPr>
      </w:pPr>
      <w:bookmarkStart w:id="44" w:name="_Toc953"/>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1.7  </w:t>
      </w:r>
      <w:r>
        <w:rPr>
          <w:rFonts w:hint="eastAsia"/>
          <w:highlight w:val="yellow"/>
        </w:rPr>
        <w:t>工程气象、水文地质条件</w:t>
      </w:r>
      <w:bookmarkEnd w:id="43"/>
      <w:bookmarkEnd w:id="44"/>
    </w:p>
    <w:p>
      <w:pPr>
        <w:pStyle w:val="cscec83"/>
        <w:numPr>
          <w:ilvl w:val="2"/>
          <w:numId w:val="0"/>
        </w:numPr>
        <w:bidi w:val="0"/>
        <w:ind w:left="0" w:firstLine="0" w:leftChars="0" w:firstLineChars="0"/>
        <w:rPr>
          <w:rFonts w:hint="eastAsia"/>
          <w:highlight w:val="yellow"/>
        </w:rPr>
      </w:pPr>
      <w:bookmarkStart w:id="45" w:name="_Toc26435"/>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1.7.1  </w:t>
      </w:r>
      <w:r>
        <w:rPr>
          <w:rFonts w:hint="eastAsia"/>
          <w:highlight w:val="yellow"/>
        </w:rPr>
        <w:t>气候条件</w:t>
      </w:r>
      <w:bookmarkEnd w:id="45"/>
    </w:p>
    <w:p>
      <w:pPr>
        <w:pageBreakBefore w:val="0"/>
        <w:kinsoku/>
        <w:wordWrap/>
        <w:overflowPunct/>
        <w:topLinePunct w:val="0"/>
        <w:autoSpaceDE/>
        <w:autoSpaceDN/>
        <w:bidi w:val="0"/>
        <w:spacing w:line="360" w:lineRule="auto"/>
        <w:ind w:firstLine="480" w:firstLineChars="200"/>
        <w:jc w:val="left"/>
        <w:textAlignment w:val="auto"/>
        <w:rPr>
          <w:rFonts w:cs="宋体" w:hint="eastAsia"/>
          <w:sz w:val="24"/>
          <w:szCs w:val="24"/>
          <w:highlight w:val="yellow"/>
          <w:lang w:val="zh-CN"/>
        </w:rPr>
      </w:pPr>
      <w:r>
        <w:rPr>
          <w:rFonts w:ascii="宋体" w:eastAsia="宋体" w:hAnsi="宋体" w:cs="宋体" w:hint="eastAsia"/>
          <w:sz w:val="24"/>
          <w:szCs w:val="24"/>
          <w:highlight w:val="yellow"/>
        </w:rPr>
        <w:t>勘区属暖温带湿润、半湿润大陆性季风气候，光照充足，四季分明。境内年平均气温在11～13℃之间，降水量760.9毫米，无霜期204天。年平均最高气温为18.6℃，7月份最高为30.9℃，极端最高为39.2℃；1月份最低为8.1℃，极端最低为-22.5℃。降水量多年平均760.9毫米。　日降水量最大为168.8毫米，出现于1975年9月1日。日照多年平均2629.2小时，日照率59%。平均每天光照7.2小时，最长13.8小时。</w:t>
      </w:r>
    </w:p>
    <w:p>
      <w:pPr>
        <w:pStyle w:val="cscec83"/>
        <w:numPr>
          <w:ilvl w:val="2"/>
          <w:numId w:val="0"/>
        </w:numPr>
        <w:bidi w:val="0"/>
        <w:ind w:left="0" w:firstLine="0" w:leftChars="0" w:firstLineChars="0"/>
        <w:rPr>
          <w:rFonts w:hint="eastAsia"/>
          <w:highlight w:val="yellow"/>
        </w:rPr>
      </w:pPr>
      <w:bookmarkStart w:id="46" w:name="_Toc26348"/>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1.7.2  </w:t>
      </w:r>
      <w:r>
        <w:rPr>
          <w:rFonts w:hint="eastAsia"/>
          <w:highlight w:val="yellow"/>
        </w:rPr>
        <w:t>地形、地貌</w:t>
      </w:r>
      <w:bookmarkEnd w:id="46"/>
    </w:p>
    <w:p>
      <w:pPr>
        <w:pageBreakBefore w:val="0"/>
        <w:kinsoku/>
        <w:wordWrap/>
        <w:overflowPunct/>
        <w:topLinePunct w:val="0"/>
        <w:autoSpaceDE/>
        <w:autoSpaceDN/>
        <w:bidi w:val="0"/>
        <w:spacing w:line="360" w:lineRule="auto"/>
        <w:ind w:firstLine="480" w:firstLineChars="200"/>
        <w:jc w:val="left"/>
        <w:textAlignment w:val="auto"/>
        <w:rPr>
          <w:rFonts w:cs="宋体" w:hint="eastAsia"/>
          <w:sz w:val="24"/>
          <w:szCs w:val="24"/>
          <w:highlight w:val="yellow"/>
          <w:lang w:val="zh-CN"/>
        </w:rPr>
      </w:pPr>
      <w:r>
        <w:rPr>
          <w:rFonts w:ascii="宋体" w:eastAsia="宋体" w:hAnsi="宋体" w:cs="宋体" w:hint="eastAsia"/>
          <w:sz w:val="24"/>
          <w:szCs w:val="24"/>
          <w:highlight w:val="yellow"/>
        </w:rPr>
        <w:t>勘区位于黄河冲积平原上，地貌单元单一，南部 1#楼、2# 楼、3#楼、物业配套房位置现状为拆迁地块，其余北部位置现状 为耕地。 勘区地面孔口地面标高 35.04—32.59m（地势北低南高），相 对高差 2.45m。</w:t>
      </w:r>
    </w:p>
    <w:p>
      <w:pPr>
        <w:pStyle w:val="cscec83"/>
        <w:numPr>
          <w:ilvl w:val="2"/>
          <w:numId w:val="0"/>
        </w:numPr>
        <w:bidi w:val="0"/>
        <w:ind w:left="0" w:firstLine="0" w:leftChars="0" w:firstLineChars="0"/>
        <w:rPr>
          <w:rFonts w:hint="eastAsia"/>
          <w:highlight w:val="yellow"/>
          <w:lang w:val="zh-CN"/>
        </w:rPr>
      </w:pPr>
      <w:bookmarkStart w:id="47" w:name="_Toc9508"/>
      <w:r>
        <w:rPr>
          <w:rFonts w:ascii="黑体" w:eastAsia="黑体" w:hAnsi="黑体" w:cs="Times New Roman" w:hint="eastAsia"/>
          <w:b w:val="0"/>
          <w:i w:val="0"/>
          <w:caps w:val="0"/>
          <w:strike w:val="0"/>
          <w:dstrike w:val="0"/>
          <w:vanish w:val="0"/>
          <w:color w:val="auto"/>
          <w:kern w:val="2"/>
          <w:sz w:val="24"/>
          <w:szCs w:val="21"/>
          <w:u w:val="none"/>
          <w:vertAlign w:val="baseline"/>
          <w:lang w:val="zh-CN" w:eastAsia="zh-CN" w:bidi="ar-SA"/>
        </w:rPr>
        <w:t xml:space="preserve">1.7.3  </w:t>
      </w:r>
      <w:r>
        <w:rPr>
          <w:rFonts w:hint="eastAsia"/>
          <w:highlight w:val="yellow"/>
        </w:rPr>
        <w:t>水文条件</w:t>
      </w:r>
      <w:bookmarkEnd w:id="47"/>
    </w:p>
    <w:p>
      <w:pPr>
        <w:pageBreakBefore w:val="0"/>
        <w:kinsoku/>
        <w:wordWrap/>
        <w:overflowPunct/>
        <w:topLinePunct w:val="0"/>
        <w:autoSpaceDE/>
        <w:autoSpaceDN/>
        <w:bidi w:val="0"/>
        <w:spacing w:line="360" w:lineRule="auto"/>
        <w:ind w:firstLine="480" w:firstLineChars="200"/>
        <w:jc w:val="left"/>
        <w:textAlignment w:val="auto"/>
        <w:rPr>
          <w:rFonts w:cs="宋体" w:hint="eastAsia"/>
          <w:sz w:val="24"/>
          <w:szCs w:val="24"/>
          <w:highlight w:val="yellow"/>
          <w:lang w:val="zh-CN"/>
        </w:rPr>
        <w:sectPr>
          <w:footerReference w:type="default" r:id="rId16"/>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7"/>
          <w:cols w:num="1" w:space="1680"/>
          <w:titlePg w:val="0"/>
          <w:docGrid w:linePitch="326" w:charSpace="59452"/>
        </w:sectPr>
      </w:pPr>
      <w:r>
        <w:rPr>
          <w:rFonts w:ascii="宋体" w:eastAsia="宋体" w:hAnsi="宋体" w:cs="宋体" w:hint="eastAsia"/>
          <w:sz w:val="24"/>
          <w:szCs w:val="24"/>
          <w:highlight w:val="yellow"/>
        </w:rPr>
        <w:t>在勘探深度内，土的岩性为粉土、黏性土及砂土。该区粉土</w:t>
      </w:r>
    </w:p>
    <w:p>
      <w:pPr>
        <w:pageBreakBefore w:val="0"/>
        <w:kinsoku/>
        <w:wordWrap/>
        <w:overflowPunct/>
        <w:topLinePunct w:val="0"/>
        <w:autoSpaceDE/>
        <w:autoSpaceDN/>
        <w:bidi w:val="0"/>
        <w:spacing w:line="360" w:lineRule="auto"/>
        <w:ind w:firstLine="480" w:firstLineChars="200"/>
        <w:jc w:val="left"/>
        <w:textAlignment w:val="auto"/>
        <w:rPr>
          <w:rFonts w:cs="宋体" w:hint="eastAsia"/>
          <w:sz w:val="24"/>
          <w:szCs w:val="24"/>
          <w:highlight w:val="yellow"/>
          <w:lang w:val="zh-CN"/>
        </w:rPr>
      </w:pPr>
      <w:r>
        <w:rPr>
          <w:rFonts w:ascii="宋体" w:eastAsia="宋体" w:hAnsi="宋体" w:cs="宋体" w:hint="eastAsia"/>
          <w:sz w:val="24"/>
          <w:szCs w:val="24"/>
          <w:highlight w:val="yellow"/>
        </w:rPr>
        <w:t xml:space="preserve"> 及砂土的埋藏厚度较大，故勘区内土层的含水及透水条件较好，</w:t>
      </w:r>
      <w:r>
        <w:rPr>
          <w:rFonts w:ascii="宋体" w:eastAsia="宋体" w:hAnsi="宋体" w:cs="宋体" w:hint="eastAsia"/>
          <w:sz w:val="24"/>
          <w:szCs w:val="24"/>
          <w:highlight w:val="yellow"/>
        </w:rPr>
        <w:t xml:space="preserve"> 虽有黏性土层存在，但未形成区域性的隔水层，未发现有承压水</w:t>
      </w:r>
      <w:r>
        <w:rPr>
          <w:rFonts w:ascii="宋体" w:eastAsia="宋体" w:hAnsi="宋体" w:cs="宋体" w:hint="eastAsia"/>
          <w:sz w:val="24"/>
          <w:szCs w:val="24"/>
          <w:highlight w:val="yellow"/>
        </w:rPr>
        <w:t xml:space="preserve"> 现象，水力联系密切，故含水层同属一个水文地质单元。</w:t>
      </w:r>
      <w:r>
        <w:rPr>
          <w:rFonts w:ascii="宋体" w:eastAsia="宋体" w:hAnsi="宋体" w:cs="宋体" w:hint="eastAsia"/>
          <w:sz w:val="24"/>
          <w:szCs w:val="24"/>
          <w:highlight w:val="yellow"/>
        </w:rPr>
        <w:t xml:space="preserve"> 该区地下水按埋藏条件为第四系孔隙潜水类型。区域地下水</w:t>
      </w:r>
      <w:r>
        <w:rPr>
          <w:rFonts w:ascii="宋体" w:eastAsia="宋体" w:hAnsi="宋体" w:cs="宋体" w:hint="eastAsia"/>
          <w:sz w:val="24"/>
          <w:szCs w:val="24"/>
          <w:highlight w:val="yellow"/>
        </w:rPr>
        <w:t xml:space="preserve"> 以大气降水及西邻水系的渗透为补给来源，以地表蒸发、人工抽</w:t>
      </w:r>
      <w:r>
        <w:rPr>
          <w:rFonts w:ascii="宋体" w:eastAsia="宋体" w:hAnsi="宋体" w:cs="宋体" w:hint="eastAsia"/>
          <w:sz w:val="24"/>
          <w:szCs w:val="24"/>
          <w:highlight w:val="yellow"/>
        </w:rPr>
        <w:t xml:space="preserve"> 取及缓径流为排泄方式。根据区域水文地质资料，从水位长期动</w:t>
      </w:r>
      <w:r>
        <w:rPr>
          <w:rFonts w:ascii="宋体" w:eastAsia="宋体" w:hAnsi="宋体" w:cs="宋体" w:hint="eastAsia"/>
          <w:sz w:val="24"/>
          <w:szCs w:val="24"/>
          <w:highlight w:val="yellow"/>
        </w:rPr>
        <w:t xml:space="preserve"> 态资料看，地下水位随季节而变化，其水位季节变化规律一般在</w:t>
      </w:r>
      <w:r>
        <w:rPr>
          <w:rFonts w:ascii="宋体" w:eastAsia="宋体" w:hAnsi="宋体" w:cs="宋体" w:hint="eastAsia"/>
          <w:sz w:val="24"/>
          <w:szCs w:val="24"/>
          <w:highlight w:val="yellow"/>
        </w:rPr>
        <w:t xml:space="preserve"> 2～5</w:t>
      </w:r>
      <w:r>
        <w:rPr>
          <w:rFonts w:ascii="宋体" w:eastAsia="宋体" w:hAnsi="宋体" w:cs="宋体" w:hint="eastAsia"/>
          <w:sz w:val="24"/>
          <w:szCs w:val="24"/>
          <w:highlight w:val="yellow"/>
        </w:rPr>
        <w:t xml:space="preserve"> 月水位较低（年内枯水期），在</w:t>
      </w:r>
      <w:r>
        <w:rPr>
          <w:rFonts w:ascii="宋体" w:eastAsia="宋体" w:hAnsi="宋体" w:cs="宋体" w:hint="eastAsia"/>
          <w:sz w:val="24"/>
          <w:szCs w:val="24"/>
          <w:highlight w:val="yellow"/>
        </w:rPr>
        <w:t xml:space="preserve"> 7～10</w:t>
      </w:r>
      <w:r>
        <w:rPr>
          <w:rFonts w:ascii="宋体" w:eastAsia="宋体" w:hAnsi="宋体" w:cs="宋体" w:hint="eastAsia"/>
          <w:sz w:val="24"/>
          <w:szCs w:val="24"/>
          <w:highlight w:val="yellow"/>
        </w:rPr>
        <w:t xml:space="preserve"> 月水位较高（年内丰</w:t>
      </w:r>
      <w:r>
        <w:rPr>
          <w:rFonts w:ascii="宋体" w:eastAsia="宋体" w:hAnsi="宋体" w:cs="宋体" w:hint="eastAsia"/>
          <w:sz w:val="24"/>
          <w:szCs w:val="24"/>
          <w:highlight w:val="yellow"/>
        </w:rPr>
        <w:t xml:space="preserve"> 水期），地下水位年变化幅值一般为</w:t>
      </w:r>
      <w:r>
        <w:rPr>
          <w:rFonts w:ascii="宋体" w:eastAsia="宋体" w:hAnsi="宋体" w:cs="宋体" w:hint="eastAsia"/>
          <w:sz w:val="24"/>
          <w:szCs w:val="24"/>
          <w:highlight w:val="yellow"/>
        </w:rPr>
        <w:t xml:space="preserve"> 1.0～2.0m</w:t>
      </w:r>
      <w:r>
        <w:rPr>
          <w:rFonts w:ascii="宋体" w:eastAsia="宋体" w:hAnsi="宋体" w:cs="宋体" w:hint="eastAsia"/>
          <w:sz w:val="24"/>
          <w:szCs w:val="24"/>
          <w:highlight w:val="yellow"/>
        </w:rPr>
        <w:t xml:space="preserve"> 左右。</w:t>
      </w:r>
      <w:r>
        <w:rPr>
          <w:rFonts w:ascii="宋体" w:eastAsia="宋体" w:hAnsi="宋体" w:cs="宋体" w:hint="eastAsia"/>
          <w:sz w:val="24"/>
          <w:szCs w:val="24"/>
          <w:highlight w:val="yellow"/>
        </w:rPr>
        <w:t xml:space="preserve"> 勘察期间处于雨季，受连续降雨影响，测到地下水静止水位</w:t>
      </w:r>
      <w:r>
        <w:rPr>
          <w:rFonts w:ascii="宋体" w:eastAsia="宋体" w:hAnsi="宋体" w:cs="宋体" w:hint="eastAsia"/>
          <w:sz w:val="24"/>
          <w:szCs w:val="24"/>
          <w:highlight w:val="yellow"/>
        </w:rPr>
        <w:t xml:space="preserve"> 埋深</w:t>
      </w:r>
      <w:r>
        <w:rPr>
          <w:rFonts w:ascii="宋体" w:eastAsia="宋体" w:hAnsi="宋体" w:cs="宋体" w:hint="eastAsia"/>
          <w:sz w:val="24"/>
          <w:szCs w:val="24"/>
          <w:highlight w:val="yellow"/>
        </w:rPr>
        <w:t xml:space="preserve"> 2.38（北侧耕地位置）～4.83m（南侧拆迁位置），平均水位</w:t>
      </w:r>
      <w:r>
        <w:rPr>
          <w:rFonts w:ascii="宋体" w:eastAsia="宋体" w:hAnsi="宋体" w:cs="宋体" w:hint="eastAsia"/>
          <w:sz w:val="24"/>
          <w:szCs w:val="24"/>
          <w:highlight w:val="yellow"/>
        </w:rPr>
        <w:t xml:space="preserve"> 埋深</w:t>
      </w:r>
      <w:r>
        <w:rPr>
          <w:rFonts w:ascii="宋体" w:eastAsia="宋体" w:hAnsi="宋体" w:cs="宋体" w:hint="eastAsia"/>
          <w:sz w:val="24"/>
          <w:szCs w:val="24"/>
          <w:highlight w:val="yellow"/>
        </w:rPr>
        <w:t xml:space="preserve"> 3.04m，平均稳定水位标高</w:t>
      </w:r>
      <w:r>
        <w:rPr>
          <w:rFonts w:ascii="宋体" w:eastAsia="宋体" w:hAnsi="宋体" w:cs="宋体" w:hint="eastAsia"/>
          <w:sz w:val="24"/>
          <w:szCs w:val="24"/>
          <w:highlight w:val="yellow"/>
        </w:rPr>
        <w:t xml:space="preserve"> 30.21m。近期内年最高水位可按</w:t>
      </w:r>
      <w:r>
        <w:rPr>
          <w:rFonts w:ascii="宋体" w:eastAsia="宋体" w:hAnsi="宋体" w:cs="宋体" w:hint="eastAsia"/>
          <w:sz w:val="24"/>
          <w:szCs w:val="24"/>
          <w:highlight w:val="yellow"/>
        </w:rPr>
        <w:t xml:space="preserve"> 自然地表下埋深</w:t>
      </w:r>
      <w:r>
        <w:rPr>
          <w:rFonts w:ascii="宋体" w:eastAsia="宋体" w:hAnsi="宋体" w:cs="宋体" w:hint="eastAsia"/>
          <w:sz w:val="24"/>
          <w:szCs w:val="24"/>
          <w:highlight w:val="yellow"/>
        </w:rPr>
        <w:t xml:space="preserve"> 1.50m</w:t>
      </w:r>
      <w:r>
        <w:rPr>
          <w:rFonts w:ascii="宋体" w:eastAsia="宋体" w:hAnsi="宋体" w:cs="宋体" w:hint="eastAsia"/>
          <w:sz w:val="24"/>
          <w:szCs w:val="24"/>
          <w:highlight w:val="yellow"/>
        </w:rPr>
        <w:t xml:space="preserve"> 考虑，最高水位标高约为</w:t>
      </w:r>
      <w:r>
        <w:rPr>
          <w:rFonts w:ascii="宋体" w:eastAsia="宋体" w:hAnsi="宋体" w:cs="宋体" w:hint="eastAsia"/>
          <w:sz w:val="24"/>
          <w:szCs w:val="24"/>
          <w:highlight w:val="yellow"/>
        </w:rPr>
        <w:t xml:space="preserve"> 31.50m。</w:t>
      </w:r>
    </w:p>
    <w:p>
      <w:pPr>
        <w:pStyle w:val="BodyTextFirstIndent2"/>
        <w:pageBreakBefore w:val="0"/>
        <w:kinsoku/>
        <w:wordWrap/>
        <w:overflowPunct/>
        <w:topLinePunct w:val="0"/>
        <w:autoSpaceDE/>
        <w:autoSpaceDN/>
        <w:bidi w:val="0"/>
        <w:spacing w:line="360" w:lineRule="auto"/>
        <w:ind w:left="0" w:firstLine="480" w:leftChars="0" w:firstLineChars="200"/>
        <w:textAlignment w:val="auto"/>
        <w:rPr>
          <w:rFonts w:ascii="宋体" w:eastAsia="宋体" w:hAnsi="宋体" w:cs="宋体" w:hint="eastAsia"/>
          <w:sz w:val="24"/>
          <w:szCs w:val="24"/>
          <w:highlight w:val="yellow"/>
        </w:rPr>
      </w:pPr>
      <w:r>
        <w:rPr>
          <w:rFonts w:ascii="宋体" w:eastAsia="宋体" w:hAnsi="宋体" w:cs="宋体" w:hint="eastAsia"/>
          <w:sz w:val="24"/>
          <w:szCs w:val="24"/>
          <w:highlight w:val="yellow"/>
        </w:rPr>
        <w:t>各层土地基承载力特征值 fak（kPa）和压缩模量 Es（MPa） 建议采用下值：</w:t>
      </w:r>
    </w:p>
    <w:p>
      <w:pPr>
        <w:pageBreakBefore w:val="0"/>
        <w:kinsoku/>
        <w:wordWrap/>
        <w:overflowPunct/>
        <w:topLinePunct w:val="0"/>
        <w:autoSpaceDE/>
        <w:autoSpaceDN/>
        <w:bidi w:val="0"/>
        <w:spacing w:line="360" w:lineRule="auto"/>
        <w:ind w:left="0" w:firstLine="0" w:leftChars="0" w:firstLineChars="0"/>
        <w:jc w:val="center"/>
        <w:textAlignment w:val="auto"/>
        <w:rPr>
          <w:lang w:val="zh-CN"/>
        </w:rPr>
      </w:pPr>
      <w:r>
        <w:rPr>
          <w:rFonts w:ascii="宋体" w:eastAsia="宋体" w:hAnsi="宋体" w:cs="宋体" w:hint="eastAsia"/>
          <w:sz w:val="24"/>
          <w:szCs w:val="24"/>
          <w:highlight w:val="yellow"/>
        </w:rPr>
        <w:drawing>
          <wp:inline distT="0" distB="0" distL="114300" distR="114300">
            <wp:extent cx="5626735" cy="2411095"/>
            <wp:effectExtent l="0" t="0" r="12065" b="825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xmlns:r="http://schemas.openxmlformats.org/officeDocument/2006/relationships" r:embed="rId17"/>
                    <a:stretch>
                      <a:fillRect/>
                    </a:stretch>
                  </pic:blipFill>
                  <pic:spPr>
                    <a:xfrm>
                      <a:off x="0" y="0"/>
                      <a:ext cx="5626735" cy="2411095"/>
                    </a:xfrm>
                    <a:prstGeom prst="rect">
                      <a:avLst/>
                    </a:prstGeom>
                    <a:noFill/>
                    <a:ln>
                      <a:noFill/>
                    </a:ln>
                  </pic:spPr>
                </pic:pic>
              </a:graphicData>
            </a:graphic>
          </wp:inline>
        </w:drawing>
      </w:r>
    </w:p>
    <w:p>
      <w:pPr>
        <w:pageBreakBefore w:val="0"/>
        <w:kinsoku/>
        <w:wordWrap/>
        <w:overflowPunct/>
        <w:topLinePunct w:val="0"/>
        <w:autoSpaceDE/>
        <w:autoSpaceDN/>
        <w:bidi w:val="0"/>
        <w:spacing w:line="360" w:lineRule="auto"/>
        <w:textAlignment w:val="auto"/>
        <w:rPr>
          <w:rFonts w:eastAsiaTheme="minorEastAsia"/>
        </w:rPr>
      </w:pPr>
    </w:p>
    <w:p>
      <w:pPr>
        <w:pStyle w:val="BodyTextFirstIndent2"/>
        <w:rPr>
          <w:rFonts w:eastAsiaTheme="minorEastAsia"/>
        </w:rPr>
      </w:pPr>
    </w:p>
    <w:p>
      <w:pPr>
        <w:rPr>
          <w:rFonts w:eastAsiaTheme="minorEastAsia"/>
        </w:rPr>
      </w:pPr>
    </w:p>
    <w:p>
      <w:pPr>
        <w:pStyle w:val="BodyTextFirstIndent2"/>
      </w:pPr>
    </w:p>
    <w:p>
      <w:pPr>
        <w:pStyle w:val="cscec81"/>
        <w:numPr>
          <w:ilvl w:val="0"/>
          <w:numId w:val="0"/>
        </w:numPr>
        <w:bidi w:val="0"/>
        <w:ind w:left="0" w:firstLine="0" w:leftChars="0" w:firstLineChars="0"/>
        <w:rPr>
          <w:sz w:val="32"/>
          <w:szCs w:val="32"/>
        </w:rPr>
      </w:pPr>
      <w:bookmarkStart w:id="48" w:name="_Toc30817"/>
      <w:r>
        <w:rPr>
          <w:rFonts w:ascii="黑体" w:eastAsia="黑体" w:hAnsi="黑体" w:cs="黑体" w:hint="eastAsia"/>
          <w:b w:val="0"/>
          <w:i w:val="0"/>
          <w:caps w:val="0"/>
          <w:strike w:val="0"/>
          <w:dstrike w:val="0"/>
          <w:vanish w:val="0"/>
          <w:color w:val="auto"/>
          <w:kern w:val="2"/>
          <w:sz w:val="32"/>
          <w:szCs w:val="32"/>
          <w:u w:val="none"/>
          <w:vertAlign w:val="baseline"/>
          <w:lang w:val="en-US" w:eastAsia="zh-CN" w:bidi="ar-SA"/>
        </w:rPr>
        <w:t xml:space="preserve">第二章  </w:t>
      </w:r>
      <w:r>
        <w:rPr>
          <w:rFonts w:hint="eastAsia"/>
          <w:sz w:val="32"/>
          <w:szCs w:val="32"/>
          <w:lang w:val="en-US" w:eastAsia="zh-CN"/>
        </w:rPr>
        <w:t>编制依据</w:t>
      </w:r>
      <w:bookmarkEnd w:id="48"/>
    </w:p>
    <w:p>
      <w:pPr>
        <w:pStyle w:val="cscec82"/>
        <w:numPr>
          <w:ilvl w:val="1"/>
          <w:numId w:val="0"/>
        </w:numPr>
        <w:bidi w:val="0"/>
        <w:ind w:left="0" w:firstLine="0" w:leftChars="0" w:firstLineChars="0"/>
        <w:rPr>
          <w:sz w:val="28"/>
          <w:szCs w:val="28"/>
        </w:rPr>
      </w:pPr>
      <w:bookmarkStart w:id="49" w:name="_Toc19263"/>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2.1  </w:t>
      </w:r>
      <w:r>
        <w:rPr>
          <w:rFonts w:hint="eastAsia"/>
          <w:sz w:val="28"/>
          <w:szCs w:val="28"/>
        </w:rPr>
        <w:t xml:space="preserve"> 编制依据</w:t>
      </w:r>
    </w:p>
    <w:tbl>
      <w:tblPr>
        <w:tblStyle w:val="TableNormal"/>
        <w:tblW w:w="9080" w:type="dxa"/>
        <w:tblCellSpacing w:w="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992"/>
        <w:gridCol w:w="1008"/>
        <w:gridCol w:w="4810"/>
        <w:gridCol w:w="2270"/>
      </w:tblGrid>
      <w:tr>
        <w:tblPrEx>
          <w:tblW w:w="9080" w:type="dxa"/>
          <w:tblCellSpacing w:w="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39"/>
          <w:tblCellSpacing w:w="0" w:type="dxa"/>
        </w:trPr>
        <w:tc>
          <w:tcPr>
            <w:tcW w:w="992"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bookmarkEnd w:id="49"/>
            <w:r>
              <w:rPr>
                <w:rFonts w:asciiTheme="minorEastAsia" w:eastAsiaTheme="minorEastAsia" w:hAnsiTheme="minorEastAsia" w:cstheme="minorEastAsia" w:hint="eastAsia"/>
                <w:color w:val="000000"/>
                <w:sz w:val="21"/>
                <w:szCs w:val="21"/>
                <w:lang w:bidi="ar-SA"/>
              </w:rPr>
              <w:t>设备</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序号</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名称</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版本号</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tcBorders>
              <w:top w:val="single" w:sz="6" w:space="0" w:color="000000"/>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塔</w:t>
            </w: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val="en-US" w:eastAsia="zh-CN" w:bidi="ar-SA"/>
              </w:rPr>
              <w:t>QTZ160(H6515)</w:t>
            </w:r>
            <w:r>
              <w:rPr>
                <w:rFonts w:asciiTheme="minorEastAsia" w:eastAsiaTheme="minorEastAsia" w:hAnsiTheme="minorEastAsia" w:cstheme="minorEastAsia" w:hint="eastAsia"/>
                <w:color w:val="000000"/>
                <w:sz w:val="21"/>
                <w:szCs w:val="21"/>
                <w:lang w:bidi="ar-SA"/>
              </w:rPr>
              <w:t>型塔式起重机使用说明书</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default"/>
                <w:color w:val="000000"/>
                <w:sz w:val="21"/>
                <w:szCs w:val="21"/>
                <w:lang w:val="en-US" w:eastAsia="zh-CN" w:bidi="ar-SA"/>
              </w:rPr>
            </w:pPr>
            <w:r>
              <w:rPr>
                <w:rFonts w:asciiTheme="minorEastAsia" w:eastAsiaTheme="minorEastAsia" w:hAnsiTheme="minorEastAsia" w:cstheme="minorEastAsia" w:hint="eastAsia"/>
                <w:color w:val="000000"/>
                <w:sz w:val="21"/>
                <w:szCs w:val="21"/>
                <w:lang w:val="en-US" w:eastAsia="zh-CN" w:bidi="ar-SA"/>
              </w:rPr>
              <w:t>科技</w:t>
            </w:r>
          </w:p>
        </w:tc>
      </w:tr>
    </w:tbl>
    <w:p>
      <w:pPr>
        <w:sectPr>
          <w:footerReference w:type="default" r:id="rId18"/>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8"/>
          <w:cols w:num="1" w:space="1680"/>
          <w:titlePg w:val="0"/>
          <w:docGrid w:linePitch="326" w:charSpace="59452"/>
        </w:sectPr>
      </w:pPr>
    </w:p>
    <w:tbl>
      <w:tblPr>
        <w:tblStyle w:val="TableNormal"/>
        <w:tblW w:w="9080" w:type="dxa"/>
        <w:tblCellSpacing w:w="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992"/>
        <w:gridCol w:w="1008"/>
        <w:gridCol w:w="4810"/>
        <w:gridCol w:w="2270"/>
      </w:tblGrid>
      <w:tr>
        <w:tblPrEx>
          <w:tblW w:w="9080" w:type="dxa"/>
          <w:tblCellSpacing w:w="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39"/>
          <w:tblCellSpacing w:w="0" w:type="dxa"/>
        </w:trPr>
        <w:tc>
          <w:tcPr>
            <w:tcW w:w="992" w:type="dxa"/>
            <w:vMerge w:val="restart"/>
            <w:tcBorders>
              <w:top w:val="single" w:sz="6" w:space="0" w:color="000000"/>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式</w:t>
            </w:r>
          </w:p>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起</w:t>
            </w:r>
          </w:p>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重</w:t>
            </w:r>
          </w:p>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机</w:t>
            </w:r>
          </w:p>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2</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艾山街道城子坡片区城市更新项目产业研发中心项目（二期）施工蓝图及施工组织设计</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 </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3</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《塔式起重机安全规程》</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（GB5144-2006）</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4</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《塔式起重机设计规范》</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（GB/T13752-2017）</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5</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《起重机设计规范》</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（GB/T 3811-2008）</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6</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《塔式起重机》</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（GB/T5031-2019）</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7</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《塔式起重机混凝土基础工程技术标准》</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（JGJ/T 187-2019）</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8</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《起重机械安全规程 第1部分：总则》</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 6067.1-2010）</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9</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《起重机 钢丝绳 保养、维护、检验和报废》</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（GB/T 5972-20</w:t>
            </w:r>
            <w:r>
              <w:rPr>
                <w:rFonts w:asciiTheme="minorEastAsia" w:eastAsiaTheme="minorEastAsia" w:hAnsiTheme="minorEastAsia" w:cstheme="minorEastAsia" w:hint="eastAsia"/>
                <w:color w:val="000000"/>
                <w:sz w:val="21"/>
                <w:szCs w:val="21"/>
                <w:lang w:val="en-US" w:eastAsia="zh-CN" w:bidi="ar-SA"/>
              </w:rPr>
              <w:t>23</w:t>
            </w:r>
            <w:r>
              <w:rPr>
                <w:rFonts w:asciiTheme="minorEastAsia" w:eastAsiaTheme="minorEastAsia" w:hAnsiTheme="minorEastAsia" w:cstheme="minorEastAsia" w:hint="eastAsia"/>
                <w:color w:val="000000"/>
                <w:sz w:val="21"/>
                <w:szCs w:val="21"/>
                <w:lang w:bidi="ar-SA"/>
              </w:rPr>
              <w:t>）</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10</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《钢结构设计标准》</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 50017-2017）</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11</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《塔式起重机附着安全技术规程》</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（T/ASC 09-2020）</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12</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《混凝土结构设计规范》</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 50010-2010）</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13</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《建设工程施工现场供用电安全规范》</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（GB 50194-2014）</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14</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《建筑机械使用安全技术规程》</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（JGJ33-2012）</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15</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《施工现场机械设备检查技术规范》</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JGJ160-2016</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16</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《施工现场临时用电安全技术规范》</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（JGJ46-2005）</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17</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《建筑施工安全检查标准》</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（JGJ59-2011）</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18</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《建筑施工高处作业安全技术规范》</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（JGJ80-2016）</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19</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《建筑施工塔式起重机安装、使用、拆卸安全技术规程》</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（JGJ196-2010）</w:t>
            </w:r>
          </w:p>
        </w:tc>
      </w:tr>
    </w:tbl>
    <w:p>
      <w:pPr>
        <w:sectPr>
          <w:footerReference w:type="default" r:id="rId19"/>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9"/>
          <w:cols w:num="1" w:space="1680"/>
          <w:titlePg w:val="0"/>
          <w:docGrid w:linePitch="326" w:charSpace="59452"/>
        </w:sectPr>
      </w:pPr>
    </w:p>
    <w:tbl>
      <w:tblPr>
        <w:tblStyle w:val="TableNormal"/>
        <w:tblW w:w="9080" w:type="dxa"/>
        <w:tblCellSpacing w:w="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
      <w:tblGrid>
        <w:gridCol w:w="992"/>
        <w:gridCol w:w="1008"/>
        <w:gridCol w:w="4810"/>
        <w:gridCol w:w="2270"/>
      </w:tblGrid>
      <w:tr>
        <w:tblPrEx>
          <w:tblW w:w="9080" w:type="dxa"/>
          <w:tblCellSpacing w:w="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0" w:type="dxa"/>
            <w:bottom w:w="0" w:type="dxa"/>
            <w:right w:w="0" w:type="dxa"/>
          </w:tblCellMar>
        </w:tblPrEx>
        <w:trPr>
          <w:trHeight w:val="639"/>
          <w:tblCellSpacing w:w="0" w:type="dxa"/>
        </w:trPr>
        <w:tc>
          <w:tcPr>
            <w:tcW w:w="992" w:type="dxa"/>
            <w:vMerge w:val="restart"/>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20</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《高空作业机械安全规则》</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（JGJ5099-1998）</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21</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《危险性较大的分部分项工程安全管理规定》</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建设部令【2018】37号</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22</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住房城乡建设部办公厅关于实施《危险性较大的分部分项工程安全管理规定》有关问题的通知</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建办质〔2018〕31 号</w:t>
            </w:r>
          </w:p>
        </w:tc>
      </w:tr>
      <w:tr>
        <w:tblPrEx>
          <w:tblW w:w="9080" w:type="dxa"/>
          <w:tblCellSpacing w:w="0" w:type="dxa"/>
          <w:tblInd w:w="15" w:type="dxa"/>
          <w:shd w:val="clear" w:color="auto" w:fill="auto"/>
          <w:tblLayout w:type="fixed"/>
          <w:tblCellMar>
            <w:top w:w="0" w:type="dxa"/>
            <w:left w:w="0" w:type="dxa"/>
            <w:bottom w:w="0" w:type="dxa"/>
            <w:right w:w="0" w:type="dxa"/>
          </w:tblCellMar>
        </w:tblPrEx>
        <w:trPr>
          <w:trHeight w:val="639"/>
          <w:tblCellSpacing w:w="0" w:type="dxa"/>
        </w:trPr>
        <w:tc>
          <w:tcPr>
            <w:tcW w:w="992" w:type="dxa"/>
            <w:vMerge/>
            <w:tcBorders>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Mar>
              <w:top w:w="20" w:type="dxa"/>
              <w:left w:w="20" w:type="dxa"/>
              <w:bottom w:w="72" w:type="dxa"/>
              <w:right w:w="20"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23</w:t>
            </w:r>
          </w:p>
        </w:tc>
        <w:tc>
          <w:tcPr>
            <w:tcW w:w="481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建筑起重机械安全监督管理规定</w:t>
            </w:r>
          </w:p>
        </w:tc>
        <w:tc>
          <w:tcPr>
            <w:tcW w:w="2270"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pPr>
              <w:pStyle w:val="NormalWeb"/>
              <w:keepNext w:val="0"/>
              <w:keepLines w:val="0"/>
              <w:widowControl/>
              <w:suppressLineNumbers w:val="0"/>
              <w:adjustRightInd/>
              <w:snapToGrid/>
              <w:spacing w:before="100" w:after="100" w:line="240" w:lineRule="auto"/>
              <w:ind w:left="0" w:right="0" w:firstLine="0" w:firstLineChars="0"/>
              <w:jc w:val="center"/>
              <w:rPr>
                <w:rFonts w:asciiTheme="minorEastAsia" w:eastAsiaTheme="minorEastAsia" w:hAnsiTheme="minorEastAsia" w:cstheme="minorEastAsia" w:hint="eastAsia"/>
                <w:color w:val="000000"/>
                <w:sz w:val="21"/>
                <w:szCs w:val="21"/>
                <w:lang w:bidi="ar-SA"/>
              </w:rPr>
            </w:pPr>
            <w:r>
              <w:rPr>
                <w:rFonts w:asciiTheme="minorEastAsia" w:eastAsiaTheme="minorEastAsia" w:hAnsiTheme="minorEastAsia" w:cstheme="minorEastAsia" w:hint="eastAsia"/>
                <w:color w:val="000000"/>
                <w:sz w:val="21"/>
                <w:szCs w:val="21"/>
                <w:lang w:bidi="ar-SA"/>
              </w:rPr>
              <w:t>建设部令166号</w:t>
            </w:r>
          </w:p>
        </w:tc>
      </w:tr>
    </w:tbl>
    <w:p>
      <w:pPr>
        <w:ind w:firstLine="480"/>
        <w:rPr>
          <w:rFonts w:cs="宋体" w:hint="eastAsia"/>
        </w:rPr>
      </w:pPr>
    </w:p>
    <w:p>
      <w:pPr>
        <w:pStyle w:val="cscec82"/>
        <w:numPr>
          <w:ilvl w:val="1"/>
          <w:numId w:val="0"/>
        </w:numPr>
        <w:bidi w:val="0"/>
        <w:ind w:left="0" w:firstLine="0" w:leftChars="0" w:firstLineChars="0"/>
        <w:rPr>
          <w:sz w:val="28"/>
          <w:szCs w:val="28"/>
        </w:rPr>
      </w:pPr>
      <w:bookmarkStart w:id="50" w:name="_Toc10839"/>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2.2  </w:t>
      </w:r>
      <w:r>
        <w:rPr>
          <w:rFonts w:hint="eastAsia"/>
          <w:sz w:val="28"/>
          <w:szCs w:val="28"/>
        </w:rPr>
        <w:t>适用范围</w:t>
      </w:r>
      <w:bookmarkEnd w:id="50"/>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pPr>
      <w:r>
        <w:rPr>
          <w:rFonts w:ascii="宋体" w:eastAsia="宋体" w:hAnsi="宋体" w:cs="宋体" w:hint="eastAsia"/>
          <w:color w:val="auto"/>
          <w:sz w:val="24"/>
          <w:szCs w:val="24"/>
        </w:rPr>
        <w:t>本专项施工方案仅适用于艾山街道城子坡片区城市更新项目产业研发中心项目（二期）工程建机</w:t>
      </w:r>
      <w:r>
        <w:rPr>
          <w:rFonts w:ascii="宋体" w:eastAsia="宋体" w:hAnsi="宋体" w:cs="宋体" w:hint="eastAsia"/>
          <w:color w:val="auto"/>
          <w:sz w:val="24"/>
          <w:szCs w:val="24"/>
          <w:lang w:val="en-US" w:eastAsia="zh-CN"/>
        </w:rPr>
        <w:t>高层办公1#、高层办公4</w:t>
      </w:r>
      <w:r>
        <w:rPr>
          <w:rFonts w:ascii="宋体" w:eastAsia="宋体" w:hAnsi="宋体" w:cs="宋体" w:hint="eastAsia"/>
          <w:color w:val="auto"/>
          <w:sz w:val="24"/>
          <w:szCs w:val="24"/>
        </w:rPr>
        <w:t>#楼塔式起重机拆卸作业。</w:t>
      </w:r>
    </w:p>
    <w:p>
      <w:pPr>
        <w:pStyle w:val="cscec81"/>
        <w:numPr>
          <w:ilvl w:val="0"/>
          <w:numId w:val="0"/>
        </w:numPr>
        <w:bidi w:val="0"/>
        <w:ind w:left="0" w:firstLine="0" w:leftChars="0" w:firstLineChars="0"/>
      </w:pPr>
      <w:bookmarkStart w:id="51" w:name="_Toc1896"/>
      <w:r>
        <w:rPr>
          <w:rFonts w:ascii="黑体" w:eastAsia="黑体" w:hAnsi="黑体" w:cs="黑体" w:hint="eastAsia"/>
          <w:b w:val="0"/>
          <w:i w:val="0"/>
          <w:caps w:val="0"/>
          <w:strike w:val="0"/>
          <w:dstrike w:val="0"/>
          <w:vanish w:val="0"/>
          <w:color w:val="auto"/>
          <w:kern w:val="2"/>
          <w:sz w:val="32"/>
          <w:szCs w:val="32"/>
          <w:u w:val="none"/>
          <w:vertAlign w:val="baseline"/>
          <w:lang w:val="en-US" w:eastAsia="zh-CN" w:bidi="ar-SA"/>
        </w:rPr>
        <w:t xml:space="preserve">第三章  </w:t>
      </w:r>
      <w:r>
        <w:rPr>
          <w:rFonts w:hint="eastAsia"/>
          <w:sz w:val="32"/>
          <w:szCs w:val="32"/>
          <w:lang w:val="en-US" w:eastAsia="zh-CN"/>
        </w:rPr>
        <w:t>施工计划</w:t>
      </w:r>
      <w:bookmarkEnd w:id="51"/>
    </w:p>
    <w:p>
      <w:pPr>
        <w:pStyle w:val="cscec82"/>
        <w:numPr>
          <w:ilvl w:val="1"/>
          <w:numId w:val="0"/>
        </w:numPr>
        <w:bidi w:val="0"/>
        <w:ind w:left="0" w:firstLine="0" w:leftChars="0" w:firstLineChars="0"/>
        <w:rPr>
          <w:rFonts w:hint="eastAsia"/>
        </w:rPr>
      </w:pPr>
      <w:bookmarkStart w:id="52" w:name="_Toc55466972"/>
      <w:bookmarkStart w:id="53" w:name="_Toc15571"/>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3.1  </w:t>
      </w:r>
      <w:r>
        <w:rPr>
          <w:rFonts w:hint="eastAsia"/>
        </w:rPr>
        <w:t>工期</w:t>
      </w:r>
      <w:bookmarkEnd w:id="52"/>
      <w:r>
        <w:rPr>
          <w:rFonts w:hint="eastAsia"/>
          <w:lang w:val="en-US" w:eastAsia="zh-CN"/>
        </w:rPr>
        <w:t>计划</w:t>
      </w:r>
      <w:bookmarkEnd w:id="53"/>
    </w:p>
    <w:p>
      <w:pPr>
        <w:spacing w:line="360" w:lineRule="auto"/>
        <w:ind w:firstLine="480" w:firstLineChars="200"/>
        <w:rPr>
          <w:u w:val="none"/>
        </w:rPr>
      </w:pPr>
      <w:r>
        <w:rPr>
          <w:rFonts w:ascii="宋体" w:hAnsi="宋体" w:cs="宋体" w:hint="eastAsia"/>
          <w:sz w:val="24"/>
        </w:rPr>
        <w:t>塔吊计划在</w:t>
      </w:r>
      <w:r>
        <w:rPr>
          <w:rFonts w:ascii="宋体" w:hAnsi="宋体" w:cs="宋体" w:hint="eastAsia"/>
          <w:sz w:val="24"/>
          <w:highlight w:val="yellow"/>
          <w:u w:val="none"/>
        </w:rPr>
        <w:t>202</w:t>
      </w:r>
      <w:r>
        <w:rPr>
          <w:rFonts w:ascii="宋体" w:hAnsi="宋体" w:cs="宋体" w:hint="eastAsia"/>
          <w:sz w:val="24"/>
          <w:highlight w:val="yellow"/>
          <w:u w:val="none"/>
          <w:lang w:val="en-US" w:eastAsia="zh-CN"/>
        </w:rPr>
        <w:t>4</w:t>
      </w:r>
      <w:r>
        <w:rPr>
          <w:rFonts w:ascii="宋体" w:hAnsi="宋体" w:cs="宋体" w:hint="eastAsia"/>
          <w:sz w:val="24"/>
          <w:highlight w:val="yellow"/>
          <w:u w:val="none"/>
        </w:rPr>
        <w:t>年</w:t>
      </w:r>
      <w:r>
        <w:rPr>
          <w:rFonts w:ascii="宋体" w:hAnsi="宋体" w:cs="宋体" w:hint="eastAsia"/>
          <w:sz w:val="24"/>
          <w:highlight w:val="yellow"/>
          <w:u w:val="none"/>
          <w:lang w:val="en-US" w:eastAsia="zh-CN"/>
        </w:rPr>
        <w:t xml:space="preserve">  </w:t>
      </w:r>
      <w:r>
        <w:rPr>
          <w:rFonts w:ascii="宋体" w:hAnsi="宋体" w:cs="宋体" w:hint="eastAsia"/>
          <w:sz w:val="24"/>
          <w:highlight w:val="yellow"/>
          <w:u w:val="none"/>
        </w:rPr>
        <w:t>月</w:t>
      </w:r>
      <w:r>
        <w:rPr>
          <w:rFonts w:ascii="宋体" w:hAnsi="宋体" w:cs="宋体" w:hint="eastAsia"/>
          <w:sz w:val="24"/>
          <w:u w:val="none"/>
        </w:rPr>
        <w:t>进行拆卸，在保证安全、质量和环保的前提下，本次拆卸应在2天内完成。</w:t>
      </w:r>
    </w:p>
    <w:tbl>
      <w:tblPr>
        <w:tblStyle w:val="TableNormal"/>
        <w:tblW w:w="10078" w:type="dxa"/>
        <w:jc w:val="center"/>
        <w:tblBorders>
          <w:top w:val="none" w:sz="0" w:space="0" w:color="auto"/>
          <w:left w:val="none" w:sz="0" w:space="0" w:color="auto"/>
          <w:bottom w:val="none" w:sz="0" w:space="0" w:color="auto"/>
          <w:right w:val="none" w:sz="0" w:space="0" w:color="auto"/>
          <w:insideH w:val="thinThickSmallGap" w:sz="18" w:space="0" w:color="000000"/>
          <w:insideV w:val="thinThickSmallGap" w:sz="18" w:space="0" w:color="000000"/>
        </w:tblBorders>
        <w:tblLayout w:type="fixed"/>
        <w:tblCellMar>
          <w:top w:w="0" w:type="dxa"/>
          <w:left w:w="108" w:type="dxa"/>
          <w:bottom w:w="0" w:type="dxa"/>
          <w:right w:w="108" w:type="dxa"/>
        </w:tblCellMar>
      </w:tblPr>
      <w:tblGrid>
        <w:gridCol w:w="846"/>
        <w:gridCol w:w="2138"/>
        <w:gridCol w:w="914"/>
        <w:gridCol w:w="874"/>
        <w:gridCol w:w="5306"/>
      </w:tblGrid>
      <w:tr>
        <w:tblPrEx>
          <w:tblW w:w="10078" w:type="dxa"/>
          <w:jc w:val="center"/>
          <w:tblBorders>
            <w:top w:val="none" w:sz="0" w:space="0" w:color="auto"/>
            <w:left w:val="none" w:sz="0" w:space="0" w:color="auto"/>
            <w:bottom w:val="none" w:sz="0" w:space="0" w:color="auto"/>
            <w:right w:val="none" w:sz="0" w:space="0" w:color="auto"/>
            <w:insideH w:val="thinThickSmallGap" w:sz="18" w:space="0" w:color="000000"/>
            <w:insideV w:val="thinThickSmallGap" w:sz="18" w:space="0" w:color="000000"/>
          </w:tblBorders>
          <w:tblLayout w:type="fixed"/>
          <w:tblCellMar>
            <w:top w:w="0" w:type="dxa"/>
            <w:left w:w="108" w:type="dxa"/>
            <w:bottom w:w="0" w:type="dxa"/>
            <w:right w:w="108" w:type="dxa"/>
          </w:tblCellMar>
        </w:tblPrEx>
        <w:trPr>
          <w:trHeight w:val="1031"/>
          <w:jc w:val="center"/>
        </w:trPr>
        <w:tc>
          <w:tcPr>
            <w:tcW w:w="846" w:type="dxa"/>
            <w:tcBorders>
              <w:top w:val="thinThickSmallGap" w:sz="18" w:space="0" w:color="000000"/>
              <w:left w:val="thinThickSmallGap" w:sz="18" w:space="0" w:color="000000"/>
              <w:bottom w:val="single" w:sz="4" w:space="0" w:color="000000"/>
              <w:right w:val="single" w:sz="4" w:space="0" w:color="000000"/>
            </w:tcBorders>
            <w:vAlign w:val="center"/>
          </w:tcPr>
          <w:p>
            <w:pPr>
              <w:spacing w:line="360" w:lineRule="auto"/>
              <w:ind w:left="0" w:firstLine="0" w:leftChars="0" w:firstLineChars="0"/>
              <w:jc w:val="center"/>
              <w:rPr>
                <w:rFonts w:cs="宋体"/>
              </w:rPr>
            </w:pPr>
            <w:r>
              <w:rPr>
                <w:rFonts w:ascii="宋体" w:hAnsi="宋体" w:cs="宋体" w:hint="eastAsia"/>
                <w:szCs w:val="21"/>
              </w:rPr>
              <w:t>日期</w:t>
            </w:r>
          </w:p>
        </w:tc>
        <w:tc>
          <w:tcPr>
            <w:tcW w:w="2138" w:type="dxa"/>
            <w:tcBorders>
              <w:top w:val="thinThickSmallGap" w:sz="18"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拆除步骤</w:t>
            </w:r>
          </w:p>
        </w:tc>
        <w:tc>
          <w:tcPr>
            <w:tcW w:w="914" w:type="dxa"/>
            <w:tcBorders>
              <w:top w:val="thinThickSmallGap" w:sz="18"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计划开始时间</w:t>
            </w:r>
          </w:p>
        </w:tc>
        <w:tc>
          <w:tcPr>
            <w:tcW w:w="874" w:type="dxa"/>
            <w:tcBorders>
              <w:top w:val="thinThickSmallGap" w:sz="18"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计划结束时间</w:t>
            </w:r>
          </w:p>
        </w:tc>
        <w:tc>
          <w:tcPr>
            <w:tcW w:w="5306" w:type="dxa"/>
            <w:tcBorders>
              <w:top w:val="thinThickSmallGap" w:sz="18" w:space="0" w:color="000000"/>
              <w:left w:val="single" w:sz="4" w:space="0" w:color="000000"/>
              <w:bottom w:val="single" w:sz="4" w:space="0" w:color="000000"/>
              <w:right w:val="thinThickSmallGap" w:sz="18"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备注</w:t>
            </w:r>
          </w:p>
        </w:tc>
      </w:tr>
      <w:tr>
        <w:tblPrEx>
          <w:tblW w:w="10078" w:type="dxa"/>
          <w:jc w:val="center"/>
          <w:tblLayout w:type="fixed"/>
          <w:tblCellMar>
            <w:top w:w="0" w:type="dxa"/>
            <w:left w:w="108" w:type="dxa"/>
            <w:bottom w:w="0" w:type="dxa"/>
            <w:right w:w="108" w:type="dxa"/>
          </w:tblCellMar>
        </w:tblPrEx>
        <w:trPr>
          <w:trHeight w:val="1770"/>
          <w:jc w:val="center"/>
        </w:trPr>
        <w:tc>
          <w:tcPr>
            <w:tcW w:w="846" w:type="dxa"/>
            <w:tcBorders>
              <w:top w:val="single" w:sz="4" w:space="0" w:color="000000"/>
              <w:left w:val="thinThickSmallGap" w:sz="18" w:space="0" w:color="000000"/>
              <w:bottom w:val="single" w:sz="4" w:space="0" w:color="000000"/>
              <w:right w:val="single" w:sz="4" w:space="0" w:color="000000"/>
            </w:tcBorders>
            <w:vAlign w:val="center"/>
          </w:tcPr>
          <w:p>
            <w:pPr>
              <w:spacing w:line="360" w:lineRule="auto"/>
              <w:jc w:val="center"/>
              <w:rPr>
                <w:rFonts w:cs="宋体"/>
              </w:rPr>
            </w:pPr>
          </w:p>
        </w:tc>
        <w:tc>
          <w:tcPr>
            <w:tcW w:w="2138" w:type="dxa"/>
            <w:tcBorders>
              <w:top w:val="single" w:sz="4"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支好吊车</w:t>
            </w:r>
          </w:p>
          <w:p>
            <w:pPr>
              <w:spacing w:line="360" w:lineRule="auto"/>
              <w:ind w:left="0" w:firstLine="0" w:leftChars="0" w:firstLineChars="0"/>
              <w:jc w:val="center"/>
              <w:rPr>
                <w:rFonts w:cs="宋体" w:hint="eastAsia"/>
              </w:rPr>
            </w:pPr>
            <w:r>
              <w:rPr>
                <w:rFonts w:ascii="宋体" w:eastAsia="宋体" w:hAnsi="宋体" w:cs="宋体" w:hint="eastAsia"/>
                <w:szCs w:val="21"/>
              </w:rPr>
              <w:t>拆除吊钩</w:t>
            </w:r>
          </w:p>
          <w:p>
            <w:pPr>
              <w:spacing w:line="360" w:lineRule="auto"/>
              <w:ind w:left="0" w:firstLine="0" w:leftChars="0" w:firstLineChars="0"/>
              <w:jc w:val="center"/>
              <w:rPr>
                <w:rFonts w:cs="宋体" w:hint="eastAsia"/>
              </w:rPr>
            </w:pPr>
            <w:r>
              <w:rPr>
                <w:rFonts w:ascii="宋体" w:eastAsia="宋体" w:hAnsi="宋体" w:cs="宋体" w:hint="eastAsia"/>
                <w:szCs w:val="21"/>
              </w:rPr>
              <w:t>拆除部分配重</w:t>
            </w:r>
          </w:p>
          <w:p>
            <w:pPr>
              <w:spacing w:line="360" w:lineRule="auto"/>
              <w:ind w:left="0" w:firstLine="0" w:leftChars="0" w:firstLineChars="0"/>
              <w:jc w:val="center"/>
              <w:rPr>
                <w:rFonts w:cs="宋体" w:hint="eastAsia"/>
              </w:rPr>
            </w:pPr>
            <w:r>
              <w:rPr>
                <w:rFonts w:ascii="宋体" w:eastAsia="宋体" w:hAnsi="宋体" w:cs="宋体" w:hint="eastAsia"/>
                <w:szCs w:val="21"/>
              </w:rPr>
              <w:t>拆除起重臂</w:t>
            </w:r>
          </w:p>
        </w:tc>
        <w:tc>
          <w:tcPr>
            <w:tcW w:w="914" w:type="dxa"/>
            <w:tcBorders>
              <w:top w:val="single" w:sz="4"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p>
        </w:tc>
        <w:tc>
          <w:tcPr>
            <w:tcW w:w="874" w:type="dxa"/>
            <w:tcBorders>
              <w:top w:val="single" w:sz="4"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p>
        </w:tc>
        <w:tc>
          <w:tcPr>
            <w:tcW w:w="5306" w:type="dxa"/>
            <w:tcBorders>
              <w:top w:val="single" w:sz="4" w:space="0" w:color="000000"/>
              <w:left w:val="single" w:sz="4" w:space="0" w:color="000000"/>
              <w:bottom w:val="single" w:sz="4" w:space="0" w:color="000000"/>
              <w:right w:val="thinThickSmallGap" w:sz="18"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做好拆塔安全交底</w:t>
            </w:r>
          </w:p>
          <w:p>
            <w:pPr>
              <w:spacing w:line="360" w:lineRule="auto"/>
              <w:ind w:left="0" w:firstLine="0" w:leftChars="0" w:firstLineChars="0"/>
              <w:jc w:val="center"/>
              <w:rPr>
                <w:rFonts w:cs="宋体" w:hint="eastAsia"/>
              </w:rPr>
            </w:pPr>
            <w:r>
              <w:rPr>
                <w:rFonts w:ascii="宋体" w:eastAsia="宋体" w:hAnsi="宋体" w:cs="宋体" w:hint="eastAsia"/>
                <w:szCs w:val="21"/>
              </w:rPr>
              <w:t>需要施工单位按照拆卸方案作好准备工作（清理现场、清理道路、拆卸围墙、围挡，加固、加强结构），合理安排不要交叉作业。</w:t>
            </w:r>
          </w:p>
        </w:tc>
      </w:tr>
      <w:tr>
        <w:tblPrEx>
          <w:tblW w:w="10078" w:type="dxa"/>
          <w:jc w:val="center"/>
          <w:tblLayout w:type="fixed"/>
          <w:tblCellMar>
            <w:top w:w="0" w:type="dxa"/>
            <w:left w:w="108" w:type="dxa"/>
            <w:bottom w:w="0" w:type="dxa"/>
            <w:right w:w="108" w:type="dxa"/>
          </w:tblCellMar>
        </w:tblPrEx>
        <w:trPr>
          <w:trHeight w:val="2235"/>
          <w:jc w:val="center"/>
        </w:trPr>
        <w:tc>
          <w:tcPr>
            <w:tcW w:w="846" w:type="dxa"/>
            <w:tcBorders>
              <w:top w:val="single" w:sz="4" w:space="0" w:color="000000"/>
              <w:left w:val="thinThickSmallGap" w:sz="18" w:space="0" w:color="000000"/>
              <w:bottom w:val="single" w:sz="4" w:space="0" w:color="000000"/>
              <w:right w:val="single" w:sz="4" w:space="0" w:color="000000"/>
            </w:tcBorders>
            <w:vAlign w:val="center"/>
          </w:tcPr>
          <w:p>
            <w:pPr>
              <w:spacing w:line="360" w:lineRule="auto"/>
              <w:jc w:val="center"/>
              <w:rPr>
                <w:rFonts w:cs="宋体"/>
              </w:rPr>
            </w:pPr>
          </w:p>
        </w:tc>
        <w:tc>
          <w:tcPr>
            <w:tcW w:w="2138" w:type="dxa"/>
            <w:tcBorders>
              <w:top w:val="single" w:sz="4"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拆除平衡臂</w:t>
            </w:r>
          </w:p>
          <w:p>
            <w:pPr>
              <w:spacing w:line="360" w:lineRule="auto"/>
              <w:ind w:left="0" w:firstLine="0" w:leftChars="0" w:firstLineChars="0"/>
              <w:jc w:val="center"/>
              <w:rPr>
                <w:rFonts w:cs="宋体" w:hint="eastAsia"/>
              </w:rPr>
            </w:pPr>
            <w:r>
              <w:rPr>
                <w:rFonts w:ascii="宋体" w:eastAsia="宋体" w:hAnsi="宋体" w:cs="宋体" w:hint="eastAsia"/>
                <w:szCs w:val="21"/>
              </w:rPr>
              <w:t>拆除回转机构</w:t>
            </w:r>
          </w:p>
          <w:p>
            <w:pPr>
              <w:spacing w:line="360" w:lineRule="auto"/>
              <w:ind w:left="0" w:firstLine="0" w:leftChars="0" w:firstLineChars="0"/>
              <w:jc w:val="center"/>
              <w:rPr>
                <w:rFonts w:cs="宋体" w:hint="eastAsia"/>
              </w:rPr>
            </w:pPr>
            <w:r>
              <w:rPr>
                <w:rFonts w:ascii="宋体" w:eastAsia="宋体" w:hAnsi="宋体" w:cs="宋体" w:hint="eastAsia"/>
                <w:szCs w:val="21"/>
              </w:rPr>
              <w:t>拆除顶升机构</w:t>
            </w:r>
          </w:p>
          <w:p>
            <w:pPr>
              <w:spacing w:line="360" w:lineRule="auto"/>
              <w:ind w:left="0" w:firstLine="0" w:leftChars="0" w:firstLineChars="0"/>
              <w:jc w:val="center"/>
              <w:rPr>
                <w:rFonts w:cs="宋体" w:hint="eastAsia"/>
              </w:rPr>
            </w:pPr>
            <w:r>
              <w:rPr>
                <w:rFonts w:ascii="宋体" w:eastAsia="宋体" w:hAnsi="宋体" w:cs="宋体" w:hint="eastAsia"/>
                <w:szCs w:val="21"/>
              </w:rPr>
              <w:t>拆除塔身及锚固</w:t>
            </w:r>
          </w:p>
        </w:tc>
        <w:tc>
          <w:tcPr>
            <w:tcW w:w="914" w:type="dxa"/>
            <w:tcBorders>
              <w:top w:val="single" w:sz="4"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p>
        </w:tc>
        <w:tc>
          <w:tcPr>
            <w:tcW w:w="874" w:type="dxa"/>
            <w:tcBorders>
              <w:top w:val="single" w:sz="4" w:space="0" w:color="000000"/>
              <w:left w:val="single" w:sz="4" w:space="0" w:color="000000"/>
              <w:bottom w:val="single" w:sz="4" w:space="0" w:color="000000"/>
              <w:right w:val="single" w:sz="4" w:space="0" w:color="000000"/>
            </w:tcBorders>
            <w:vAlign w:val="center"/>
          </w:tcPr>
          <w:p>
            <w:pPr>
              <w:spacing w:line="360" w:lineRule="auto"/>
              <w:ind w:left="0" w:firstLine="0" w:leftChars="0" w:firstLineChars="0"/>
              <w:jc w:val="center"/>
              <w:rPr>
                <w:rFonts w:cs="宋体" w:hint="eastAsia"/>
              </w:rPr>
            </w:pPr>
          </w:p>
        </w:tc>
        <w:tc>
          <w:tcPr>
            <w:tcW w:w="5306" w:type="dxa"/>
            <w:tcBorders>
              <w:top w:val="single" w:sz="4" w:space="0" w:color="000000"/>
              <w:left w:val="single" w:sz="4" w:space="0" w:color="000000"/>
              <w:bottom w:val="single" w:sz="4" w:space="0" w:color="000000"/>
              <w:right w:val="thinThickSmallGap" w:sz="18"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拆塔作业完成后需整理现场</w:t>
            </w:r>
          </w:p>
          <w:p>
            <w:pPr>
              <w:spacing w:line="360" w:lineRule="auto"/>
              <w:ind w:left="0" w:firstLine="0" w:leftChars="0" w:firstLineChars="0"/>
              <w:jc w:val="center"/>
              <w:rPr>
                <w:rFonts w:cs="宋体" w:hint="eastAsia"/>
              </w:rPr>
            </w:pPr>
            <w:r>
              <w:rPr>
                <w:rFonts w:ascii="宋体" w:eastAsia="宋体" w:hAnsi="宋体" w:cs="宋体" w:hint="eastAsia"/>
                <w:szCs w:val="21"/>
              </w:rPr>
              <w:t>清点工具</w:t>
            </w:r>
          </w:p>
          <w:p>
            <w:pPr>
              <w:spacing w:line="360" w:lineRule="auto"/>
              <w:ind w:left="0" w:firstLine="0" w:leftChars="0" w:firstLineChars="0"/>
              <w:jc w:val="center"/>
              <w:rPr>
                <w:rFonts w:cs="宋体" w:hint="eastAsia"/>
              </w:rPr>
            </w:pPr>
            <w:r>
              <w:rPr>
                <w:rFonts w:ascii="宋体" w:eastAsia="宋体" w:hAnsi="宋体" w:cs="宋体" w:hint="eastAsia"/>
                <w:szCs w:val="21"/>
              </w:rPr>
              <w:t>工期安排仅适用于塔机降节后所进行的拆卸工作。</w:t>
            </w:r>
          </w:p>
        </w:tc>
      </w:tr>
      <w:tr>
        <w:tblPrEx>
          <w:tblW w:w="10078" w:type="dxa"/>
          <w:jc w:val="center"/>
          <w:tblLayout w:type="fixed"/>
          <w:tblCellMar>
            <w:top w:w="0" w:type="dxa"/>
            <w:left w:w="108" w:type="dxa"/>
            <w:bottom w:w="0" w:type="dxa"/>
            <w:right w:w="108" w:type="dxa"/>
          </w:tblCellMar>
        </w:tblPrEx>
        <w:trPr>
          <w:trHeight w:val="1082"/>
          <w:jc w:val="center"/>
        </w:trPr>
        <w:tc>
          <w:tcPr>
            <w:tcW w:w="846" w:type="dxa"/>
            <w:tcBorders>
              <w:top w:val="single" w:sz="4" w:space="0" w:color="000000"/>
              <w:left w:val="thinThickSmallGap" w:sz="18" w:space="0" w:color="000000"/>
              <w:bottom w:val="thinThickSmallGap" w:sz="18" w:space="0" w:color="000000"/>
              <w:right w:val="single" w:sz="4" w:space="0" w:color="000000"/>
            </w:tcBorders>
            <w:vAlign w:val="center"/>
          </w:tcPr>
          <w:p>
            <w:pPr>
              <w:spacing w:line="360" w:lineRule="auto"/>
              <w:jc w:val="center"/>
              <w:rPr>
                <w:rFonts w:cs="宋体"/>
              </w:rPr>
            </w:pPr>
          </w:p>
        </w:tc>
        <w:tc>
          <w:tcPr>
            <w:tcW w:w="2138" w:type="dxa"/>
            <w:tcBorders>
              <w:top w:val="single" w:sz="4" w:space="0" w:color="000000"/>
              <w:left w:val="single" w:sz="4" w:space="0" w:color="000000"/>
              <w:bottom w:val="thinThickSmallGap" w:sz="18" w:space="0" w:color="000000"/>
              <w:right w:val="single" w:sz="4"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运输车运输</w:t>
            </w:r>
          </w:p>
        </w:tc>
        <w:tc>
          <w:tcPr>
            <w:tcW w:w="914" w:type="dxa"/>
            <w:tcBorders>
              <w:top w:val="single" w:sz="4" w:space="0" w:color="000000"/>
              <w:left w:val="single" w:sz="4" w:space="0" w:color="000000"/>
              <w:bottom w:val="thinThickSmallGap" w:sz="18" w:space="0" w:color="000000"/>
              <w:right w:val="single" w:sz="4" w:space="0" w:color="000000"/>
            </w:tcBorders>
            <w:vAlign w:val="center"/>
          </w:tcPr>
          <w:p>
            <w:pPr>
              <w:spacing w:line="360" w:lineRule="auto"/>
              <w:ind w:left="0" w:firstLine="0" w:leftChars="0" w:firstLineChars="0"/>
              <w:jc w:val="center"/>
              <w:rPr>
                <w:rFonts w:cs="宋体" w:hint="eastAsia"/>
              </w:rPr>
            </w:pPr>
          </w:p>
        </w:tc>
        <w:tc>
          <w:tcPr>
            <w:tcW w:w="874" w:type="dxa"/>
            <w:tcBorders>
              <w:top w:val="single" w:sz="4" w:space="0" w:color="000000"/>
              <w:left w:val="single" w:sz="4" w:space="0" w:color="000000"/>
              <w:bottom w:val="thinThickSmallGap" w:sz="18" w:space="0" w:color="000000"/>
              <w:right w:val="single" w:sz="4" w:space="0" w:color="000000"/>
            </w:tcBorders>
            <w:vAlign w:val="center"/>
          </w:tcPr>
          <w:p>
            <w:pPr>
              <w:spacing w:line="360" w:lineRule="auto"/>
              <w:ind w:left="0" w:firstLine="0" w:leftChars="0" w:firstLineChars="0"/>
              <w:jc w:val="center"/>
              <w:rPr>
                <w:rFonts w:cs="宋体" w:hint="eastAsia"/>
              </w:rPr>
            </w:pPr>
          </w:p>
        </w:tc>
        <w:tc>
          <w:tcPr>
            <w:tcW w:w="5306" w:type="dxa"/>
            <w:tcBorders>
              <w:top w:val="single" w:sz="4" w:space="0" w:color="000000"/>
              <w:left w:val="single" w:sz="4" w:space="0" w:color="000000"/>
              <w:bottom w:val="thinThickSmallGap" w:sz="18" w:space="0" w:color="000000"/>
              <w:right w:val="thinThickSmallGap" w:sz="18" w:space="0" w:color="000000"/>
            </w:tcBorders>
            <w:vAlign w:val="center"/>
          </w:tcPr>
          <w:p>
            <w:pPr>
              <w:spacing w:line="360" w:lineRule="auto"/>
              <w:ind w:left="0" w:firstLine="0" w:leftChars="0" w:firstLineChars="0"/>
              <w:jc w:val="center"/>
              <w:rPr>
                <w:rFonts w:cs="宋体" w:hint="eastAsia"/>
              </w:rPr>
            </w:pPr>
            <w:r>
              <w:rPr>
                <w:rFonts w:ascii="宋体" w:eastAsia="宋体" w:hAnsi="宋体" w:cs="宋体" w:hint="eastAsia"/>
                <w:szCs w:val="21"/>
              </w:rPr>
              <w:t>拆除作业完成后将现场的所有机构件用运输车运回，清理现场</w:t>
            </w:r>
          </w:p>
        </w:tc>
      </w:tr>
    </w:tbl>
    <w:p>
      <w:pPr>
        <w:sectPr>
          <w:footerReference w:type="default" r:id="rId20"/>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0"/>
          <w:cols w:num="1" w:space="1680"/>
          <w:titlePg w:val="0"/>
          <w:docGrid w:linePitch="326" w:charSpace="59452"/>
        </w:sectPr>
      </w:pPr>
    </w:p>
    <w:p>
      <w:pPr>
        <w:pStyle w:val="k0"/>
        <w:keepNext w:val="0"/>
        <w:keepLines w:val="0"/>
        <w:pageBreakBefore w:val="0"/>
        <w:kinsoku/>
        <w:wordWrap/>
        <w:topLinePunct w:val="0"/>
        <w:autoSpaceDE/>
        <w:autoSpaceDN/>
        <w:bidi w:val="0"/>
        <w:adjustRightInd w:val="0"/>
        <w:snapToGrid w:val="0"/>
        <w:spacing w:before="81" w:line="360" w:lineRule="auto"/>
        <w:ind w:firstLine="480"/>
        <w:textAlignment w:val="auto"/>
        <w:rPr>
          <w:rFonts w:ascii="宋体" w:eastAsia="宋体" w:hAnsi="宋体" w:cs="宋体" w:hint="default"/>
          <w:color w:val="auto"/>
          <w:sz w:val="24"/>
          <w:szCs w:val="24"/>
          <w:lang w:val="en-US" w:eastAsia="zh-CN"/>
        </w:rPr>
      </w:pPr>
      <w:r>
        <w:rPr>
          <w:rFonts w:ascii="宋体" w:eastAsia="宋体" w:hAnsi="宋体" w:cs="宋体" w:hint="eastAsia"/>
          <w:color w:val="auto"/>
          <w:sz w:val="24"/>
          <w:szCs w:val="24"/>
        </w:rPr>
        <w:t>表3.1-1  QTZ</w:t>
      </w:r>
      <w:r>
        <w:rPr>
          <w:rFonts w:ascii="宋体" w:eastAsia="宋体" w:hAnsi="宋体" w:cs="宋体" w:hint="eastAsia"/>
          <w:color w:val="auto"/>
          <w:sz w:val="24"/>
          <w:szCs w:val="24"/>
          <w:lang w:val="en-US" w:eastAsia="zh-CN"/>
        </w:rPr>
        <w:t>160塔机施工计划表</w:t>
      </w:r>
    </w:p>
    <w:p>
      <w:pPr>
        <w:pStyle w:val="cscec82"/>
        <w:numPr>
          <w:ilvl w:val="1"/>
          <w:numId w:val="0"/>
        </w:numPr>
        <w:bidi w:val="0"/>
        <w:ind w:left="0" w:firstLine="0" w:leftChars="0" w:firstLineChars="0"/>
        <w:rPr>
          <w:rFonts w:hint="eastAsia"/>
          <w:sz w:val="28"/>
          <w:szCs w:val="28"/>
        </w:rPr>
      </w:pPr>
      <w:bookmarkStart w:id="54" w:name="_Toc17319"/>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3.2  </w:t>
      </w:r>
      <w:r>
        <w:rPr>
          <w:rFonts w:hint="eastAsia"/>
          <w:sz w:val="28"/>
          <w:szCs w:val="28"/>
          <w:lang w:val="en-US" w:eastAsia="zh-CN"/>
        </w:rPr>
        <w:t>主要管理人员准备</w:t>
      </w:r>
      <w:bookmarkEnd w:id="54"/>
    </w:p>
    <w:p>
      <w:pPr>
        <w:pStyle w:val="cscec8b"/>
        <w:numPr>
          <w:ilvl w:val="7"/>
          <w:numId w:val="0"/>
        </w:numPr>
        <w:bidi w:val="0"/>
        <w:ind w:left="0" w:firstLine="0" w:leftChars="0" w:firstLineChars="0"/>
        <w:rPr>
          <w:rFonts w:hint="eastAsia"/>
        </w:rPr>
      </w:pPr>
      <w:r>
        <w:rPr>
          <w:rFonts w:ascii="黑体" w:eastAsia="黑体" w:hAnsi="黑体" w:cs="Times New Roman" w:hint="eastAsia"/>
          <w:b w:val="0"/>
          <w:i w:val="0"/>
          <w:kern w:val="2"/>
          <w:sz w:val="24"/>
          <w:szCs w:val="24"/>
          <w:lang w:val="en-US" w:eastAsia="zh-CN" w:bidi="ar-SA"/>
        </w:rPr>
        <w:t xml:space="preserve">表3.2-1  </w:t>
      </w:r>
      <w:r>
        <w:rPr>
          <w:rFonts w:hint="eastAsia"/>
          <w:lang w:val="en-US" w:eastAsia="zh-CN"/>
        </w:rPr>
        <w:t>主要管理人员及岗位职责表</w:t>
      </w:r>
    </w:p>
    <w:tbl>
      <w:tblPr>
        <w:tblStyle w:val="k00"/>
        <w:tblW w:w="9000" w:type="dxa"/>
        <w:jc w:val="center"/>
        <w:tblBorders>
          <w:top w:val="double" w:sz="6" w:space="0" w:color="0000FF"/>
          <w:left w:val="double" w:sz="6" w:space="0" w:color="0000FF"/>
          <w:bottom w:val="double" w:sz="6" w:space="0" w:color="0000FF"/>
          <w:right w:val="double" w:sz="6" w:space="0" w:color="0000FF"/>
          <w:insideH w:val="single" w:sz="6" w:space="0" w:color="0000FF"/>
          <w:insideV w:val="single" w:sz="6" w:space="0" w:color="0000FF"/>
        </w:tblBorders>
        <w:tblLayout w:type="fixed"/>
        <w:tblCellMar>
          <w:top w:w="0" w:type="dxa"/>
          <w:left w:w="57" w:type="dxa"/>
          <w:bottom w:w="0" w:type="dxa"/>
          <w:right w:w="57" w:type="dxa"/>
        </w:tblCellMar>
      </w:tblPr>
      <w:tblGrid>
        <w:gridCol w:w="1119"/>
        <w:gridCol w:w="1445"/>
        <w:gridCol w:w="6436"/>
      </w:tblGrid>
      <w:tr>
        <w:tblPrEx>
          <w:tblW w:w="9000" w:type="dxa"/>
          <w:jc w:val="center"/>
          <w:tblBorders>
            <w:top w:val="double" w:sz="6" w:space="0" w:color="0000FF"/>
            <w:left w:val="double" w:sz="6" w:space="0" w:color="0000FF"/>
            <w:bottom w:val="double" w:sz="6" w:space="0" w:color="0000FF"/>
            <w:right w:val="double" w:sz="6" w:space="0" w:color="0000FF"/>
            <w:insideH w:val="single" w:sz="6" w:space="0" w:color="0000FF"/>
            <w:insideV w:val="single" w:sz="6" w:space="0" w:color="0000FF"/>
          </w:tblBorders>
          <w:tblLayout w:type="fixed"/>
          <w:tblCellMar>
            <w:top w:w="0" w:type="dxa"/>
            <w:left w:w="57" w:type="dxa"/>
            <w:bottom w:w="0" w:type="dxa"/>
            <w:right w:w="57" w:type="dxa"/>
          </w:tblCellMar>
        </w:tblPrEx>
        <w:trPr>
          <w:trHeight w:val="392"/>
          <w:jc w:val="center"/>
        </w:trPr>
        <w:tc>
          <w:tcPr>
            <w:tcW w:w="111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b/>
                <w:color w:val="auto"/>
                <w:kern w:val="0"/>
              </w:rPr>
            </w:pPr>
            <w:bookmarkStart w:id="55" w:name="_Hlk22798646"/>
            <w:r>
              <w:rPr>
                <w:rFonts w:ascii="宋体" w:eastAsia="宋体" w:hAnsi="宋体" w:cs="宋体" w:hint="eastAsia"/>
                <w:sz w:val="21"/>
                <w:szCs w:val="21"/>
                <w:lang w:val="en-US" w:eastAsia="zh-CN"/>
              </w:rPr>
              <w:t>序号</w:t>
            </w:r>
          </w:p>
        </w:tc>
        <w:tc>
          <w:tcPr>
            <w:tcW w:w="1445"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b/>
                <w:color w:val="auto"/>
                <w:kern w:val="0"/>
              </w:rPr>
            </w:pPr>
            <w:r>
              <w:rPr>
                <w:rFonts w:ascii="宋体" w:eastAsia="宋体" w:hAnsi="宋体" w:cs="宋体" w:hint="eastAsia"/>
                <w:sz w:val="21"/>
                <w:szCs w:val="21"/>
                <w:lang w:val="en-US" w:eastAsia="zh-CN"/>
              </w:rPr>
              <w:t>岗位/部门</w:t>
            </w:r>
          </w:p>
        </w:tc>
        <w:tc>
          <w:tcPr>
            <w:tcW w:w="6436"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b/>
                <w:color w:val="auto"/>
                <w:kern w:val="0"/>
              </w:rPr>
            </w:pPr>
            <w:r>
              <w:rPr>
                <w:rFonts w:ascii="宋体" w:eastAsia="宋体" w:hAnsi="宋体" w:cs="宋体" w:hint="eastAsia"/>
                <w:sz w:val="21"/>
                <w:szCs w:val="21"/>
                <w:lang w:val="en-US" w:eastAsia="zh-CN"/>
              </w:rPr>
              <w:t>管理职责</w:t>
            </w:r>
          </w:p>
        </w:tc>
      </w:tr>
      <w:tr>
        <w:tblPrEx>
          <w:tblW w:w="9000" w:type="dxa"/>
          <w:jc w:val="center"/>
          <w:tblLayout w:type="fixed"/>
          <w:tblCellMar>
            <w:top w:w="0" w:type="dxa"/>
            <w:left w:w="57" w:type="dxa"/>
            <w:bottom w:w="0" w:type="dxa"/>
            <w:right w:w="57" w:type="dxa"/>
          </w:tblCellMar>
        </w:tblPrEx>
        <w:trPr>
          <w:trHeight w:val="1190"/>
          <w:jc w:val="center"/>
        </w:trPr>
        <w:tc>
          <w:tcPr>
            <w:tcW w:w="111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ascii="宋体" w:eastAsia="宋体" w:hAnsi="宋体" w:cs="宋体" w:hint="eastAsia"/>
                <w:sz w:val="21"/>
                <w:szCs w:val="21"/>
                <w:lang w:val="en-US" w:eastAsia="zh-CN"/>
              </w:rPr>
              <w:t>1</w:t>
            </w:r>
          </w:p>
        </w:tc>
        <w:tc>
          <w:tcPr>
            <w:tcW w:w="1445"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ascii="宋体" w:eastAsia="宋体" w:hAnsi="宋体" w:cs="宋体" w:hint="eastAsia"/>
                <w:sz w:val="21"/>
                <w:szCs w:val="21"/>
                <w:lang w:val="en-US" w:eastAsia="zh-CN"/>
              </w:rPr>
              <w:t>项目经理</w:t>
            </w:r>
          </w:p>
        </w:tc>
        <w:tc>
          <w:tcPr>
            <w:tcW w:w="6436"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cs="宋体" w:hint="eastAsia"/>
                <w:color w:val="auto"/>
                <w:kern w:val="0"/>
              </w:rPr>
            </w:pPr>
            <w:r>
              <w:rPr>
                <w:rFonts w:ascii="宋体" w:eastAsia="宋体" w:hAnsi="宋体" w:cs="宋体" w:hint="eastAsia"/>
                <w:sz w:val="21"/>
                <w:szCs w:val="21"/>
                <w:lang w:val="en-US" w:eastAsia="zh-CN"/>
              </w:rPr>
              <w:t>全面负责塔式起重机安装与拆卸施工进度、质量、安全管理工作。</w:t>
            </w:r>
          </w:p>
        </w:tc>
      </w:tr>
      <w:tr>
        <w:tblPrEx>
          <w:tblW w:w="9000" w:type="dxa"/>
          <w:jc w:val="center"/>
          <w:tblLayout w:type="fixed"/>
          <w:tblCellMar>
            <w:top w:w="0" w:type="dxa"/>
            <w:left w:w="57" w:type="dxa"/>
            <w:bottom w:w="0" w:type="dxa"/>
            <w:right w:w="57" w:type="dxa"/>
          </w:tblCellMar>
        </w:tblPrEx>
        <w:trPr>
          <w:trHeight w:val="756"/>
          <w:jc w:val="center"/>
        </w:trPr>
        <w:tc>
          <w:tcPr>
            <w:tcW w:w="111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cs="宋体" w:hint="eastAsia"/>
                <w:sz w:val="21"/>
                <w:szCs w:val="21"/>
                <w:lang w:val="en-US" w:eastAsia="zh-CN"/>
              </w:rPr>
              <w:t>2</w:t>
            </w:r>
          </w:p>
        </w:tc>
        <w:tc>
          <w:tcPr>
            <w:tcW w:w="1445"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ascii="宋体" w:eastAsia="宋体" w:hAnsi="宋体" w:cs="宋体" w:hint="eastAsia"/>
                <w:sz w:val="21"/>
                <w:szCs w:val="21"/>
                <w:lang w:val="en-US" w:eastAsia="zh-CN"/>
              </w:rPr>
              <w:t>项目总工</w:t>
            </w:r>
          </w:p>
        </w:tc>
        <w:tc>
          <w:tcPr>
            <w:tcW w:w="6436"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cs="宋体" w:hint="eastAsia"/>
                <w:color w:val="auto"/>
                <w:kern w:val="0"/>
              </w:rPr>
            </w:pPr>
            <w:r>
              <w:rPr>
                <w:rFonts w:ascii="宋体" w:eastAsia="宋体" w:hAnsi="宋体" w:cs="宋体" w:hint="eastAsia"/>
                <w:sz w:val="21"/>
                <w:szCs w:val="21"/>
                <w:lang w:val="en-US" w:eastAsia="zh-CN"/>
              </w:rPr>
              <w:t>负责审核塔吊安拆专项施工方案，负责塔吊安装过程中技术性的指导工作。</w:t>
            </w:r>
          </w:p>
        </w:tc>
      </w:tr>
      <w:tr>
        <w:tblPrEx>
          <w:tblW w:w="9000" w:type="dxa"/>
          <w:jc w:val="center"/>
          <w:tblLayout w:type="fixed"/>
          <w:tblCellMar>
            <w:top w:w="0" w:type="dxa"/>
            <w:left w:w="57" w:type="dxa"/>
            <w:bottom w:w="0" w:type="dxa"/>
            <w:right w:w="57" w:type="dxa"/>
          </w:tblCellMar>
        </w:tblPrEx>
        <w:trPr>
          <w:trHeight w:val="778"/>
          <w:jc w:val="center"/>
        </w:trPr>
        <w:tc>
          <w:tcPr>
            <w:tcW w:w="111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cs="宋体" w:hint="eastAsia"/>
                <w:sz w:val="21"/>
                <w:szCs w:val="21"/>
                <w:lang w:val="en-US" w:eastAsia="zh-CN"/>
              </w:rPr>
              <w:t>3</w:t>
            </w:r>
          </w:p>
        </w:tc>
        <w:tc>
          <w:tcPr>
            <w:tcW w:w="1445"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ascii="宋体" w:eastAsia="宋体" w:hAnsi="宋体" w:cs="宋体" w:hint="eastAsia"/>
                <w:sz w:val="21"/>
                <w:szCs w:val="21"/>
                <w:lang w:val="en-US" w:eastAsia="zh-CN"/>
              </w:rPr>
              <w:t>项目总经</w:t>
            </w:r>
          </w:p>
        </w:tc>
        <w:tc>
          <w:tcPr>
            <w:tcW w:w="6436"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cs="宋体" w:hint="eastAsia"/>
                <w:color w:val="auto"/>
                <w:kern w:val="0"/>
              </w:rPr>
            </w:pPr>
            <w:r>
              <w:rPr>
                <w:rFonts w:ascii="宋体" w:eastAsia="宋体" w:hAnsi="宋体" w:cs="宋体" w:hint="eastAsia"/>
                <w:sz w:val="21"/>
                <w:szCs w:val="21"/>
                <w:lang w:val="en-US" w:eastAsia="zh-CN"/>
              </w:rPr>
              <w:t>参与讨论、研究、决定与塔式起重机安拆相关的重大决策。</w:t>
            </w:r>
          </w:p>
        </w:tc>
      </w:tr>
      <w:tr>
        <w:tblPrEx>
          <w:tblW w:w="9000" w:type="dxa"/>
          <w:jc w:val="center"/>
          <w:tblLayout w:type="fixed"/>
          <w:tblCellMar>
            <w:top w:w="0" w:type="dxa"/>
            <w:left w:w="57" w:type="dxa"/>
            <w:bottom w:w="0" w:type="dxa"/>
            <w:right w:w="57" w:type="dxa"/>
          </w:tblCellMar>
        </w:tblPrEx>
        <w:trPr>
          <w:trHeight w:val="1072"/>
          <w:jc w:val="center"/>
        </w:trPr>
        <w:tc>
          <w:tcPr>
            <w:tcW w:w="111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cs="宋体" w:hint="eastAsia"/>
                <w:sz w:val="21"/>
                <w:szCs w:val="21"/>
                <w:lang w:val="en-US" w:eastAsia="zh-CN"/>
              </w:rPr>
              <w:t>4</w:t>
            </w:r>
          </w:p>
        </w:tc>
        <w:tc>
          <w:tcPr>
            <w:tcW w:w="1445"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ascii="宋体" w:eastAsia="宋体" w:hAnsi="宋体" w:cs="宋体" w:hint="eastAsia"/>
                <w:sz w:val="21"/>
                <w:szCs w:val="21"/>
                <w:lang w:val="en-US" w:eastAsia="zh-CN"/>
              </w:rPr>
              <w:t>工程部</w:t>
            </w:r>
          </w:p>
        </w:tc>
        <w:tc>
          <w:tcPr>
            <w:tcW w:w="6436"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cs="宋体" w:hint="eastAsia"/>
                <w:color w:val="auto"/>
                <w:kern w:val="0"/>
              </w:rPr>
            </w:pPr>
            <w:r>
              <w:rPr>
                <w:rFonts w:ascii="宋体" w:eastAsia="宋体" w:hAnsi="宋体" w:cs="宋体" w:hint="eastAsia"/>
                <w:sz w:val="21"/>
                <w:szCs w:val="21"/>
                <w:lang w:val="en-US" w:eastAsia="zh-CN"/>
              </w:rPr>
              <w:t>负责塔式起重机安拆专项施工方案的编制及安全技术交底。依据质量管理制度，负责塔式起重机安拆质量管理。负责塔机基础的测量放样工作。</w:t>
            </w:r>
          </w:p>
        </w:tc>
      </w:tr>
      <w:tr>
        <w:tblPrEx>
          <w:tblW w:w="9000" w:type="dxa"/>
          <w:jc w:val="center"/>
          <w:tblLayout w:type="fixed"/>
          <w:tblCellMar>
            <w:top w:w="0" w:type="dxa"/>
            <w:left w:w="57" w:type="dxa"/>
            <w:bottom w:w="0" w:type="dxa"/>
            <w:right w:w="57" w:type="dxa"/>
          </w:tblCellMar>
        </w:tblPrEx>
        <w:trPr>
          <w:trHeight w:val="1111"/>
          <w:jc w:val="center"/>
        </w:trPr>
        <w:tc>
          <w:tcPr>
            <w:tcW w:w="1119"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cs="宋体" w:hint="eastAsia"/>
                <w:sz w:val="21"/>
                <w:szCs w:val="21"/>
                <w:lang w:val="en-US" w:eastAsia="zh-CN"/>
              </w:rPr>
              <w:t>5</w:t>
            </w:r>
          </w:p>
        </w:tc>
        <w:tc>
          <w:tcPr>
            <w:tcW w:w="1445"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cs="宋体" w:hint="eastAsia"/>
                <w:color w:val="auto"/>
                <w:kern w:val="0"/>
              </w:rPr>
            </w:pPr>
            <w:r>
              <w:rPr>
                <w:rFonts w:ascii="宋体" w:eastAsia="宋体" w:hAnsi="宋体" w:cs="宋体" w:hint="eastAsia"/>
                <w:sz w:val="21"/>
                <w:szCs w:val="21"/>
                <w:lang w:val="en-US" w:eastAsia="zh-CN"/>
              </w:rPr>
              <w:t>塔吊专业队伍</w:t>
            </w:r>
          </w:p>
        </w:tc>
        <w:tc>
          <w:tcPr>
            <w:tcW w:w="6436" w:type="dxa"/>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cs="宋体" w:hint="eastAsia"/>
                <w:color w:val="auto"/>
                <w:kern w:val="0"/>
              </w:rPr>
            </w:pPr>
            <w:r>
              <w:rPr>
                <w:rFonts w:ascii="宋体" w:eastAsia="宋体" w:hAnsi="宋体" w:cs="宋体" w:hint="eastAsia"/>
                <w:sz w:val="21"/>
                <w:szCs w:val="21"/>
                <w:lang w:val="en-US" w:eastAsia="zh-CN"/>
              </w:rPr>
              <w:t>正确执行并实施本方案，负责组织实施塔式起重机安装、拆除过程中起重吊装作业，并按总指挥和技术负责人指令完成全部起重吊装作业。</w:t>
            </w:r>
          </w:p>
        </w:tc>
      </w:tr>
      <w:bookmarkEnd w:id="55"/>
    </w:tbl>
    <w:p>
      <w:pPr>
        <w:pStyle w:val="cscec82"/>
        <w:numPr>
          <w:ilvl w:val="1"/>
          <w:numId w:val="0"/>
        </w:numPr>
        <w:bidi w:val="0"/>
        <w:ind w:left="0" w:firstLine="0" w:leftChars="0" w:firstLineChars="0"/>
        <w:rPr>
          <w:rFonts w:hint="eastAsia"/>
          <w:sz w:val="28"/>
          <w:szCs w:val="28"/>
        </w:rPr>
      </w:pPr>
      <w:bookmarkStart w:id="56" w:name="_Toc55466975"/>
      <w:bookmarkStart w:id="57" w:name="_Toc21277"/>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3.3  </w:t>
      </w:r>
      <w:r>
        <w:rPr>
          <w:rFonts w:hint="eastAsia"/>
          <w:sz w:val="28"/>
          <w:szCs w:val="28"/>
        </w:rPr>
        <w:t>技术准备</w:t>
      </w:r>
      <w:bookmarkEnd w:id="56"/>
      <w:bookmarkEnd w:id="57"/>
    </w:p>
    <w:p>
      <w:pPr>
        <w:pStyle w:val="cscec83"/>
        <w:numPr>
          <w:ilvl w:val="2"/>
          <w:numId w:val="0"/>
        </w:numPr>
        <w:bidi w:val="0"/>
        <w:ind w:left="0" w:firstLine="0" w:leftChars="0" w:firstLineChars="0"/>
        <w:rPr>
          <w:rFonts w:hint="eastAsia"/>
        </w:rPr>
      </w:pPr>
      <w:bookmarkStart w:id="58" w:name="_Toc55466976"/>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3.3.1  </w:t>
      </w:r>
      <w:r>
        <w:rPr>
          <w:rFonts w:hint="eastAsia"/>
        </w:rPr>
        <w:t>技术交底</w:t>
      </w:r>
      <w:bookmarkEnd w:id="58"/>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pPr>
      <w:r>
        <w:rPr>
          <w:rFonts w:ascii="宋体" w:eastAsia="宋体" w:hAnsi="宋体" w:cs="宋体" w:hint="eastAsia"/>
          <w:color w:val="auto"/>
          <w:sz w:val="24"/>
          <w:szCs w:val="24"/>
        </w:rPr>
        <w:t>向施工人员进行施工组织设计和技术交底，把工程的基本情况、施工计划和施工技术要求等，详尽地向施工人员讲解清楚，落实施工计划，制定技术责任制的必要措施，作好现场的准备工作。</w:t>
      </w:r>
    </w:p>
    <w:p>
      <w:pPr>
        <w:pStyle w:val="cscec83"/>
        <w:numPr>
          <w:ilvl w:val="2"/>
          <w:numId w:val="0"/>
        </w:numPr>
        <w:bidi w:val="0"/>
        <w:ind w:left="0" w:firstLine="0" w:leftChars="0" w:firstLineChars="0"/>
        <w:rPr>
          <w:rFonts w:hint="eastAsia"/>
        </w:rPr>
      </w:pPr>
      <w:bookmarkStart w:id="59" w:name="_Toc55466977"/>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3.3.2  </w:t>
      </w:r>
      <w:r>
        <w:rPr>
          <w:rFonts w:hint="eastAsia"/>
        </w:rPr>
        <w:t>施工培训</w:t>
      </w:r>
      <w:bookmarkEnd w:id="59"/>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pPr>
      <w:r>
        <w:rPr>
          <w:rFonts w:ascii="宋体" w:eastAsia="宋体" w:hAnsi="宋体" w:cs="宋体" w:hint="eastAsia"/>
          <w:color w:val="auto"/>
          <w:sz w:val="24"/>
          <w:szCs w:val="24"/>
        </w:rPr>
        <w:t>施工前，根据本工程场地特点、以及塔式起重机的技术特点，对员工进行操作技能、劳动纪律培训，针对性进行危险、重要环节细节培训，以使员工在新的工作环境和新的工作中能够胜任。同时，对员工安拆除整体流程进行系统性培训。</w:t>
      </w:r>
    </w:p>
    <w:p>
      <w:pPr>
        <w:pStyle w:val="cscec83"/>
        <w:numPr>
          <w:ilvl w:val="2"/>
          <w:numId w:val="0"/>
        </w:numPr>
        <w:bidi w:val="0"/>
        <w:ind w:left="0" w:firstLine="0" w:leftChars="0" w:firstLineChars="0"/>
        <w:rPr>
          <w:rFonts w:hint="eastAsia"/>
        </w:rPr>
      </w:pPr>
      <w:bookmarkStart w:id="60" w:name="_Toc55466978"/>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3.3.3  </w:t>
      </w:r>
      <w:r>
        <w:rPr>
          <w:rFonts w:hint="eastAsia"/>
        </w:rPr>
        <w:t>安全准备工作</w:t>
      </w:r>
      <w:bookmarkEnd w:id="60"/>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sectPr>
          <w:footerReference w:type="default" r:id="rId21"/>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1"/>
          <w:cols w:num="1" w:space="1680"/>
          <w:titlePg w:val="0"/>
          <w:docGrid w:linePitch="326" w:charSpace="59452"/>
        </w:sectPr>
      </w:pPr>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pPr>
      <w:r>
        <w:rPr>
          <w:rFonts w:ascii="宋体" w:eastAsia="宋体" w:hAnsi="宋体" w:cs="宋体" w:hint="eastAsia"/>
          <w:color w:val="auto"/>
          <w:sz w:val="24"/>
          <w:szCs w:val="24"/>
        </w:rPr>
        <w:t>本着“安全第一、预防为主”的原则，做好员工进场前的三级安全教育，落实安全技术交底工作，并做好书面记录。树立安全意识，分析潜在的危险源，消除潜在的安全隐患，建立和健全安全应急预案，制定安全应急措施，充分将安全工作贯穿于整个过程，确保安全工作始终处于受控状态。</w:t>
      </w:r>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pPr>
      <w:r>
        <w:rPr>
          <w:rFonts w:ascii="宋体" w:eastAsia="宋体" w:hAnsi="宋体" w:cs="宋体" w:hint="eastAsia"/>
          <w:color w:val="auto"/>
          <w:sz w:val="24"/>
          <w:szCs w:val="24"/>
        </w:rPr>
        <w:t>起重机司机、起重工、电工等特种工必须持证上岗；施工人员掌握起重机结构、</w:t>
      </w:r>
      <w:r>
        <w:rPr>
          <w:rFonts w:cs="宋体" w:hint="eastAsia"/>
          <w:color w:val="auto"/>
          <w:sz w:val="24"/>
          <w:szCs w:val="24"/>
          <w:lang w:val="en-US" w:eastAsia="zh-CN"/>
        </w:rPr>
        <w:t>拆除</w:t>
      </w:r>
      <w:r>
        <w:rPr>
          <w:rFonts w:ascii="宋体" w:eastAsia="宋体" w:hAnsi="宋体" w:cs="宋体" w:hint="eastAsia"/>
          <w:color w:val="auto"/>
          <w:sz w:val="24"/>
          <w:szCs w:val="24"/>
        </w:rPr>
        <w:t>工艺、质量要求、施工危险源及预防措施；起重机司机除了持证上岗，还应具备该起重机的独立熟练操作经验；施工负责人熟练掌握安装工艺、施工危险源及预防措施，能合理调配人员及机具，掌握管理体系施工要求；在塔吊</w:t>
      </w:r>
      <w:r>
        <w:rPr>
          <w:rFonts w:cs="宋体" w:hint="eastAsia"/>
          <w:color w:val="auto"/>
          <w:sz w:val="24"/>
          <w:szCs w:val="24"/>
          <w:lang w:val="en-US" w:eastAsia="zh-CN"/>
        </w:rPr>
        <w:t>拆除前拆除</w:t>
      </w:r>
      <w:r>
        <w:rPr>
          <w:rFonts w:ascii="宋体" w:eastAsia="宋体" w:hAnsi="宋体" w:cs="宋体" w:hint="eastAsia"/>
          <w:color w:val="auto"/>
          <w:sz w:val="24"/>
          <w:szCs w:val="24"/>
        </w:rPr>
        <w:t>单位安排专人负责吊装用吊索具的检查。</w:t>
      </w:r>
    </w:p>
    <w:p>
      <w:pPr>
        <w:pStyle w:val="cscec82"/>
        <w:numPr>
          <w:ilvl w:val="1"/>
          <w:numId w:val="0"/>
        </w:numPr>
        <w:bidi w:val="0"/>
        <w:ind w:left="0" w:firstLine="0" w:leftChars="0" w:firstLineChars="0"/>
        <w:rPr>
          <w:rFonts w:hint="eastAsia"/>
          <w:sz w:val="28"/>
          <w:szCs w:val="28"/>
        </w:rPr>
      </w:pPr>
      <w:bookmarkStart w:id="61" w:name="_Toc11605"/>
      <w:bookmarkStart w:id="62" w:name="_Toc55466979"/>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3.4  </w:t>
      </w:r>
      <w:r>
        <w:rPr>
          <w:rFonts w:hint="eastAsia"/>
          <w:sz w:val="28"/>
          <w:szCs w:val="28"/>
        </w:rPr>
        <w:t>施工材料、设备准备</w:t>
      </w:r>
      <w:bookmarkEnd w:id="61"/>
      <w:bookmarkEnd w:id="62"/>
    </w:p>
    <w:p>
      <w:pPr>
        <w:pStyle w:val="cscec83"/>
        <w:numPr>
          <w:ilvl w:val="2"/>
          <w:numId w:val="0"/>
        </w:numPr>
        <w:bidi w:val="0"/>
        <w:ind w:left="0" w:firstLine="0" w:leftChars="0" w:firstLineChars="0"/>
        <w:rPr>
          <w:rFonts w:hint="eastAsia"/>
        </w:rPr>
      </w:pPr>
      <w:bookmarkStart w:id="63" w:name="_Toc55466980"/>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3.4.1  </w:t>
      </w:r>
      <w:r>
        <w:rPr>
          <w:rFonts w:hint="eastAsia"/>
        </w:rPr>
        <w:t>材料准备</w:t>
      </w:r>
      <w:bookmarkEnd w:id="63"/>
    </w:p>
    <w:p>
      <w:pPr>
        <w:pStyle w:val="cscec8b"/>
        <w:numPr>
          <w:ilvl w:val="7"/>
          <w:numId w:val="0"/>
        </w:numPr>
        <w:bidi w:val="0"/>
        <w:ind w:left="0" w:firstLine="0" w:leftChars="0" w:firstLineChars="0"/>
        <w:rPr>
          <w:rFonts w:hint="eastAsia"/>
        </w:rPr>
      </w:pPr>
      <w:r>
        <w:rPr>
          <w:rFonts w:ascii="黑体" w:eastAsia="黑体" w:hAnsi="黑体" w:cs="Times New Roman" w:hint="eastAsia"/>
          <w:b w:val="0"/>
          <w:i w:val="0"/>
          <w:kern w:val="2"/>
          <w:sz w:val="24"/>
          <w:szCs w:val="24"/>
          <w:lang w:val="en-US" w:eastAsia="zh-CN" w:bidi="ar-SA"/>
        </w:rPr>
        <w:t xml:space="preserve">表3.4-1  </w:t>
      </w:r>
      <w:r>
        <w:rPr>
          <w:rFonts w:hint="eastAsia"/>
        </w:rPr>
        <w:t>施工用具材料表</w:t>
      </w:r>
    </w:p>
    <w:tbl>
      <w:tblPr>
        <w:tblStyle w:val="TableNormal"/>
        <w:tblW w:w="928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801"/>
        <w:gridCol w:w="2857"/>
        <w:gridCol w:w="1367"/>
        <w:gridCol w:w="832"/>
        <w:gridCol w:w="1022"/>
        <w:gridCol w:w="2401"/>
      </w:tblGrid>
      <w:tr>
        <w:tblPrEx>
          <w:tblW w:w="928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序号</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名 称</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规格型号</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单位</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数量</w:t>
            </w:r>
          </w:p>
        </w:tc>
        <w:tc>
          <w:tcPr>
            <w:tcW w:w="24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备 注</w:t>
            </w: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cs="宋体" w:hint="eastAsia"/>
                <w:color w:val="auto"/>
                <w:sz w:val="21"/>
                <w:szCs w:val="21"/>
                <w:lang w:val="en-US" w:eastAsia="zh-CN"/>
              </w:rPr>
              <w:t>汽车吊</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default"/>
                <w:color w:val="auto"/>
              </w:rPr>
            </w:pPr>
            <w:r>
              <w:rPr>
                <w:rFonts w:cs="宋体" w:hint="eastAsia"/>
                <w:color w:val="auto"/>
                <w:sz w:val="21"/>
                <w:szCs w:val="21"/>
                <w:lang w:val="en-US" w:eastAsia="zh-CN"/>
              </w:rPr>
              <w:t>200t</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cs="宋体" w:hint="eastAsia"/>
                <w:color w:val="auto"/>
                <w:sz w:val="21"/>
                <w:szCs w:val="21"/>
                <w:lang w:val="en-US" w:eastAsia="zh-CN"/>
              </w:rPr>
              <w:t>台</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cs="宋体" w:hint="eastAsia"/>
                <w:color w:val="auto"/>
                <w:sz w:val="21"/>
                <w:szCs w:val="21"/>
                <w:lang w:val="en-US" w:eastAsia="zh-CN"/>
              </w:rPr>
              <w:t>1</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2</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链条葫芦</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1t/2t/3t</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只</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各2</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3</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重型套筒</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32</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套</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1</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4</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活动扳手</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21</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套</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5</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梅花扳手</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21</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套</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6</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大锤</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4-18P</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套</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1</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7</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万用电表</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只</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1</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8</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接地摇表</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只</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1</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cs="宋体" w:hint="eastAsia"/>
                <w:color w:val="auto"/>
                <w:kern w:val="0"/>
                <w:sz w:val="21"/>
                <w:szCs w:val="21"/>
                <w:lang w:val="en-US" w:eastAsia="zh-CN"/>
              </w:rPr>
              <w:t>9</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电工常用工具</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套</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1</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r>
              <w:rPr>
                <w:rFonts w:cs="宋体" w:hint="eastAsia"/>
                <w:color w:val="auto"/>
                <w:kern w:val="0"/>
                <w:sz w:val="21"/>
                <w:szCs w:val="21"/>
                <w:lang w:val="en-US" w:eastAsia="zh-CN"/>
              </w:rPr>
              <w:t>0</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钢丝绳</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8mφ2</w:t>
            </w:r>
            <w:r>
              <w:rPr>
                <w:rFonts w:cs="宋体" w:hint="eastAsia"/>
                <w:color w:val="auto"/>
                <w:sz w:val="21"/>
                <w:szCs w:val="21"/>
                <w:lang w:val="en-US" w:eastAsia="zh-CN"/>
              </w:rPr>
              <w:t>0</w:t>
            </w:r>
            <w:r>
              <w:rPr>
                <w:rFonts w:ascii="宋体" w:eastAsia="宋体" w:hAnsi="宋体" w:cs="宋体" w:hint="eastAsia"/>
                <w:color w:val="auto"/>
                <w:sz w:val="21"/>
                <w:szCs w:val="21"/>
              </w:rPr>
              <w:t>mm</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根</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4</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r>
              <w:rPr>
                <w:rFonts w:cs="宋体" w:hint="eastAsia"/>
                <w:color w:val="auto"/>
                <w:kern w:val="0"/>
                <w:sz w:val="21"/>
                <w:szCs w:val="21"/>
                <w:lang w:val="en-US" w:eastAsia="zh-CN"/>
              </w:rPr>
              <w:t>1</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钢丝绳</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6mφ2</w:t>
            </w:r>
            <w:r>
              <w:rPr>
                <w:rFonts w:cs="宋体" w:hint="eastAsia"/>
                <w:color w:val="auto"/>
                <w:sz w:val="21"/>
                <w:szCs w:val="21"/>
                <w:lang w:val="en-US" w:eastAsia="zh-CN"/>
              </w:rPr>
              <w:t>0</w:t>
            </w:r>
            <w:r>
              <w:rPr>
                <w:rFonts w:ascii="宋体" w:eastAsia="宋体" w:hAnsi="宋体" w:cs="宋体" w:hint="eastAsia"/>
                <w:color w:val="auto"/>
                <w:sz w:val="21"/>
                <w:szCs w:val="21"/>
              </w:rPr>
              <w:t>mm</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根</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4</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r>
              <w:rPr>
                <w:rFonts w:cs="宋体" w:hint="eastAsia"/>
                <w:color w:val="auto"/>
                <w:kern w:val="0"/>
                <w:sz w:val="21"/>
                <w:szCs w:val="21"/>
                <w:lang w:val="en-US" w:eastAsia="zh-CN"/>
              </w:rPr>
              <w:t>2</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钢丝绳</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4mφ2</w:t>
            </w:r>
            <w:r>
              <w:rPr>
                <w:rFonts w:cs="宋体" w:hint="eastAsia"/>
                <w:color w:val="auto"/>
                <w:sz w:val="21"/>
                <w:szCs w:val="21"/>
                <w:lang w:val="en-US" w:eastAsia="zh-CN"/>
              </w:rPr>
              <w:t>0</w:t>
            </w:r>
            <w:r>
              <w:rPr>
                <w:rFonts w:ascii="宋体" w:eastAsia="宋体" w:hAnsi="宋体" w:cs="宋体" w:hint="eastAsia"/>
                <w:color w:val="auto"/>
                <w:sz w:val="21"/>
                <w:szCs w:val="21"/>
              </w:rPr>
              <w:t>mm</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根</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r>
              <w:rPr>
                <w:rFonts w:cs="宋体" w:hint="eastAsia"/>
                <w:color w:val="auto"/>
                <w:kern w:val="0"/>
                <w:sz w:val="21"/>
                <w:szCs w:val="21"/>
                <w:lang w:val="en-US" w:eastAsia="zh-CN"/>
              </w:rPr>
              <w:t>3</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铁丝/麻绳</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8﹟/φ12mm</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Kg/m</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20/30</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r>
              <w:rPr>
                <w:rFonts w:cs="宋体" w:hint="eastAsia"/>
                <w:color w:val="auto"/>
                <w:kern w:val="0"/>
                <w:sz w:val="21"/>
                <w:szCs w:val="21"/>
                <w:lang w:val="en-US" w:eastAsia="zh-CN"/>
              </w:rPr>
              <w:t>4</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对讲机</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对</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650"/>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r>
              <w:rPr>
                <w:rFonts w:cs="宋体" w:hint="eastAsia"/>
                <w:color w:val="auto"/>
                <w:kern w:val="0"/>
                <w:sz w:val="21"/>
                <w:szCs w:val="21"/>
                <w:lang w:val="en-US" w:eastAsia="zh-CN"/>
              </w:rPr>
              <w:t>5</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橇棍</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（0.5m/1m/1.2m）</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根</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各4</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478"/>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kern w:val="0"/>
                <w:sz w:val="21"/>
                <w:szCs w:val="21"/>
              </w:rPr>
              <w:t>1</w:t>
            </w:r>
            <w:r>
              <w:rPr>
                <w:rFonts w:cs="宋体" w:hint="eastAsia"/>
                <w:color w:val="auto"/>
                <w:kern w:val="0"/>
                <w:sz w:val="21"/>
                <w:szCs w:val="21"/>
                <w:lang w:val="en-US" w:eastAsia="zh-CN"/>
              </w:rPr>
              <w:t>6</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各种规格吊卡具</w:t>
            </w:r>
          </w:p>
        </w:tc>
        <w:tc>
          <w:tcPr>
            <w:tcW w:w="136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2t/5t/10t</w:t>
            </w:r>
          </w:p>
        </w:tc>
        <w:tc>
          <w:tcPr>
            <w:tcW w:w="83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只</w:t>
            </w:r>
          </w:p>
        </w:tc>
        <w:tc>
          <w:tcPr>
            <w:tcW w:w="1022"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各4</w:t>
            </w:r>
          </w:p>
        </w:tc>
        <w:tc>
          <w:tcPr>
            <w:tcW w:w="2401" w:type="dxa"/>
            <w:vAlign w:val="center"/>
          </w:tcPr>
          <w:p>
            <w:pPr>
              <w:pStyle w:val="a4"/>
              <w:keepNext w:val="0"/>
              <w:keepLines w:val="0"/>
              <w:pageBreakBefore w:val="0"/>
              <w:kinsoku/>
              <w:wordWrap/>
              <w:topLinePunct w:val="0"/>
              <w:autoSpaceDE/>
              <w:autoSpaceDN/>
              <w:bidi w:val="0"/>
              <w:adjustRightInd w:val="0"/>
              <w:snapToGrid w:val="0"/>
              <w:spacing w:line="360" w:lineRule="auto"/>
              <w:ind w:firstLine="420"/>
              <w:textAlignment w:val="auto"/>
              <w:rPr>
                <w:rFonts w:ascii="宋体" w:eastAsia="宋体" w:hAnsi="宋体" w:cs="宋体" w:hint="eastAsia"/>
                <w:color w:val="auto"/>
                <w:sz w:val="21"/>
                <w:szCs w:val="21"/>
              </w:rPr>
            </w:pPr>
          </w:p>
        </w:tc>
      </w:tr>
      <w:tr>
        <w:tblPrEx>
          <w:tblW w:w="9280" w:type="dxa"/>
          <w:jc w:val="center"/>
          <w:tblLayout w:type="fixed"/>
          <w:tblCellMar>
            <w:top w:w="0" w:type="dxa"/>
            <w:left w:w="108" w:type="dxa"/>
            <w:bottom w:w="0" w:type="dxa"/>
            <w:right w:w="108" w:type="dxa"/>
          </w:tblCellMar>
        </w:tblPrEx>
        <w:trPr>
          <w:cantSplit/>
          <w:trHeight w:hRule="exact" w:val="584"/>
          <w:jc w:val="center"/>
        </w:trPr>
        <w:tc>
          <w:tcPr>
            <w:tcW w:w="801"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default"/>
                <w:color w:val="auto"/>
                <w:kern w:val="0"/>
              </w:rPr>
            </w:pPr>
            <w:r>
              <w:rPr>
                <w:rFonts w:cs="宋体" w:hint="eastAsia"/>
                <w:color w:val="auto"/>
                <w:kern w:val="0"/>
                <w:sz w:val="21"/>
                <w:szCs w:val="21"/>
                <w:lang w:val="en-US" w:eastAsia="zh-CN"/>
              </w:rPr>
              <w:t>17</w:t>
            </w:r>
          </w:p>
        </w:tc>
        <w:tc>
          <w:tcPr>
            <w:tcW w:w="2857" w:type="dxa"/>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rPr>
            </w:pPr>
            <w:r>
              <w:rPr>
                <w:rFonts w:ascii="宋体" w:eastAsia="宋体" w:hAnsi="宋体" w:cs="宋体" w:hint="eastAsia"/>
                <w:color w:val="auto"/>
                <w:sz w:val="21"/>
                <w:szCs w:val="21"/>
              </w:rPr>
              <w:t>安全帽、安全带、防滑鞋</w:t>
            </w:r>
          </w:p>
        </w:tc>
        <w:tc>
          <w:tcPr>
            <w:tcW w:w="5622" w:type="dxa"/>
            <w:gridSpan w:val="4"/>
            <w:vAlign w:val="center"/>
          </w:tcPr>
          <w:p>
            <w:pPr>
              <w:keepNext w:val="0"/>
              <w:keepLines w:val="0"/>
              <w:pageBreakBefore w:val="0"/>
              <w:widowControl/>
              <w:kinsoku/>
              <w:wordWrap/>
              <w:overflowPunct w:val="0"/>
              <w:topLinePunct w:val="0"/>
              <w:autoSpaceDE/>
              <w:autoSpaceDN/>
              <w:bidi w:val="0"/>
              <w:adjustRightInd w:val="0"/>
              <w:snapToGrid w:val="0"/>
              <w:spacing w:line="360" w:lineRule="auto"/>
              <w:ind w:firstLine="0" w:firstLineChars="0"/>
              <w:jc w:val="center"/>
              <w:textAlignment w:val="auto"/>
              <w:rPr>
                <w:rFonts w:cs="宋体" w:hint="eastAsia"/>
                <w:color w:val="auto"/>
                <w:kern w:val="0"/>
              </w:rPr>
            </w:pPr>
            <w:r>
              <w:rPr>
                <w:rFonts w:ascii="宋体" w:eastAsia="宋体" w:hAnsi="宋体" w:cs="宋体" w:hint="eastAsia"/>
                <w:color w:val="auto"/>
                <w:sz w:val="21"/>
                <w:szCs w:val="21"/>
              </w:rPr>
              <w:t>按现场作业人数配备</w:t>
            </w:r>
          </w:p>
        </w:tc>
      </w:tr>
    </w:tbl>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sectPr>
          <w:footerReference w:type="default" r:id="rId22"/>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2"/>
          <w:cols w:num="1" w:space="1680"/>
          <w:titlePg w:val="0"/>
          <w:docGrid w:linePitch="326" w:charSpace="59452"/>
        </w:sectPr>
      </w:pPr>
      <w:r>
        <w:rPr>
          <w:rFonts w:cs="宋体" w:hint="eastAsia"/>
          <w:color w:val="auto"/>
          <w:sz w:val="24"/>
          <w:szCs w:val="24"/>
          <w:lang w:val="en-US" w:eastAsia="zh-CN"/>
        </w:rPr>
        <w:t>拆除</w:t>
      </w:r>
      <w:r>
        <w:rPr>
          <w:rFonts w:ascii="宋体" w:eastAsia="宋体" w:hAnsi="宋体" w:cs="宋体" w:hint="eastAsia"/>
          <w:color w:val="auto"/>
          <w:sz w:val="24"/>
          <w:szCs w:val="24"/>
        </w:rPr>
        <w:t>前作业班长要对所有要使用的索具、吊具进行全面的安全检查（包括</w:t>
      </w:r>
      <w:r>
        <w:rPr>
          <w:rFonts w:cs="宋体" w:hint="eastAsia"/>
          <w:color w:val="auto"/>
          <w:sz w:val="24"/>
          <w:szCs w:val="24"/>
          <w:lang w:val="en-US" w:eastAsia="zh-CN"/>
        </w:rPr>
        <w:t>200</w:t>
      </w:r>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pPr>
      <w:r>
        <w:rPr>
          <w:rFonts w:ascii="宋体" w:eastAsia="宋体" w:hAnsi="宋体" w:cs="宋体" w:hint="eastAsia"/>
          <w:color w:val="auto"/>
          <w:sz w:val="24"/>
          <w:szCs w:val="24"/>
        </w:rPr>
        <w:t>t汽车吊上的吊索具等），确认完好无损后方可使用，大锤及扳手等工具确认做好防坠落措施。</w:t>
      </w:r>
    </w:p>
    <w:p>
      <w:pPr>
        <w:pStyle w:val="cscec83"/>
        <w:numPr>
          <w:ilvl w:val="2"/>
          <w:numId w:val="0"/>
        </w:numPr>
        <w:bidi w:val="0"/>
        <w:ind w:left="0" w:firstLine="0" w:leftChars="0" w:firstLineChars="0"/>
        <w:rPr>
          <w:rFonts w:hint="eastAsia"/>
        </w:rPr>
      </w:pPr>
      <w:bookmarkStart w:id="64" w:name="_Toc55466981"/>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3.4.2  </w:t>
      </w:r>
      <w:r>
        <w:rPr>
          <w:rFonts w:hint="eastAsia"/>
        </w:rPr>
        <w:t>施工机具准备</w:t>
      </w:r>
      <w:bookmarkEnd w:id="64"/>
    </w:p>
    <w:p>
      <w:pPr>
        <w:pStyle w:val="cscec8t"/>
        <w:keepNext w:val="0"/>
        <w:keepLines w:val="0"/>
        <w:pageBreakBefore w:val="0"/>
        <w:widowControl w:val="0"/>
        <w:numPr>
          <w:ilvl w:val="6"/>
          <w:numId w:val="0"/>
        </w:numPr>
        <w:kinsoku/>
        <w:wordWrap/>
        <w:overflowPunct/>
        <w:topLinePunct w:val="0"/>
        <w:autoSpaceDE/>
        <w:autoSpaceDN/>
        <w:bidi w:val="0"/>
        <w:adjustRightInd w:val="0"/>
        <w:snapToGrid w:val="0"/>
        <w:ind w:firstLine="480" w:leftChars="0" w:firstLineChars="200"/>
        <w:jc w:val="both"/>
        <w:textAlignment w:val="auto"/>
        <w:rPr>
          <w:rFonts w:hint="eastAsia"/>
        </w:rPr>
      </w:pPr>
      <w:r>
        <w:rPr>
          <w:rFonts w:ascii="宋体" w:eastAsia="宋体" w:hAnsi="宋体" w:cs="宋体" w:hint="eastAsia"/>
          <w:color w:val="auto"/>
          <w:sz w:val="24"/>
          <w:szCs w:val="24"/>
        </w:rPr>
        <w:t>根据塔机使用说明书结合现场情况可知设备的各部件重量和最大的</w:t>
      </w:r>
      <w:r>
        <w:rPr>
          <w:rFonts w:ascii="宋体" w:eastAsia="宋体" w:hAnsi="宋体" w:cs="宋体" w:hint="eastAsia"/>
          <w:color w:val="auto"/>
          <w:sz w:val="24"/>
          <w:szCs w:val="24"/>
          <w:lang w:val="en-US" w:eastAsia="zh-CN"/>
        </w:rPr>
        <w:t>拆除</w:t>
      </w:r>
      <w:r>
        <w:rPr>
          <w:rFonts w:ascii="宋体" w:eastAsia="宋体" w:hAnsi="宋体" w:cs="宋体" w:hint="eastAsia"/>
          <w:color w:val="auto"/>
          <w:sz w:val="24"/>
          <w:szCs w:val="24"/>
        </w:rPr>
        <w:t>起升高度，故考虑使用一台</w:t>
      </w:r>
      <w:r>
        <w:rPr>
          <w:rFonts w:ascii="宋体" w:eastAsia="宋体" w:hAnsi="宋体" w:cs="宋体" w:hint="eastAsia"/>
          <w:color w:val="auto"/>
          <w:sz w:val="24"/>
          <w:szCs w:val="24"/>
          <w:lang w:val="en-US" w:eastAsia="zh-CN"/>
        </w:rPr>
        <w:t>20</w:t>
      </w:r>
      <w:r>
        <w:rPr>
          <w:rFonts w:cs="宋体" w:hint="eastAsia"/>
          <w:color w:val="auto"/>
          <w:sz w:val="24"/>
          <w:szCs w:val="24"/>
          <w:lang w:val="en-US" w:eastAsia="zh-CN"/>
        </w:rPr>
        <w:t>0</w:t>
      </w:r>
      <w:r>
        <w:rPr>
          <w:rFonts w:ascii="宋体" w:eastAsia="宋体" w:hAnsi="宋体" w:cs="宋体" w:hint="eastAsia"/>
          <w:color w:val="auto"/>
          <w:sz w:val="24"/>
          <w:szCs w:val="24"/>
        </w:rPr>
        <w:t>t汽车吊。在</w:t>
      </w:r>
      <w:r>
        <w:rPr>
          <w:rFonts w:ascii="宋体" w:eastAsia="宋体" w:hAnsi="宋体" w:cs="宋体" w:hint="eastAsia"/>
          <w:color w:val="auto"/>
          <w:sz w:val="24"/>
          <w:szCs w:val="24"/>
          <w:lang w:val="en-US" w:eastAsia="zh-CN"/>
        </w:rPr>
        <w:t>拆除</w:t>
      </w:r>
      <w:r>
        <w:rPr>
          <w:rFonts w:ascii="宋体" w:eastAsia="宋体" w:hAnsi="宋体" w:cs="宋体" w:hint="eastAsia"/>
          <w:color w:val="auto"/>
          <w:sz w:val="24"/>
          <w:szCs w:val="24"/>
        </w:rPr>
        <w:t>塔吊前，将</w:t>
      </w:r>
      <w:r>
        <w:rPr>
          <w:rFonts w:cs="宋体" w:hint="eastAsia"/>
          <w:color w:val="auto"/>
          <w:sz w:val="24"/>
          <w:szCs w:val="24"/>
          <w:lang w:val="en-US" w:eastAsia="zh-CN"/>
        </w:rPr>
        <w:t>基础</w:t>
      </w:r>
      <w:r>
        <w:rPr>
          <w:rFonts w:ascii="宋体" w:eastAsia="宋体" w:hAnsi="宋体" w:cs="宋体" w:hint="eastAsia"/>
          <w:color w:val="auto"/>
          <w:sz w:val="24"/>
          <w:szCs w:val="24"/>
        </w:rPr>
        <w:t>周围场地清理好，现场场地需满足汽车吊架设的要求，可以使用一台</w:t>
      </w:r>
      <w:r>
        <w:rPr>
          <w:rFonts w:ascii="宋体" w:eastAsia="宋体" w:hAnsi="宋体" w:cs="宋体" w:hint="eastAsia"/>
          <w:color w:val="auto"/>
          <w:sz w:val="24"/>
          <w:szCs w:val="24"/>
          <w:lang w:val="en-US" w:eastAsia="zh-CN"/>
        </w:rPr>
        <w:t>20</w:t>
      </w:r>
      <w:r>
        <w:rPr>
          <w:rFonts w:cs="宋体" w:hint="eastAsia"/>
          <w:color w:val="auto"/>
          <w:sz w:val="24"/>
          <w:szCs w:val="24"/>
          <w:lang w:val="en-US" w:eastAsia="zh-CN"/>
        </w:rPr>
        <w:t>0</w:t>
      </w:r>
      <w:r>
        <w:rPr>
          <w:rFonts w:ascii="宋体" w:eastAsia="宋体" w:hAnsi="宋体" w:cs="宋体" w:hint="eastAsia"/>
          <w:color w:val="auto"/>
          <w:sz w:val="24"/>
          <w:szCs w:val="24"/>
        </w:rPr>
        <w:t>t汽车吊，吊车性能见附表（汽车吊的最终选型需根据现场安装条件确定）</w:t>
      </w:r>
      <w:r>
        <w:rPr>
          <w:rFonts w:cs="宋体" w:hint="eastAsia"/>
          <w:color w:val="auto"/>
          <w:sz w:val="24"/>
          <w:szCs w:val="24"/>
          <w:lang w:eastAsia="zh-CN"/>
        </w:rPr>
        <w:t>。</w:t>
      </w:r>
    </w:p>
    <w:p>
      <w:pPr>
        <w:pStyle w:val="cscec8b"/>
        <w:numPr>
          <w:ilvl w:val="7"/>
          <w:numId w:val="0"/>
        </w:numPr>
        <w:bidi w:val="0"/>
        <w:ind w:left="0" w:firstLine="0" w:leftChars="0" w:firstLineChars="0"/>
        <w:rPr>
          <w:rFonts w:hint="eastAsia"/>
        </w:rPr>
      </w:pPr>
      <w:bookmarkStart w:id="65" w:name="_Toc19653"/>
      <w:bookmarkStart w:id="66" w:name="_Toc12105"/>
      <w:bookmarkStart w:id="67" w:name="_Toc13002"/>
      <w:bookmarkStart w:id="68" w:name="_Toc132396424"/>
      <w:bookmarkStart w:id="69" w:name="_Toc105923219"/>
      <w:bookmarkStart w:id="70" w:name="_Toc18477"/>
      <w:bookmarkStart w:id="71" w:name="_Toc14094"/>
      <w:bookmarkStart w:id="72" w:name="_Toc7837_WPSOffice_Level2"/>
      <w:bookmarkStart w:id="73" w:name="_Toc27894"/>
      <w:bookmarkStart w:id="74" w:name="_Toc9230"/>
      <w:bookmarkStart w:id="75" w:name="_Toc26330"/>
      <w:bookmarkStart w:id="76" w:name="_Toc29407"/>
      <w:bookmarkStart w:id="77" w:name="_Toc16006"/>
      <w:bookmarkStart w:id="78" w:name="_Toc11658"/>
      <w:bookmarkStart w:id="79" w:name="_Toc17143"/>
      <w:bookmarkStart w:id="80" w:name="_Toc4231"/>
      <w:bookmarkStart w:id="81" w:name="_Toc10012"/>
      <w:bookmarkStart w:id="82" w:name="_Toc22576"/>
      <w:r>
        <w:rPr>
          <w:rFonts w:ascii="黑体" w:eastAsia="黑体" w:hAnsi="黑体" w:cs="Times New Roman" w:hint="eastAsia"/>
          <w:b w:val="0"/>
          <w:i w:val="0"/>
          <w:kern w:val="2"/>
          <w:sz w:val="24"/>
          <w:szCs w:val="24"/>
          <w:lang w:val="en-US" w:eastAsia="zh-CN" w:bidi="ar-SA"/>
        </w:rPr>
        <w:t xml:space="preserve">表3.4-2  </w:t>
      </w:r>
      <w:r>
        <w:rPr>
          <w:rFonts w:hint="eastAsia"/>
        </w:rPr>
        <w:t xml:space="preserve"> 施工设备选型及有关计算</w:t>
      </w:r>
      <w:bookmarkEnd w:id="65"/>
      <w:bookmarkEnd w:id="66"/>
      <w:bookmarkEnd w:id="67"/>
      <w:bookmarkEnd w:id="68"/>
      <w:bookmarkEnd w:id="69"/>
      <w:bookmarkEnd w:id="70"/>
      <w:bookmarkEnd w:id="71"/>
      <w:r>
        <w:rPr>
          <w:rFonts w:hint="eastAsia"/>
        </w:rPr>
        <w:t xml:space="preserve"> </w:t>
      </w:r>
    </w:p>
    <w:tbl>
      <w:tblPr>
        <w:tblStyle w:val="TableNormal"/>
        <w:tblW w:w="92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772"/>
        <w:gridCol w:w="2182"/>
        <w:gridCol w:w="2620"/>
        <w:gridCol w:w="1014"/>
        <w:gridCol w:w="2691"/>
      </w:tblGrid>
      <w:tr>
        <w:tblPrEx>
          <w:tblW w:w="92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71"/>
          <w:jc w:val="center"/>
        </w:trPr>
        <w:tc>
          <w:tcPr>
            <w:tcW w:w="772" w:type="dxa"/>
            <w:vAlign w:val="center"/>
          </w:tcPr>
          <w:p>
            <w:pPr>
              <w:spacing w:line="360" w:lineRule="auto"/>
              <w:ind w:left="0" w:firstLine="0" w:leftChars="0" w:firstLineChars="0"/>
              <w:jc w:val="center"/>
              <w:rPr>
                <w:rFonts w:cs="宋体"/>
                <w:sz w:val="24"/>
              </w:rPr>
            </w:pPr>
            <w:r>
              <w:rPr>
                <w:rFonts w:ascii="宋体" w:hAnsi="宋体" w:cs="宋体" w:hint="eastAsia"/>
                <w:sz w:val="24"/>
              </w:rPr>
              <w:t>序号</w:t>
            </w:r>
          </w:p>
        </w:tc>
        <w:tc>
          <w:tcPr>
            <w:tcW w:w="2182" w:type="dxa"/>
            <w:vAlign w:val="center"/>
          </w:tcPr>
          <w:p>
            <w:pPr>
              <w:spacing w:line="360" w:lineRule="auto"/>
              <w:ind w:left="0" w:firstLine="0" w:leftChars="0" w:firstLineChars="0"/>
              <w:jc w:val="center"/>
              <w:rPr>
                <w:rFonts w:cs="宋体" w:hint="eastAsia"/>
                <w:sz w:val="24"/>
              </w:rPr>
            </w:pPr>
            <w:r>
              <w:rPr>
                <w:rFonts w:ascii="宋体" w:hAnsi="宋体" w:cs="宋体" w:hint="eastAsia"/>
                <w:sz w:val="24"/>
              </w:rPr>
              <w:t>名  称</w:t>
            </w:r>
          </w:p>
        </w:tc>
        <w:tc>
          <w:tcPr>
            <w:tcW w:w="2620" w:type="dxa"/>
            <w:vAlign w:val="center"/>
          </w:tcPr>
          <w:p>
            <w:pPr>
              <w:spacing w:line="360" w:lineRule="auto"/>
              <w:ind w:left="0" w:firstLine="0" w:leftChars="0" w:firstLineChars="0"/>
              <w:jc w:val="center"/>
              <w:rPr>
                <w:rFonts w:cs="宋体" w:hint="eastAsia"/>
                <w:sz w:val="24"/>
              </w:rPr>
            </w:pPr>
            <w:r>
              <w:rPr>
                <w:rFonts w:ascii="宋体" w:hAnsi="宋体" w:cs="宋体" w:hint="eastAsia"/>
                <w:sz w:val="24"/>
              </w:rPr>
              <w:t>规格/型号</w:t>
            </w:r>
          </w:p>
        </w:tc>
        <w:tc>
          <w:tcPr>
            <w:tcW w:w="1014" w:type="dxa"/>
            <w:vAlign w:val="center"/>
          </w:tcPr>
          <w:p>
            <w:pPr>
              <w:spacing w:line="360" w:lineRule="auto"/>
              <w:ind w:left="0" w:firstLine="0" w:leftChars="0" w:firstLineChars="0"/>
              <w:jc w:val="center"/>
              <w:rPr>
                <w:rFonts w:cs="宋体" w:hint="eastAsia"/>
                <w:sz w:val="24"/>
              </w:rPr>
            </w:pPr>
            <w:r>
              <w:rPr>
                <w:rFonts w:ascii="宋体" w:hAnsi="宋体" w:cs="宋体" w:hint="eastAsia"/>
                <w:sz w:val="24"/>
              </w:rPr>
              <w:t>数 量</w:t>
            </w:r>
          </w:p>
        </w:tc>
        <w:tc>
          <w:tcPr>
            <w:tcW w:w="2691" w:type="dxa"/>
            <w:vAlign w:val="center"/>
          </w:tcPr>
          <w:p>
            <w:pPr>
              <w:spacing w:line="360" w:lineRule="auto"/>
              <w:ind w:left="0" w:firstLine="0" w:leftChars="0" w:firstLineChars="0"/>
              <w:jc w:val="center"/>
              <w:rPr>
                <w:rFonts w:cs="宋体" w:hint="eastAsia"/>
                <w:sz w:val="24"/>
              </w:rPr>
            </w:pPr>
            <w:r>
              <w:rPr>
                <w:rFonts w:ascii="宋体" w:hAnsi="宋体" w:cs="宋体" w:hint="eastAsia"/>
                <w:sz w:val="24"/>
              </w:rPr>
              <w:t>备注</w:t>
            </w:r>
          </w:p>
        </w:tc>
      </w:tr>
      <w:tr>
        <w:tblPrEx>
          <w:tblW w:w="9279" w:type="dxa"/>
          <w:jc w:val="center"/>
          <w:tblLayout w:type="fixed"/>
          <w:tblCellMar>
            <w:top w:w="0" w:type="dxa"/>
            <w:left w:w="108" w:type="dxa"/>
            <w:bottom w:w="0" w:type="dxa"/>
            <w:right w:w="108" w:type="dxa"/>
          </w:tblCellMar>
        </w:tblPrEx>
        <w:trPr>
          <w:trHeight w:val="250"/>
          <w:jc w:val="center"/>
        </w:trPr>
        <w:tc>
          <w:tcPr>
            <w:tcW w:w="772" w:type="dxa"/>
            <w:vAlign w:val="center"/>
          </w:tcPr>
          <w:p>
            <w:pPr>
              <w:spacing w:line="360" w:lineRule="auto"/>
              <w:jc w:val="center"/>
              <w:rPr>
                <w:rFonts w:cs="宋体"/>
                <w:sz w:val="24"/>
              </w:rPr>
            </w:pPr>
            <w:r>
              <w:rPr>
                <w:rFonts w:ascii="宋体" w:hAnsi="宋体" w:cs="宋体" w:hint="eastAsia"/>
                <w:sz w:val="24"/>
              </w:rPr>
              <w:t>1</w:t>
            </w:r>
          </w:p>
        </w:tc>
        <w:tc>
          <w:tcPr>
            <w:tcW w:w="2182" w:type="dxa"/>
            <w:vAlign w:val="center"/>
          </w:tcPr>
          <w:p>
            <w:pPr>
              <w:spacing w:line="360" w:lineRule="auto"/>
              <w:ind w:left="0" w:firstLine="0" w:leftChars="0" w:firstLineChars="0"/>
              <w:jc w:val="center"/>
              <w:rPr>
                <w:rFonts w:cs="宋体" w:hint="eastAsia"/>
                <w:sz w:val="24"/>
              </w:rPr>
            </w:pPr>
            <w:r>
              <w:rPr>
                <w:rFonts w:cs="宋体" w:hint="eastAsia"/>
                <w:sz w:val="24"/>
                <w:lang w:val="en-US" w:eastAsia="zh-CN"/>
              </w:rPr>
              <w:t>20</w:t>
            </w:r>
            <w:r>
              <w:rPr>
                <w:rFonts w:ascii="宋体" w:hAnsi="宋体" w:cs="宋体" w:hint="eastAsia"/>
                <w:sz w:val="24"/>
              </w:rPr>
              <w:t>0t汽车吊</w:t>
            </w:r>
          </w:p>
        </w:tc>
        <w:tc>
          <w:tcPr>
            <w:tcW w:w="2620" w:type="dxa"/>
            <w:vAlign w:val="center"/>
          </w:tcPr>
          <w:p>
            <w:pPr>
              <w:spacing w:line="360" w:lineRule="auto"/>
              <w:ind w:left="0" w:firstLine="0" w:leftChars="0" w:firstLineChars="0"/>
              <w:jc w:val="center"/>
              <w:rPr>
                <w:rFonts w:cs="宋体" w:hint="default"/>
                <w:sz w:val="24"/>
              </w:rPr>
            </w:pPr>
            <w:r>
              <w:rPr>
                <w:rFonts w:ascii="宋体" w:hAnsi="宋体" w:cs="宋体" w:hint="eastAsia"/>
                <w:sz w:val="24"/>
              </w:rPr>
              <w:t>Q</w:t>
            </w:r>
            <w:r>
              <w:rPr>
                <w:rFonts w:cs="宋体" w:hint="eastAsia"/>
                <w:sz w:val="24"/>
                <w:lang w:val="en-US" w:eastAsia="zh-CN"/>
              </w:rPr>
              <w:t>A</w:t>
            </w:r>
            <w:r>
              <w:rPr>
                <w:rFonts w:ascii="宋体" w:hAnsi="宋体" w:cs="宋体" w:hint="eastAsia"/>
                <w:sz w:val="24"/>
              </w:rPr>
              <w:t>Y</w:t>
            </w:r>
            <w:r>
              <w:rPr>
                <w:rFonts w:cs="宋体" w:hint="eastAsia"/>
                <w:sz w:val="24"/>
                <w:lang w:val="en-US" w:eastAsia="zh-CN"/>
              </w:rPr>
              <w:t>200</w:t>
            </w:r>
          </w:p>
        </w:tc>
        <w:tc>
          <w:tcPr>
            <w:tcW w:w="1014" w:type="dxa"/>
            <w:vAlign w:val="center"/>
          </w:tcPr>
          <w:p>
            <w:pPr>
              <w:spacing w:line="360" w:lineRule="auto"/>
              <w:ind w:left="0" w:firstLine="0" w:leftChars="0" w:firstLineChars="0"/>
              <w:jc w:val="center"/>
              <w:rPr>
                <w:rFonts w:cs="宋体" w:hint="eastAsia"/>
                <w:sz w:val="24"/>
              </w:rPr>
            </w:pPr>
            <w:r>
              <w:rPr>
                <w:rFonts w:ascii="宋体" w:hAnsi="宋体" w:cs="宋体" w:hint="eastAsia"/>
                <w:sz w:val="24"/>
              </w:rPr>
              <w:t>1台</w:t>
            </w:r>
          </w:p>
        </w:tc>
        <w:tc>
          <w:tcPr>
            <w:tcW w:w="2691" w:type="dxa"/>
            <w:vAlign w:val="center"/>
          </w:tcPr>
          <w:p>
            <w:pPr>
              <w:spacing w:line="360" w:lineRule="auto"/>
              <w:ind w:left="0" w:firstLine="0" w:leftChars="0" w:firstLineChars="0"/>
              <w:jc w:val="center"/>
              <w:rPr>
                <w:rFonts w:cs="宋体" w:hint="eastAsia"/>
                <w:sz w:val="24"/>
              </w:rPr>
            </w:pPr>
          </w:p>
        </w:tc>
      </w:tr>
    </w:tbl>
    <w:p>
      <w:pPr>
        <w:pStyle w:val="cscec8b"/>
        <w:numPr>
          <w:ilvl w:val="7"/>
          <w:numId w:val="0"/>
        </w:numPr>
        <w:bidi w:val="0"/>
        <w:ind w:left="0" w:firstLine="0" w:leftChars="0" w:firstLineChars="0"/>
        <w:rPr>
          <w:rFonts w:hint="eastAsia"/>
        </w:rPr>
      </w:pPr>
      <w:r>
        <w:rPr>
          <w:rFonts w:ascii="黑体" w:eastAsia="黑体" w:hAnsi="黑体" w:cs="Times New Roman" w:hint="eastAsia"/>
          <w:b w:val="0"/>
          <w:i w:val="0"/>
          <w:kern w:val="2"/>
          <w:sz w:val="24"/>
          <w:szCs w:val="24"/>
          <w:lang w:val="en-US" w:eastAsia="zh-CN" w:bidi="ar-SA"/>
        </w:rPr>
        <w:t xml:space="preserve">表3.4-3  </w:t>
      </w:r>
      <w:r>
        <w:rPr>
          <w:rFonts w:hint="eastAsia"/>
        </w:rPr>
        <w:t>钢丝绳8倍安全系数载荷表（型号：6×37+FC，公称抗拉强度1770N/㎜²）</w:t>
      </w:r>
    </w:p>
    <w:tbl>
      <w:tblPr>
        <w:tblStyle w:val="TableNormal"/>
        <w:tblW w:w="928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881"/>
        <w:gridCol w:w="936"/>
        <w:gridCol w:w="880"/>
        <w:gridCol w:w="992"/>
        <w:gridCol w:w="936"/>
        <w:gridCol w:w="936"/>
        <w:gridCol w:w="936"/>
        <w:gridCol w:w="936"/>
        <w:gridCol w:w="848"/>
      </w:tblGrid>
      <w:tr>
        <w:tblPrEx>
          <w:tblW w:w="928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21"/>
          <w:jc w:val="center"/>
        </w:trPr>
        <w:tc>
          <w:tcPr>
            <w:tcW w:w="1881" w:type="dxa"/>
            <w:tcBorders>
              <w:top w:val="single" w:sz="12" w:space="0" w:color="auto"/>
              <w:left w:val="single" w:sz="12"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钢丝绳直径(mm)</w:t>
            </w:r>
          </w:p>
        </w:tc>
        <w:tc>
          <w:tcPr>
            <w:tcW w:w="936" w:type="dxa"/>
            <w:tcBorders>
              <w:top w:val="single" w:sz="12"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18</w:t>
            </w:r>
          </w:p>
        </w:tc>
        <w:tc>
          <w:tcPr>
            <w:tcW w:w="880" w:type="dxa"/>
            <w:tcBorders>
              <w:top w:val="single" w:sz="12"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20</w:t>
            </w:r>
          </w:p>
        </w:tc>
        <w:tc>
          <w:tcPr>
            <w:tcW w:w="992" w:type="dxa"/>
            <w:tcBorders>
              <w:top w:val="single" w:sz="12"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24</w:t>
            </w:r>
          </w:p>
        </w:tc>
        <w:tc>
          <w:tcPr>
            <w:tcW w:w="936" w:type="dxa"/>
            <w:tcBorders>
              <w:top w:val="single" w:sz="12"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26</w:t>
            </w:r>
          </w:p>
        </w:tc>
        <w:tc>
          <w:tcPr>
            <w:tcW w:w="936" w:type="dxa"/>
            <w:tcBorders>
              <w:top w:val="single" w:sz="12"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30</w:t>
            </w:r>
          </w:p>
        </w:tc>
        <w:tc>
          <w:tcPr>
            <w:tcW w:w="936" w:type="dxa"/>
            <w:tcBorders>
              <w:top w:val="single" w:sz="12"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32</w:t>
            </w:r>
          </w:p>
        </w:tc>
        <w:tc>
          <w:tcPr>
            <w:tcW w:w="936" w:type="dxa"/>
            <w:tcBorders>
              <w:top w:val="single" w:sz="12"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36</w:t>
            </w:r>
          </w:p>
        </w:tc>
        <w:tc>
          <w:tcPr>
            <w:tcW w:w="848" w:type="dxa"/>
            <w:tcBorders>
              <w:top w:val="single" w:sz="12" w:space="0" w:color="auto"/>
              <w:left w:val="single" w:sz="4" w:space="0" w:color="auto"/>
              <w:bottom w:val="single" w:sz="4" w:space="0" w:color="auto"/>
              <w:right w:val="single" w:sz="12"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40</w:t>
            </w:r>
          </w:p>
        </w:tc>
      </w:tr>
      <w:tr>
        <w:tblPrEx>
          <w:tblW w:w="9281" w:type="dxa"/>
          <w:jc w:val="center"/>
          <w:tblLayout w:type="fixed"/>
          <w:tblCellMar>
            <w:top w:w="0" w:type="dxa"/>
            <w:left w:w="108" w:type="dxa"/>
            <w:bottom w:w="0" w:type="dxa"/>
            <w:right w:w="108" w:type="dxa"/>
          </w:tblCellMar>
        </w:tblPrEx>
        <w:trPr>
          <w:trHeight w:val="673"/>
          <w:jc w:val="center"/>
        </w:trPr>
        <w:tc>
          <w:tcPr>
            <w:tcW w:w="1881" w:type="dxa"/>
            <w:tcBorders>
              <w:top w:val="single" w:sz="4" w:space="0" w:color="auto"/>
              <w:left w:val="single" w:sz="12"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起吊重量(t)</w:t>
            </w:r>
          </w:p>
        </w:tc>
        <w:tc>
          <w:tcPr>
            <w:tcW w:w="936"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2.16</w:t>
            </w:r>
          </w:p>
        </w:tc>
        <w:tc>
          <w:tcPr>
            <w:tcW w:w="880"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2.67</w:t>
            </w:r>
          </w:p>
        </w:tc>
        <w:tc>
          <w:tcPr>
            <w:tcW w:w="99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3.84</w:t>
            </w:r>
          </w:p>
        </w:tc>
        <w:tc>
          <w:tcPr>
            <w:tcW w:w="936"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4.5</w:t>
            </w:r>
          </w:p>
        </w:tc>
        <w:tc>
          <w:tcPr>
            <w:tcW w:w="936"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5.99</w:t>
            </w:r>
          </w:p>
        </w:tc>
        <w:tc>
          <w:tcPr>
            <w:tcW w:w="936"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6.82</w:t>
            </w:r>
          </w:p>
        </w:tc>
        <w:tc>
          <w:tcPr>
            <w:tcW w:w="936"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8.64</w:t>
            </w:r>
          </w:p>
        </w:tc>
        <w:tc>
          <w:tcPr>
            <w:tcW w:w="848" w:type="dxa"/>
            <w:tcBorders>
              <w:top w:val="single" w:sz="4" w:space="0" w:color="auto"/>
              <w:left w:val="single" w:sz="4" w:space="0" w:color="auto"/>
              <w:bottom w:val="single" w:sz="4" w:space="0" w:color="auto"/>
              <w:right w:val="single" w:sz="12" w:space="0" w:color="auto"/>
            </w:tcBorders>
            <w:vAlign w:val="center"/>
          </w:tcPr>
          <w:p>
            <w:pPr>
              <w:spacing w:line="360" w:lineRule="auto"/>
              <w:ind w:left="0" w:firstLine="0" w:leftChars="0" w:firstLineChars="0"/>
              <w:jc w:val="center"/>
              <w:rPr>
                <w:rFonts w:cs="宋体" w:hint="eastAsia"/>
                <w:sz w:val="24"/>
              </w:rPr>
            </w:pPr>
            <w:r>
              <w:rPr>
                <w:rFonts w:ascii="宋体" w:hAnsi="宋体" w:cs="宋体" w:hint="eastAsia"/>
                <w:sz w:val="24"/>
              </w:rPr>
              <w:t>10.65</w:t>
            </w:r>
          </w:p>
        </w:tc>
      </w:tr>
    </w:tbl>
    <w:p>
      <w:pPr>
        <w:pStyle w:val="cscec8b"/>
        <w:numPr>
          <w:ilvl w:val="7"/>
          <w:numId w:val="0"/>
        </w:numPr>
        <w:bidi w:val="0"/>
        <w:ind w:left="0" w:firstLine="0" w:leftChars="0" w:firstLineChars="0"/>
        <w:rPr>
          <w:rFonts w:hint="eastAsia"/>
        </w:rPr>
      </w:pPr>
      <w:r>
        <w:rPr>
          <w:rFonts w:ascii="黑体" w:eastAsia="黑体" w:hAnsi="黑体" w:cs="Times New Roman" w:hint="eastAsia"/>
          <w:b w:val="0"/>
          <w:i w:val="0"/>
          <w:kern w:val="2"/>
          <w:sz w:val="24"/>
          <w:szCs w:val="24"/>
          <w:lang w:val="en-US" w:eastAsia="zh-CN" w:bidi="ar-SA"/>
        </w:rPr>
        <w:t xml:space="preserve">表3.4-4  </w:t>
      </w:r>
      <w:r>
        <w:rPr>
          <w:rFonts w:cs="Times New Roman" w:hint="eastAsia"/>
          <w:b w:val="0"/>
          <w:i w:val="0"/>
          <w:kern w:val="2"/>
          <w:sz w:val="24"/>
          <w:szCs w:val="24"/>
          <w:lang w:val="en-US" w:eastAsia="zh-CN" w:bidi="ar-SA"/>
        </w:rPr>
        <w:t>20</w:t>
      </w:r>
      <w:r>
        <w:rPr>
          <w:rFonts w:hint="eastAsia"/>
        </w:rPr>
        <w:t xml:space="preserve">0吨汽车吊性能表： </w:t>
      </w:r>
    </w:p>
    <w:p>
      <w:pPr>
        <w:pStyle w:val="BodyTextFirstIndent2"/>
        <w:spacing w:after="0" w:line="360" w:lineRule="auto"/>
        <w:ind w:left="240" w:hanging="240" w:leftChars="0" w:hangingChars="100"/>
        <w:jc w:val="center"/>
        <w:rPr>
          <w:rFonts w:ascii="宋体" w:hAnsi="宋体" w:cs="宋体" w:hint="eastAsia"/>
          <w:sz w:val="24"/>
        </w:rPr>
      </w:pPr>
      <w:r>
        <w:rPr>
          <w:rFonts w:ascii="宋体" w:hAnsi="宋体" w:cs="宋体" w:hint="eastAsia"/>
          <w:sz w:val="24"/>
        </w:rPr>
        <w:drawing>
          <wp:inline distT="0" distB="0" distL="114300" distR="114300">
            <wp:extent cx="4210050" cy="3403600"/>
            <wp:effectExtent l="0" t="0" r="0" b="6350"/>
            <wp:docPr id="7" name="图片 7" descr="200t汽车吊性能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00t汽车吊性能表"/>
                    <pic:cNvPicPr>
                      <a:picLocks noChangeAspect="1"/>
                    </pic:cNvPicPr>
                  </pic:nvPicPr>
                  <pic:blipFill>
                    <a:blip xmlns:r="http://schemas.openxmlformats.org/officeDocument/2006/relationships" r:embed="rId23"/>
                    <a:stretch>
                      <a:fillRect/>
                    </a:stretch>
                  </pic:blipFill>
                  <pic:spPr>
                    <a:xfrm>
                      <a:off x="0" y="0"/>
                      <a:ext cx="4210050" cy="3403600"/>
                    </a:xfrm>
                    <a:prstGeom prst="rect">
                      <a:avLst/>
                    </a:prstGeom>
                  </pic:spPr>
                </pic:pic>
              </a:graphicData>
            </a:graphic>
          </wp:inline>
        </w:drawing>
      </w:r>
    </w:p>
    <w:p>
      <w:pPr>
        <w:pStyle w:val="BodyTextFirstIndent2"/>
        <w:spacing w:after="0" w:line="360" w:lineRule="auto"/>
        <w:ind w:left="240" w:hanging="240" w:leftChars="0" w:hangingChars="100"/>
        <w:rPr>
          <w:rFonts w:ascii="宋体" w:hAnsi="宋体" w:cs="宋体"/>
          <w:sz w:val="24"/>
        </w:rPr>
      </w:pPr>
      <w:r>
        <w:rPr>
          <w:rFonts w:cs="宋体" w:hint="eastAsia"/>
          <w:sz w:val="24"/>
          <w:lang w:val="en-US" w:eastAsia="zh-CN"/>
        </w:rPr>
        <w:t>20</w:t>
      </w:r>
      <w:r>
        <w:rPr>
          <w:rFonts w:ascii="宋体" w:hAnsi="宋体" w:cs="宋体" w:hint="eastAsia"/>
          <w:sz w:val="24"/>
        </w:rPr>
        <w:t>0吨汽车吊起重臂长度为</w:t>
      </w:r>
      <w:r>
        <w:rPr>
          <w:rFonts w:cs="宋体" w:hint="eastAsia"/>
          <w:sz w:val="24"/>
          <w:lang w:val="en-US" w:eastAsia="zh-CN"/>
        </w:rPr>
        <w:t>60</w:t>
      </w:r>
      <w:r>
        <w:rPr>
          <w:rFonts w:ascii="宋体" w:hAnsi="宋体" w:cs="宋体" w:hint="eastAsia"/>
          <w:sz w:val="24"/>
        </w:rPr>
        <w:t>m，吊装半径</w:t>
      </w:r>
      <w:r>
        <w:rPr>
          <w:rFonts w:cs="宋体" w:hint="eastAsia"/>
          <w:sz w:val="24"/>
          <w:lang w:val="en-US" w:eastAsia="zh-CN"/>
        </w:rPr>
        <w:t>45</w:t>
      </w:r>
      <w:r>
        <w:rPr>
          <w:rFonts w:ascii="宋体" w:hAnsi="宋体" w:cs="宋体" w:hint="eastAsia"/>
          <w:sz w:val="24"/>
        </w:rPr>
        <w:t>m,最大吊重</w:t>
      </w:r>
      <w:r>
        <w:rPr>
          <w:rFonts w:cs="宋体" w:hint="eastAsia"/>
          <w:sz w:val="24"/>
          <w:lang w:val="en-US" w:eastAsia="zh-CN"/>
        </w:rPr>
        <w:t>6.3</w:t>
      </w:r>
      <w:r>
        <w:rPr>
          <w:rFonts w:ascii="宋体" w:hAnsi="宋体" w:cs="宋体" w:hint="eastAsia"/>
          <w:sz w:val="24"/>
        </w:rPr>
        <w:t>t。</w:t>
      </w:r>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sectPr>
          <w:footerReference w:type="default" r:id="rId24"/>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3"/>
          <w:cols w:num="1" w:space="1680"/>
          <w:titlePg w:val="0"/>
          <w:docGrid w:linePitch="326" w:charSpace="59452"/>
        </w:sectPr>
      </w:pPr>
      <w:r>
        <w:rPr>
          <w:rFonts w:ascii="宋体" w:eastAsia="宋体" w:hAnsi="宋体" w:cs="宋体" w:hint="eastAsia"/>
          <w:color w:val="auto"/>
          <w:sz w:val="24"/>
          <w:szCs w:val="24"/>
        </w:rPr>
        <w:t>3、钢丝绳的使用要求</w:t>
      </w:r>
      <w:bookmarkEnd w:id="72"/>
      <w:bookmarkEnd w:id="73"/>
      <w:bookmarkEnd w:id="74"/>
      <w:bookmarkEnd w:id="75"/>
      <w:bookmarkEnd w:id="76"/>
      <w:bookmarkEnd w:id="77"/>
      <w:bookmarkEnd w:id="78"/>
      <w:bookmarkEnd w:id="79"/>
      <w:bookmarkEnd w:id="80"/>
      <w:bookmarkEnd w:id="81"/>
      <w:bookmarkEnd w:id="82"/>
    </w:p>
    <w:p>
      <w:pPr>
        <w:keepNext w:val="0"/>
        <w:keepLines w:val="0"/>
        <w:pageBreakBefore w:val="0"/>
        <w:kinsoku/>
        <w:wordWrap/>
        <w:topLinePunct w:val="0"/>
        <w:autoSpaceDE/>
        <w:autoSpaceDN/>
        <w:bidi w:val="0"/>
        <w:adjustRightInd w:val="0"/>
        <w:snapToGrid w:val="0"/>
        <w:spacing w:line="360" w:lineRule="auto"/>
        <w:ind w:firstLine="480"/>
        <w:textAlignment w:val="auto"/>
        <w:rPr>
          <w:rFonts w:cs="宋体" w:hint="eastAsia"/>
          <w:color w:val="auto"/>
          <w:sz w:val="24"/>
          <w:szCs w:val="24"/>
        </w:rPr>
      </w:pPr>
      <w:r>
        <w:rPr>
          <w:rFonts w:ascii="宋体" w:eastAsia="宋体" w:hAnsi="宋体" w:cs="宋体" w:hint="eastAsia"/>
          <w:color w:val="auto"/>
          <w:sz w:val="24"/>
          <w:szCs w:val="24"/>
        </w:rPr>
        <w:t>按照国家标准《起重机钢丝绳保养、维护、安装、检验和报废》的要求搞好钢丝绳的检查和更换。所选用的钢丝绳必须严格按照《起重机钢丝绳保养、维护、安装、检验和报废》中3.5报废标准进行报废，禁止使用报废钢丝绳。</w:t>
      </w:r>
    </w:p>
    <w:p>
      <w:pPr>
        <w:pStyle w:val="cscec81"/>
        <w:numPr>
          <w:ilvl w:val="0"/>
          <w:numId w:val="0"/>
        </w:numPr>
        <w:bidi w:val="0"/>
        <w:ind w:left="0" w:firstLine="0" w:leftChars="0" w:firstLineChars="0"/>
        <w:rPr>
          <w:rFonts w:cs="黑体" w:hint="eastAsia"/>
          <w:b w:val="0"/>
          <w:i w:val="0"/>
          <w:caps w:val="0"/>
          <w:strike w:val="0"/>
          <w:dstrike w:val="0"/>
          <w:vanish w:val="0"/>
          <w:color w:val="auto"/>
          <w:sz w:val="32"/>
          <w:szCs w:val="32"/>
          <w:u w:val="none"/>
          <w:vertAlign w:val="baseline"/>
        </w:rPr>
      </w:pPr>
      <w:bookmarkStart w:id="83" w:name="_Toc26514"/>
      <w:r>
        <w:rPr>
          <w:rFonts w:ascii="黑体" w:eastAsia="黑体" w:hAnsi="黑体" w:cs="黑体" w:hint="eastAsia"/>
          <w:b w:val="0"/>
          <w:i w:val="0"/>
          <w:caps w:val="0"/>
          <w:strike w:val="0"/>
          <w:dstrike w:val="0"/>
          <w:vanish w:val="0"/>
          <w:color w:val="auto"/>
          <w:kern w:val="2"/>
          <w:sz w:val="32"/>
          <w:szCs w:val="32"/>
          <w:u w:val="none"/>
          <w:vertAlign w:val="baseline"/>
          <w:lang w:val="en-US" w:eastAsia="zh-CN" w:bidi="ar-SA"/>
        </w:rPr>
        <w:t>第</w:t>
      </w:r>
      <w:r>
        <w:rPr>
          <w:rFonts w:cs="黑体" w:hint="eastAsia"/>
          <w:b w:val="0"/>
          <w:i w:val="0"/>
          <w:caps w:val="0"/>
          <w:strike w:val="0"/>
          <w:dstrike w:val="0"/>
          <w:vanish w:val="0"/>
          <w:color w:val="auto"/>
          <w:kern w:val="2"/>
          <w:sz w:val="32"/>
          <w:szCs w:val="32"/>
          <w:u w:val="none"/>
          <w:vertAlign w:val="baseline"/>
          <w:lang w:val="en-US" w:eastAsia="zh-CN" w:bidi="ar-SA"/>
        </w:rPr>
        <w:t>四</w:t>
      </w:r>
      <w:r>
        <w:rPr>
          <w:rFonts w:ascii="黑体" w:eastAsia="黑体" w:hAnsi="黑体" w:cs="黑体" w:hint="eastAsia"/>
          <w:b w:val="0"/>
          <w:i w:val="0"/>
          <w:caps w:val="0"/>
          <w:strike w:val="0"/>
          <w:dstrike w:val="0"/>
          <w:vanish w:val="0"/>
          <w:color w:val="auto"/>
          <w:kern w:val="2"/>
          <w:sz w:val="32"/>
          <w:szCs w:val="32"/>
          <w:u w:val="none"/>
          <w:vertAlign w:val="baseline"/>
          <w:lang w:val="en-US" w:eastAsia="zh-CN" w:bidi="ar-SA"/>
        </w:rPr>
        <w:t>章  施工工艺流程</w:t>
      </w:r>
      <w:bookmarkEnd w:id="83"/>
    </w:p>
    <w:p>
      <w:pPr>
        <w:pStyle w:val="Heading2"/>
        <w:keepNext/>
        <w:keepLines/>
        <w:pageBreakBefore w:val="0"/>
        <w:widowControl w:val="0"/>
        <w:kinsoku/>
        <w:wordWrap/>
        <w:overflowPunct/>
        <w:topLinePunct w:val="0"/>
        <w:autoSpaceDE/>
        <w:autoSpaceDN/>
        <w:bidi w:val="0"/>
        <w:adjustRightInd w:val="0"/>
        <w:snapToGrid w:val="0"/>
        <w:spacing w:line="360" w:lineRule="auto"/>
        <w:textAlignment w:val="auto"/>
        <w:rPr>
          <w:rFonts w:cs="Times New Roman" w:hint="eastAsia"/>
          <w:b w:val="0"/>
          <w:i w:val="0"/>
          <w:caps w:val="0"/>
          <w:strike w:val="0"/>
          <w:dstrike w:val="0"/>
          <w:vanish w:val="0"/>
          <w:color w:val="auto"/>
          <w:kern w:val="2"/>
          <w:sz w:val="28"/>
          <w:szCs w:val="28"/>
          <w:u w:val="none"/>
          <w:vertAlign w:val="baseline"/>
          <w:lang w:val="en-US" w:eastAsia="zh-CN" w:bidi="ar-SA"/>
        </w:rPr>
      </w:pPr>
      <w:bookmarkStart w:id="84" w:name="_Toc23553"/>
      <w:bookmarkStart w:id="85" w:name="_Toc14066_WPSOffice_Level2"/>
      <w:bookmarkStart w:id="86" w:name="_Toc30236"/>
      <w:bookmarkStart w:id="87" w:name="_Toc8353"/>
      <w:bookmarkStart w:id="88" w:name="_Toc17206"/>
      <w:r>
        <w:rPr>
          <w:rFonts w:cs="Times New Roman" w:hint="eastAsia"/>
          <w:b w:val="0"/>
          <w:i w:val="0"/>
          <w:caps w:val="0"/>
          <w:strike w:val="0"/>
          <w:dstrike w:val="0"/>
          <w:vanish w:val="0"/>
          <w:color w:val="auto"/>
          <w:kern w:val="2"/>
          <w:sz w:val="28"/>
          <w:szCs w:val="28"/>
          <w:u w:val="none"/>
          <w:vertAlign w:val="baseline"/>
          <w:lang w:val="en-US" w:eastAsia="zh-CN" w:bidi="ar-SA"/>
        </w:rPr>
        <w:t>4</w:t>
      </w:r>
      <w:r>
        <w:rPr>
          <w:rFonts w:cs="Times New Roman" w:hint="default"/>
          <w:b w:val="0"/>
          <w:i w:val="0"/>
          <w:caps w:val="0"/>
          <w:strike w:val="0"/>
          <w:dstrike w:val="0"/>
          <w:vanish w:val="0"/>
          <w:color w:val="auto"/>
          <w:kern w:val="2"/>
          <w:sz w:val="28"/>
          <w:szCs w:val="28"/>
          <w:u w:val="none"/>
          <w:vertAlign w:val="baseline"/>
          <w:lang w:val="en-US" w:eastAsia="zh-CN" w:bidi="ar-SA"/>
        </w:rPr>
        <w:t xml:space="preserve">.1  </w:t>
      </w:r>
      <w:r>
        <w:rPr>
          <w:rFonts w:cs="Times New Roman" w:hint="eastAsia"/>
          <w:b w:val="0"/>
          <w:i w:val="0"/>
          <w:caps w:val="0"/>
          <w:strike w:val="0"/>
          <w:dstrike w:val="0"/>
          <w:vanish w:val="0"/>
          <w:color w:val="auto"/>
          <w:kern w:val="2"/>
          <w:sz w:val="28"/>
          <w:szCs w:val="28"/>
          <w:u w:val="none"/>
          <w:vertAlign w:val="baseline"/>
          <w:lang w:val="en-US" w:eastAsia="zh-CN" w:bidi="ar-SA"/>
        </w:rPr>
        <w:t>技术参数</w:t>
      </w:r>
      <w:bookmarkEnd w:id="84"/>
      <w:bookmarkEnd w:id="85"/>
      <w:bookmarkEnd w:id="86"/>
      <w:bookmarkEnd w:id="87"/>
      <w:bookmarkEnd w:id="88"/>
    </w:p>
    <w:p>
      <w:pPr>
        <w:pStyle w:val="cscec83"/>
        <w:numPr>
          <w:ilvl w:val="2"/>
          <w:numId w:val="0"/>
        </w:numPr>
        <w:bidi w:val="0"/>
        <w:ind w:left="0" w:firstLine="0" w:leftChars="0" w:firstLineChars="0"/>
      </w:pPr>
      <w:bookmarkStart w:id="89" w:name="_Toc21805"/>
      <w:bookmarkStart w:id="90" w:name="_Toc8670"/>
      <w:bookmarkStart w:id="91" w:name="_Toc26499"/>
      <w:r>
        <w:rPr>
          <w:rFonts w:cs="Times New Roman" w:hint="eastAsia"/>
          <w:b w:val="0"/>
          <w:i w:val="0"/>
          <w:caps w:val="0"/>
          <w:strike w:val="0"/>
          <w:dstrike w:val="0"/>
          <w:vanish w:val="0"/>
          <w:color w:val="auto"/>
          <w:kern w:val="2"/>
          <w:sz w:val="24"/>
          <w:szCs w:val="21"/>
          <w:u w:val="none"/>
          <w:vertAlign w:val="baseline"/>
          <w:lang w:val="en-US" w:eastAsia="zh-CN" w:bidi="ar-SA"/>
        </w:rPr>
        <w:t>4</w:t>
      </w:r>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.1.1  </w:t>
      </w:r>
      <w:r>
        <w:rPr>
          <w:rFonts w:hint="eastAsia"/>
        </w:rPr>
        <w:t>各型塔式起重机整机外形尺寸</w:t>
      </w:r>
      <w:bookmarkEnd w:id="89"/>
      <w:bookmarkEnd w:id="90"/>
      <w:bookmarkEnd w:id="91"/>
    </w:p>
    <w:p>
      <w:pPr>
        <w:jc w:val="center"/>
      </w:pPr>
      <w:r>
        <w:drawing>
          <wp:inline distT="0" distB="0" distL="114300" distR="114300">
            <wp:extent cx="5756275" cy="4403725"/>
            <wp:effectExtent l="0" t="0" r="15875" b="15875"/>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pic:cNvPicPr>
                      <a:picLocks noChangeAspect="1"/>
                    </pic:cNvPicPr>
                  </pic:nvPicPr>
                  <pic:blipFill>
                    <a:blip xmlns:r="http://schemas.openxmlformats.org/officeDocument/2006/relationships" r:embed="rId25"/>
                    <a:stretch>
                      <a:fillRect/>
                    </a:stretch>
                  </pic:blipFill>
                  <pic:spPr>
                    <a:xfrm>
                      <a:off x="0" y="0"/>
                      <a:ext cx="5756275" cy="4403725"/>
                    </a:xfrm>
                    <a:prstGeom prst="rect">
                      <a:avLst/>
                    </a:prstGeom>
                    <a:noFill/>
                    <a:ln>
                      <a:noFill/>
                    </a:ln>
                  </pic:spPr>
                </pic:pic>
              </a:graphicData>
            </a:graphic>
          </wp:inline>
        </w:drawing>
      </w:r>
    </w:p>
    <w:p>
      <w:pPr>
        <w:spacing w:line="240" w:lineRule="auto"/>
        <w:jc w:val="center"/>
      </w:pPr>
      <w:r>
        <w:rPr>
          <w:rFonts w:hint="eastAsia"/>
          <w:b/>
          <w:bCs/>
          <w:sz w:val="21"/>
          <w:szCs w:val="21"/>
        </w:rPr>
        <w:t>图4.1-1 QTZ</w:t>
      </w:r>
      <w:r>
        <w:rPr>
          <w:rFonts w:hint="eastAsia"/>
          <w:b/>
          <w:bCs/>
          <w:sz w:val="21"/>
          <w:szCs w:val="21"/>
          <w:lang w:val="en-US" w:eastAsia="zh-CN"/>
        </w:rPr>
        <w:t>160</w:t>
      </w:r>
      <w:r>
        <w:rPr>
          <w:rFonts w:hint="eastAsia"/>
          <w:b/>
          <w:bCs/>
          <w:sz w:val="21"/>
          <w:szCs w:val="21"/>
        </w:rPr>
        <w:t>(</w:t>
      </w:r>
      <w:r>
        <w:rPr>
          <w:rFonts w:hint="eastAsia"/>
          <w:b/>
          <w:bCs/>
          <w:sz w:val="21"/>
          <w:szCs w:val="21"/>
          <w:lang w:val="en-US" w:eastAsia="zh-CN"/>
        </w:rPr>
        <w:t>H6515</w:t>
      </w:r>
      <w:r>
        <w:rPr>
          <w:rFonts w:hint="eastAsia"/>
          <w:b/>
          <w:bCs/>
          <w:sz w:val="21"/>
          <w:szCs w:val="21"/>
        </w:rPr>
        <w:t>）【科技】外形尺寸</w:t>
      </w:r>
    </w:p>
    <w:p>
      <w:pPr>
        <w:pStyle w:val="cscec8b"/>
        <w:numPr>
          <w:ilvl w:val="7"/>
          <w:numId w:val="0"/>
        </w:numPr>
        <w:bidi w:val="0"/>
        <w:ind w:left="0" w:firstLine="0" w:leftChars="0" w:firstLineChars="0"/>
      </w:pPr>
      <w:bookmarkStart w:id="92" w:name="_Toc21403"/>
      <w:bookmarkStart w:id="93" w:name="_Toc29441"/>
      <w:bookmarkStart w:id="94" w:name="_Toc1179"/>
      <w:r>
        <w:rPr>
          <w:rFonts w:cs="Times New Roman" w:hint="eastAsia"/>
          <w:b w:val="0"/>
          <w:i w:val="0"/>
          <w:caps w:val="0"/>
          <w:strike w:val="0"/>
          <w:dstrike w:val="0"/>
          <w:vanish w:val="0"/>
          <w:color w:val="auto"/>
          <w:kern w:val="2"/>
          <w:sz w:val="24"/>
          <w:szCs w:val="21"/>
          <w:u w:val="none"/>
          <w:vertAlign w:val="baseline"/>
          <w:lang w:val="en-US" w:eastAsia="zh-CN" w:bidi="ar-SA"/>
        </w:rPr>
        <w:t>4</w:t>
      </w:r>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.1.2  </w:t>
      </w:r>
      <w:bookmarkEnd w:id="92"/>
      <w:bookmarkEnd w:id="93"/>
      <w:bookmarkEnd w:id="94"/>
      <w:r>
        <w:rPr>
          <w:rFonts w:hint="eastAsia"/>
        </w:rPr>
        <w:t>科技QTZ</w:t>
      </w:r>
      <w:r>
        <w:rPr>
          <w:rFonts w:hint="eastAsia"/>
          <w:lang w:val="en-US" w:eastAsia="zh-CN"/>
        </w:rPr>
        <w:t>160</w:t>
      </w:r>
      <w:r>
        <w:rPr>
          <w:rFonts w:hint="eastAsia"/>
        </w:rPr>
        <w:t>(</w:t>
      </w:r>
      <w:r>
        <w:rPr>
          <w:rFonts w:hint="eastAsia"/>
          <w:lang w:val="en-US" w:eastAsia="zh-CN"/>
        </w:rPr>
        <w:t>H6515</w:t>
      </w:r>
      <w:r>
        <w:rPr>
          <w:rFonts w:hint="eastAsia"/>
        </w:rPr>
        <w:t>)型塔式起重机主要部件重量明细表</w:t>
      </w:r>
    </w:p>
    <w:tbl>
      <w:tblPr>
        <w:tblStyle w:val="TableGrid0"/>
        <w:tblW w:w="9140" w:type="dxa"/>
        <w:tblInd w:w="0" w:type="dxa"/>
        <w:tblBorders>
          <w:top w:val="thinThickSmallGap" w:sz="24" w:space="0" w:color="auto"/>
          <w:left w:val="none" w:sz="0" w:space="0" w:color="auto"/>
          <w:bottom w:val="thinThickSmallGap" w:sz="2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01"/>
        <w:gridCol w:w="1841"/>
        <w:gridCol w:w="3130"/>
        <w:gridCol w:w="1400"/>
        <w:gridCol w:w="814"/>
        <w:gridCol w:w="1154"/>
      </w:tblGrid>
      <w:tr>
        <w:tblPrEx>
          <w:tblW w:w="9140" w:type="dxa"/>
          <w:tblInd w:w="0" w:type="dxa"/>
          <w:tblBorders>
            <w:top w:val="thinThickSmallGap" w:sz="24" w:space="0" w:color="auto"/>
            <w:left w:val="none" w:sz="0" w:space="0" w:color="auto"/>
            <w:bottom w:val="thinThickSmallGap" w:sz="2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442"/>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序号</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主要部件名称</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外形尺寸（m）/规格(L×B）</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单重（Kg）</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数量</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备注</w:t>
            </w:r>
          </w:p>
        </w:tc>
      </w:tr>
      <w:tr>
        <w:tblPrEx>
          <w:tblW w:w="9140" w:type="dxa"/>
          <w:tblInd w:w="0" w:type="dxa"/>
          <w:tblLayout w:type="fixed"/>
          <w:tblCellMar>
            <w:top w:w="0" w:type="dxa"/>
            <w:left w:w="108" w:type="dxa"/>
            <w:bottom w:w="0" w:type="dxa"/>
            <w:right w:w="108" w:type="dxa"/>
          </w:tblCellMar>
        </w:tblPrEx>
        <w:trPr>
          <w:trHeight w:val="221"/>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基础节</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2.065×2.065×2.84</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1430</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346"/>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2</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加强节</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1.96×2.0×2.8</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1250</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4</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346"/>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3</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过渡节</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1.96×2.0×2.8</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1030</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346"/>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4</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标准节</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1.96×2.0×2.8</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1010</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bl>
    <w:p>
      <w:pPr>
        <w:sectPr>
          <w:footerReference w:type="default" r:id="rId26"/>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4"/>
          <w:cols w:num="1" w:space="1680"/>
          <w:titlePg w:val="0"/>
          <w:docGrid w:linePitch="326" w:charSpace="59452"/>
        </w:sectPr>
      </w:pPr>
    </w:p>
    <w:tbl>
      <w:tblPr>
        <w:tblStyle w:val="TableGrid1"/>
        <w:tblW w:w="9140" w:type="dxa"/>
        <w:tblInd w:w="0" w:type="dxa"/>
        <w:tblBorders>
          <w:top w:val="thinThickSmallGap" w:sz="24" w:space="0" w:color="auto"/>
          <w:left w:val="none" w:sz="0" w:space="0" w:color="auto"/>
          <w:bottom w:val="thinThickSmallGap" w:sz="2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01"/>
        <w:gridCol w:w="1841"/>
        <w:gridCol w:w="3130"/>
        <w:gridCol w:w="1400"/>
        <w:gridCol w:w="814"/>
        <w:gridCol w:w="1154"/>
      </w:tblGrid>
      <w:tr>
        <w:tblPrEx>
          <w:tblW w:w="9140" w:type="dxa"/>
          <w:tblInd w:w="0" w:type="dxa"/>
          <w:tblBorders>
            <w:top w:val="thinThickSmallGap" w:sz="24" w:space="0" w:color="auto"/>
            <w:left w:val="none" w:sz="0" w:space="0" w:color="auto"/>
            <w:bottom w:val="thinThickSmallGap" w:sz="2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21"/>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5</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套架总成</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5.1×3.54×6.54</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3520</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221"/>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6</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回转总成</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2.96×4.53×2.84</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5650</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225"/>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7</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顶升节</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2.4×2.4×2.8</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1438</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371"/>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8</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平衡臂总成</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2.44×12.02×1.45</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5045</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346"/>
        </w:trPr>
        <w:tc>
          <w:tcPr>
            <w:tcW w:w="801" w:type="dxa"/>
            <w:tcBorders>
              <w:lef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9</w:t>
            </w:r>
          </w:p>
        </w:tc>
        <w:tc>
          <w:tcPr>
            <w:tcW w:w="1841"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起重臂总成</w:t>
            </w:r>
          </w:p>
        </w:tc>
        <w:tc>
          <w:tcPr>
            <w:tcW w:w="313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1.27×55.6×2.64</w:t>
            </w:r>
          </w:p>
        </w:tc>
        <w:tc>
          <w:tcPr>
            <w:tcW w:w="1400"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7351</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1</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分段安装</w:t>
            </w:r>
          </w:p>
        </w:tc>
      </w:tr>
      <w:tr>
        <w:tblPrEx>
          <w:tblW w:w="9140" w:type="dxa"/>
          <w:tblInd w:w="0" w:type="dxa"/>
          <w:tblLayout w:type="fixed"/>
          <w:tblCellMar>
            <w:top w:w="0" w:type="dxa"/>
            <w:left w:w="108" w:type="dxa"/>
            <w:bottom w:w="0" w:type="dxa"/>
            <w:right w:w="108" w:type="dxa"/>
          </w:tblCellMar>
        </w:tblPrEx>
        <w:trPr>
          <w:trHeight w:val="263"/>
        </w:trPr>
        <w:tc>
          <w:tcPr>
            <w:tcW w:w="801" w:type="dxa"/>
            <w:tcBorders>
              <w:left w:val="thinThickSmallGap" w:sz="24" w:space="0" w:color="auto"/>
            </w:tcBorders>
            <w:shd w:val="clear" w:color="auto" w:fill="FFFFFF"/>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10</w:t>
            </w:r>
          </w:p>
        </w:tc>
        <w:tc>
          <w:tcPr>
            <w:tcW w:w="1841" w:type="dxa"/>
            <w:shd w:val="clear" w:color="auto" w:fill="FFFFFF"/>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配重块</w:t>
            </w:r>
          </w:p>
        </w:tc>
        <w:tc>
          <w:tcPr>
            <w:tcW w:w="3130" w:type="dxa"/>
            <w:shd w:val="clear" w:color="auto" w:fill="FFFFFF"/>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6A+1B</w:t>
            </w:r>
          </w:p>
        </w:tc>
        <w:tc>
          <w:tcPr>
            <w:tcW w:w="1400" w:type="dxa"/>
            <w:shd w:val="clear" w:color="auto" w:fill="FFFFFF"/>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17400</w:t>
            </w:r>
          </w:p>
        </w:tc>
        <w:tc>
          <w:tcPr>
            <w:tcW w:w="814" w:type="dxa"/>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7</w:t>
            </w: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r>
        <w:tblPrEx>
          <w:tblW w:w="9140" w:type="dxa"/>
          <w:tblInd w:w="0" w:type="dxa"/>
          <w:tblLayout w:type="fixed"/>
          <w:tblCellMar>
            <w:top w:w="0" w:type="dxa"/>
            <w:left w:w="108" w:type="dxa"/>
            <w:bottom w:w="0" w:type="dxa"/>
            <w:right w:w="108" w:type="dxa"/>
          </w:tblCellMar>
        </w:tblPrEx>
        <w:trPr>
          <w:trHeight w:val="454"/>
        </w:trPr>
        <w:tc>
          <w:tcPr>
            <w:tcW w:w="801" w:type="dxa"/>
            <w:tcBorders>
              <w:left w:val="thinThickSmallGap" w:sz="24" w:space="0" w:color="auto"/>
            </w:tcBorders>
            <w:shd w:val="clear" w:color="auto" w:fill="FFFFFF"/>
            <w:vAlign w:val="top"/>
          </w:tcPr>
          <w:p>
            <w:pPr>
              <w:widowControl/>
              <w:adjustRightInd/>
              <w:snapToGrid/>
              <w:ind w:firstLine="0" w:firstLineChars="0"/>
              <w:jc w:val="center"/>
              <w:rPr>
                <w:rFonts w:asciiTheme="minorEastAsia" w:eastAsiaTheme="minorEastAsia" w:hAnsiTheme="minorEastAsia" w:cstheme="minorEastAsia" w:hint="default"/>
                <w:color w:val="000000"/>
                <w:kern w:val="0"/>
              </w:rPr>
            </w:pPr>
            <w:r>
              <w:rPr>
                <w:rFonts w:asciiTheme="minorEastAsia" w:eastAsiaTheme="minorEastAsia" w:hAnsiTheme="minorEastAsia" w:cstheme="minorEastAsia" w:hint="eastAsia"/>
                <w:color w:val="000000"/>
                <w:kern w:val="0"/>
                <w:sz w:val="21"/>
                <w:szCs w:val="21"/>
                <w:lang w:val="en-US" w:eastAsia="zh-CN"/>
              </w:rPr>
              <w:t>11</w:t>
            </w:r>
          </w:p>
        </w:tc>
        <w:tc>
          <w:tcPr>
            <w:tcW w:w="1841" w:type="dxa"/>
            <w:shd w:val="clear" w:color="auto" w:fill="auto"/>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配重块组成</w:t>
            </w:r>
          </w:p>
        </w:tc>
        <w:tc>
          <w:tcPr>
            <w:tcW w:w="3130" w:type="dxa"/>
            <w:shd w:val="clear" w:color="auto" w:fill="auto"/>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r>
              <w:rPr>
                <w:rFonts w:asciiTheme="minorEastAsia" w:eastAsiaTheme="minorEastAsia" w:hAnsiTheme="minorEastAsia" w:cstheme="minorEastAsia" w:hint="eastAsia"/>
                <w:color w:val="000000"/>
                <w:kern w:val="0"/>
                <w:sz w:val="21"/>
                <w:szCs w:val="21"/>
                <w:lang w:val="en-US" w:eastAsia="zh-CN"/>
              </w:rPr>
              <w:t>A =2600Kg B=1800 Kg C=1000Kg</w:t>
            </w:r>
          </w:p>
        </w:tc>
        <w:tc>
          <w:tcPr>
            <w:tcW w:w="1400" w:type="dxa"/>
            <w:shd w:val="clear" w:color="auto" w:fill="auto"/>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814" w:type="dxa"/>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c>
          <w:tcPr>
            <w:tcW w:w="1154" w:type="dxa"/>
            <w:tcBorders>
              <w:right w:val="thinThickSmallGap" w:sz="24" w:space="0" w:color="auto"/>
            </w:tcBorders>
            <w:vAlign w:val="top"/>
          </w:tcPr>
          <w:p>
            <w:pPr>
              <w:widowControl/>
              <w:adjustRightInd/>
              <w:snapToGrid/>
              <w:ind w:firstLine="0" w:firstLineChars="0"/>
              <w:jc w:val="center"/>
              <w:rPr>
                <w:rFonts w:asciiTheme="minorEastAsia" w:eastAsiaTheme="minorEastAsia" w:hAnsiTheme="minorEastAsia" w:cstheme="minorEastAsia" w:hint="eastAsia"/>
                <w:color w:val="000000"/>
                <w:kern w:val="0"/>
              </w:rPr>
            </w:pPr>
          </w:p>
        </w:tc>
      </w:tr>
    </w:tbl>
    <w:p>
      <w:pPr>
        <w:pStyle w:val="Heading2"/>
        <w:keepNext/>
        <w:keepLines/>
        <w:pageBreakBefore w:val="0"/>
        <w:widowControl w:val="0"/>
        <w:kinsoku/>
        <w:wordWrap/>
        <w:overflowPunct/>
        <w:topLinePunct w:val="0"/>
        <w:autoSpaceDE/>
        <w:autoSpaceDN/>
        <w:bidi w:val="0"/>
        <w:adjustRightInd w:val="0"/>
        <w:snapToGrid w:val="0"/>
        <w:spacing w:line="360" w:lineRule="auto"/>
        <w:textAlignment w:val="auto"/>
        <w:rPr>
          <w:rFonts w:cs="Times New Roman" w:hint="eastAsia"/>
          <w:b w:val="0"/>
          <w:i w:val="0"/>
          <w:caps w:val="0"/>
          <w:strike w:val="0"/>
          <w:dstrike w:val="0"/>
          <w:vanish w:val="0"/>
          <w:color w:val="auto"/>
          <w:kern w:val="2"/>
          <w:sz w:val="28"/>
          <w:szCs w:val="28"/>
          <w:u w:val="none"/>
          <w:vertAlign w:val="baseline"/>
          <w:lang w:val="en-US" w:eastAsia="zh-CN" w:bidi="ar-SA"/>
        </w:rPr>
      </w:pPr>
      <w:bookmarkStart w:id="95" w:name="_Toc2798"/>
      <w:r>
        <w:rPr>
          <w:rFonts w:cs="Times New Roman" w:hint="eastAsia"/>
          <w:b w:val="0"/>
          <w:i w:val="0"/>
          <w:caps w:val="0"/>
          <w:strike w:val="0"/>
          <w:dstrike w:val="0"/>
          <w:vanish w:val="0"/>
          <w:color w:val="auto"/>
          <w:kern w:val="2"/>
          <w:sz w:val="28"/>
          <w:szCs w:val="28"/>
          <w:u w:val="none"/>
          <w:vertAlign w:val="baseline"/>
          <w:lang w:val="en-US" w:eastAsia="zh-CN" w:bidi="ar-SA"/>
        </w:rPr>
        <w:t>4</w:t>
      </w:r>
      <w:r>
        <w:rPr>
          <w:rFonts w:cs="Times New Roman" w:hint="default"/>
          <w:b w:val="0"/>
          <w:i w:val="0"/>
          <w:caps w:val="0"/>
          <w:strike w:val="0"/>
          <w:dstrike w:val="0"/>
          <w:vanish w:val="0"/>
          <w:color w:val="auto"/>
          <w:kern w:val="2"/>
          <w:sz w:val="28"/>
          <w:szCs w:val="28"/>
          <w:u w:val="none"/>
          <w:vertAlign w:val="baseline"/>
          <w:lang w:val="en-US" w:eastAsia="zh-CN" w:bidi="ar-SA"/>
        </w:rPr>
        <w:t>.2</w:t>
      </w:r>
      <w:bookmarkStart w:id="96" w:name="_Toc22061"/>
      <w:bookmarkStart w:id="97" w:name="_Toc95312549"/>
      <w:bookmarkStart w:id="98" w:name="_Toc4311"/>
      <w:bookmarkStart w:id="99" w:name="_Toc30513"/>
      <w:bookmarkStart w:id="100" w:name="_Toc4588"/>
      <w:bookmarkStart w:id="101" w:name="_Toc4254_WPSOffice_Level1"/>
      <w:r>
        <w:rPr>
          <w:rFonts w:cs="Times New Roman" w:hint="eastAsia"/>
          <w:b w:val="0"/>
          <w:i w:val="0"/>
          <w:caps w:val="0"/>
          <w:strike w:val="0"/>
          <w:dstrike w:val="0"/>
          <w:vanish w:val="0"/>
          <w:color w:val="auto"/>
          <w:kern w:val="2"/>
          <w:sz w:val="28"/>
          <w:szCs w:val="28"/>
          <w:u w:val="none"/>
          <w:vertAlign w:val="baseline"/>
          <w:lang w:val="en-US" w:eastAsia="zh-CN" w:bidi="ar-SA"/>
        </w:rPr>
        <w:t xml:space="preserve"> 塔吊安装施工工艺流程</w:t>
      </w:r>
      <w:bookmarkEnd w:id="95"/>
      <w:bookmarkEnd w:id="96"/>
      <w:bookmarkEnd w:id="97"/>
    </w:p>
    <w:p>
      <w:pPr>
        <w:jc w:val="center"/>
      </w:pPr>
      <w:r>
        <w:drawing>
          <wp:inline distT="0" distB="0" distL="114300" distR="114300">
            <wp:extent cx="5226685" cy="3025775"/>
            <wp:effectExtent l="0" t="0" r="12065" b="317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xmlns:r="http://schemas.openxmlformats.org/officeDocument/2006/relationships" r:embed="rId27"/>
                    <a:stretch>
                      <a:fillRect/>
                    </a:stretch>
                  </pic:blipFill>
                  <pic:spPr>
                    <a:xfrm>
                      <a:off x="0" y="0"/>
                      <a:ext cx="5226685" cy="3025775"/>
                    </a:xfrm>
                    <a:prstGeom prst="rect">
                      <a:avLst/>
                    </a:prstGeom>
                    <a:noFill/>
                    <a:ln>
                      <a:noFill/>
                    </a:ln>
                  </pic:spPr>
                </pic:pic>
              </a:graphicData>
            </a:graphic>
          </wp:inline>
        </w:drawing>
      </w:r>
    </w:p>
    <w:p>
      <w:pPr>
        <w:pStyle w:val="Heading2"/>
        <w:keepNext/>
        <w:keepLines/>
        <w:pageBreakBefore w:val="0"/>
        <w:widowControl w:val="0"/>
        <w:kinsoku/>
        <w:wordWrap/>
        <w:overflowPunct/>
        <w:topLinePunct w:val="0"/>
        <w:autoSpaceDE/>
        <w:autoSpaceDN/>
        <w:bidi w:val="0"/>
        <w:adjustRightInd w:val="0"/>
        <w:snapToGrid w:val="0"/>
        <w:spacing w:line="360" w:lineRule="auto"/>
        <w:textAlignment w:val="auto"/>
        <w:rPr>
          <w:rFonts w:cs="Times New Roman" w:hint="eastAsia"/>
          <w:b w:val="0"/>
          <w:i w:val="0"/>
          <w:caps w:val="0"/>
          <w:strike w:val="0"/>
          <w:dstrike w:val="0"/>
          <w:vanish w:val="0"/>
          <w:color w:val="auto"/>
          <w:kern w:val="2"/>
          <w:sz w:val="28"/>
          <w:szCs w:val="28"/>
          <w:u w:val="none"/>
          <w:vertAlign w:val="baseline"/>
          <w:lang w:val="en-US" w:eastAsia="zh-CN" w:bidi="ar-SA"/>
        </w:rPr>
      </w:pPr>
      <w:bookmarkStart w:id="102" w:name="_Toc20520"/>
      <w:bookmarkStart w:id="103" w:name="_Toc95312550"/>
      <w:bookmarkStart w:id="104" w:name="_Toc25243"/>
      <w:r>
        <w:rPr>
          <w:rFonts w:cs="Times New Roman" w:hint="eastAsia"/>
          <w:b w:val="0"/>
          <w:i w:val="0"/>
          <w:caps w:val="0"/>
          <w:strike w:val="0"/>
          <w:dstrike w:val="0"/>
          <w:vanish w:val="0"/>
          <w:color w:val="auto"/>
          <w:kern w:val="2"/>
          <w:sz w:val="28"/>
          <w:szCs w:val="28"/>
          <w:u w:val="none"/>
          <w:vertAlign w:val="baseline"/>
          <w:lang w:val="en-US" w:eastAsia="zh-CN" w:bidi="ar-SA"/>
        </w:rPr>
        <w:t>4.3塔吊安装施工要点</w:t>
      </w:r>
      <w:bookmarkEnd w:id="102"/>
      <w:bookmarkEnd w:id="103"/>
      <w:bookmarkEnd w:id="104"/>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05" w:name="_Toc21212"/>
      <w:bookmarkStart w:id="106" w:name="_Toc3514"/>
      <w:r>
        <w:rPr>
          <w:rFonts w:hint="eastAsia"/>
          <w:b w:val="0"/>
          <w:bCs w:val="0"/>
          <w:sz w:val="24"/>
          <w:szCs w:val="24"/>
          <w:lang w:val="en-US" w:eastAsia="zh-CN"/>
        </w:rPr>
        <w:t>4.3.1检查各零部件</w:t>
      </w:r>
      <w:bookmarkEnd w:id="105"/>
      <w:bookmarkEnd w:id="106"/>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1.由于拆卸塔机时，建筑物已建完，工作场地受限制，应注意工作程序和吊装堆放位置，保证没有障碍物影响拆塔操作，不可马虎大意，否则容易发生人身安全事故。</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2.拆塔过程中，塔机应处于平衡状态。</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3.在拆卸时禁止吊钩进行任何起升或者下降操作。</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4.拆卸过程中，禁止塔身上部进行回转操作。</w:t>
      </w:r>
    </w:p>
    <w:p>
      <w:pPr>
        <w:pStyle w:val="12"/>
        <w:spacing w:line="360" w:lineRule="auto"/>
        <w:jc w:val="both"/>
        <w:rPr>
          <w:rFonts w:eastAsia="宋体" w:cs="宋体" w:hint="eastAsia"/>
          <w:b w:val="0"/>
          <w:bCs/>
          <w:szCs w:val="24"/>
        </w:rPr>
        <w:sectPr>
          <w:footerReference w:type="default" r:id="rId28"/>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5"/>
          <w:cols w:num="1" w:space="1680"/>
          <w:titlePg w:val="0"/>
          <w:docGrid w:linePitch="326" w:charSpace="59452"/>
        </w:sectPr>
      </w:pPr>
      <w:r>
        <w:rPr>
          <w:rFonts w:ascii="宋体" w:eastAsia="宋体" w:hAnsi="宋体" w:cs="宋体" w:hint="eastAsia"/>
          <w:b w:val="0"/>
          <w:bCs/>
          <w:sz w:val="24"/>
          <w:szCs w:val="24"/>
        </w:rPr>
        <w:t>5.拆卸进行前，应将起重臂回转至爬升架引进标准节一侧。</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6.塔机拆塔之前，顶升机构由于长期停止使用，应对顶升机构进行保养和试运转，在试运转过程中，应有目的地对限位器，回转机构的制动器等进行可靠性检查；</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7.保证没有障碍物妨碍操作；</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8.在塔机标准节已拆除，但下支座与塔身没有标准销轴连接好之前，严禁使用回转机构、变幅机构和起升机构；</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rPr>
        <w:t>9.顶升机构工作时，所有操作人员应集中精力观察各相对运动件的相对位置是否正常(如滚轮与塔身主弦杆之间，套架与塔身之间)，是否有阻碍套架运动(特别是下降运动时)的物件；</w:t>
      </w:r>
    </w:p>
    <w:p>
      <w:pPr>
        <w:spacing w:line="360" w:lineRule="auto"/>
        <w:ind w:firstLine="480" w:firstLineChars="200"/>
        <w:rPr>
          <w:sz w:val="24"/>
        </w:rPr>
      </w:pPr>
      <w:r>
        <w:rPr>
          <w:rFonts w:ascii="宋体" w:eastAsia="宋体" w:hAnsi="宋体" w:cs="宋体" w:hint="eastAsia"/>
          <w:b w:val="0"/>
          <w:bCs/>
          <w:sz w:val="24"/>
          <w:szCs w:val="24"/>
        </w:rPr>
        <w:t>10.拆卸时风速应低于13m/s。由于拆卸塔机时，建筑物已建完，工作场地受限，应注意工件的吊装堆放位置。不可马虎大意，否则容易发生人身安全事故</w:t>
      </w:r>
      <w:r>
        <w:rPr>
          <w:rFonts w:ascii="宋体" w:hAnsi="宋体" w:hint="eastAsia"/>
          <w:sz w:val="24"/>
        </w:rPr>
        <w:t>。</w:t>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07" w:name="_Toc12080"/>
      <w:bookmarkStart w:id="108" w:name="_Toc19822"/>
      <w:r>
        <w:rPr>
          <w:rFonts w:hint="eastAsia"/>
          <w:b w:val="0"/>
          <w:bCs w:val="0"/>
          <w:sz w:val="24"/>
          <w:szCs w:val="24"/>
          <w:lang w:val="en-US" w:eastAsia="zh-CN"/>
        </w:rPr>
        <w:t>4.3.2降塔拆卸塔身节：</w:t>
      </w:r>
      <w:bookmarkEnd w:id="107"/>
      <w:bookmarkEnd w:id="108"/>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lang w:val="en-US" w:eastAsia="zh-CN"/>
        </w:rPr>
        <w:t xml:space="preserve">降塔:按下述操作方法，依次将塔身节拆下，如遇到附着装置，可在降塔至附着装置时，将其拆下，使塔机处于顶升加节前的安装位置； </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lang w:val="en-US" w:eastAsia="zh-CN"/>
        </w:rPr>
        <w:t xml:space="preserve">1.将起重臂转到引进方向(套架中有开口的一侧)，使回转制动器处于制动状态，变幅小车停在配平位置(与立塔顶升加节时变幅小车的配平位置一致)； </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lang w:val="en-US" w:eastAsia="zh-CN"/>
        </w:rPr>
        <w:t xml:space="preserve">2.伸长油缸至活塞杆接近完全伸出的状态，将顶升横梁轴头放置于从上往下数第四对踏步(此位置非常关键，否则会引起恶性事故！)的半圆孔内且防脱销轴插入踏步内并锁住，拆掉最上面塔身节的上、下连接螺栓，并在该节下部连接套装上引进滚轮。将上部结构顶起；当最上一节塔身节离开下部塔身节顶面 30mm 左右，即停止顶升； </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lang w:val="en-US" w:eastAsia="zh-CN"/>
        </w:rPr>
        <w:t xml:space="preserve">3.将最上一节塔身节沿引进梁推出，置于引进平台上； </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lang w:val="en-US" w:eastAsia="zh-CN"/>
        </w:rPr>
        <w:t xml:space="preserve">4.扳开顶升爬爪，使顶升爬爪处于垂直状态，回缩油缸，让顶升爬爪躲过距它最近的一对踏步以及连接套后，复位放平，使顶升爬爪处于水平状态； </w:t>
      </w:r>
    </w:p>
    <w:p>
      <w:pPr>
        <w:pStyle w:val="12"/>
        <w:spacing w:line="360" w:lineRule="auto"/>
        <w:jc w:val="both"/>
        <w:rPr>
          <w:rFonts w:eastAsia="宋体" w:cs="宋体" w:hint="eastAsia"/>
          <w:b w:val="0"/>
          <w:bCs/>
          <w:szCs w:val="24"/>
        </w:rPr>
      </w:pPr>
      <w:r>
        <w:rPr>
          <w:rFonts w:ascii="宋体" w:eastAsia="宋体" w:hAnsi="宋体" w:cs="宋体" w:hint="eastAsia"/>
          <w:b w:val="0"/>
          <w:bCs/>
          <w:sz w:val="24"/>
          <w:szCs w:val="24"/>
          <w:lang w:val="en-US" w:eastAsia="zh-CN"/>
        </w:rPr>
        <w:t xml:space="preserve">5.将顶升套架(含顶升爬爪)继续下降至下一对踏步上部平面，并支撑住上部结构，先收回防脱销轴，再将油缸全部缩回，将顶升横梁搭在下一对踏步的半圆孔内，装入防脱销轴，操作泵站，顶升油缸至顶升爬爪能够翻转至垂直位置，再回缩油缸，让顶升爬爪躲过距它最近的一对踏步以及连接套后，至下一标准节与顶升节接触为止。 </w:t>
      </w:r>
    </w:p>
    <w:p>
      <w:pPr>
        <w:pStyle w:val="12"/>
        <w:spacing w:line="360" w:lineRule="auto"/>
        <w:jc w:val="both"/>
        <w:rPr>
          <w:rFonts w:eastAsia="宋体" w:cs="宋体" w:hint="eastAsia"/>
          <w:b w:val="0"/>
          <w:bCs/>
          <w:szCs w:val="24"/>
          <w:lang w:val="en-US" w:eastAsia="zh-CN"/>
        </w:rPr>
      </w:pPr>
      <w:r>
        <w:rPr>
          <w:rFonts w:ascii="宋体" w:eastAsia="宋体" w:hAnsi="宋体" w:cs="宋体" w:hint="eastAsia"/>
          <w:b w:val="0"/>
          <w:bCs/>
          <w:sz w:val="24"/>
          <w:szCs w:val="24"/>
          <w:lang w:val="en-US" w:eastAsia="zh-CN"/>
        </w:rPr>
        <w:t>6.顶升节与塔身节之间用8根10.9级M36×345螺栓连接紧固后，用小车吊钩 将标准节吊至地面。</w:t>
      </w:r>
    </w:p>
    <w:p>
      <w:pPr>
        <w:pStyle w:val="12"/>
        <w:spacing w:line="360" w:lineRule="auto"/>
        <w:jc w:val="both"/>
        <w:rPr>
          <w:rFonts w:eastAsia="宋体" w:cs="宋体" w:hint="eastAsia"/>
          <w:b w:val="0"/>
          <w:bCs/>
          <w:szCs w:val="24"/>
          <w:lang w:val="en-US" w:eastAsia="zh-CN"/>
        </w:rPr>
        <w:sectPr>
          <w:footerReference w:type="default" r:id="rId29"/>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6"/>
          <w:cols w:num="1" w:space="1680"/>
          <w:titlePg w:val="0"/>
          <w:docGrid w:linePitch="326" w:charSpace="59452"/>
        </w:sectPr>
      </w:pPr>
      <w:r>
        <w:rPr>
          <w:rFonts w:ascii="宋体" w:eastAsia="宋体" w:hAnsi="宋体" w:cs="宋体" w:hint="eastAsia"/>
          <w:b w:val="0"/>
          <w:bCs/>
          <w:sz w:val="24"/>
          <w:szCs w:val="24"/>
          <w:lang w:val="en-US" w:eastAsia="zh-CN"/>
        </w:rPr>
        <w:t>7.重复上述动作，将塔身节依次拆下直至安装高度。</w:t>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09" w:name="_Toc27737"/>
      <w:bookmarkStart w:id="110" w:name="_Toc6684"/>
      <w:r>
        <w:rPr>
          <w:rFonts w:hint="eastAsia"/>
          <w:b w:val="0"/>
          <w:bCs w:val="0"/>
          <w:sz w:val="24"/>
          <w:szCs w:val="24"/>
          <w:lang w:val="en-US" w:eastAsia="zh-CN"/>
        </w:rPr>
        <w:t>4.3.3拆卸警示灯和风速仪</w:t>
      </w:r>
      <w:bookmarkEnd w:id="109"/>
      <w:bookmarkEnd w:id="110"/>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eastAsia="zh-CN"/>
        </w:rPr>
      </w:pPr>
      <w:bookmarkStart w:id="111" w:name="_Toc1039"/>
      <w:bookmarkStart w:id="112" w:name="_Toc14836"/>
      <w:r>
        <w:rPr>
          <w:rFonts w:hint="eastAsia"/>
          <w:b w:val="0"/>
          <w:bCs w:val="0"/>
          <w:sz w:val="24"/>
          <w:szCs w:val="24"/>
          <w:lang w:val="en-US" w:eastAsia="zh-CN"/>
        </w:rPr>
        <w:t>4.3.4</w:t>
      </w:r>
      <w:r>
        <w:rPr>
          <w:rFonts w:hint="eastAsia"/>
          <w:b w:val="0"/>
          <w:bCs w:val="0"/>
          <w:sz w:val="24"/>
          <w:szCs w:val="24"/>
          <w:lang w:eastAsia="zh-CN"/>
        </w:rPr>
        <w:t>拆卸起升和变幅钢丝绳</w:t>
      </w:r>
      <w:bookmarkEnd w:id="111"/>
      <w:bookmarkEnd w:id="112"/>
    </w:p>
    <w:p>
      <w:pPr>
        <w:pStyle w:val="12"/>
        <w:spacing w:line="360" w:lineRule="auto"/>
        <w:jc w:val="both"/>
        <w:rPr>
          <w:rFonts w:eastAsia="宋体" w:cs="宋体" w:hint="eastAsia"/>
          <w:szCs w:val="24"/>
          <w:lang w:val="en-US" w:eastAsia="zh-CN"/>
        </w:rPr>
      </w:pPr>
      <w:r>
        <w:rPr>
          <w:rFonts w:ascii="宋体" w:eastAsia="宋体" w:hAnsi="宋体" w:cs="宋体" w:hint="eastAsia"/>
          <w:b w:val="0"/>
          <w:bCs/>
          <w:sz w:val="24"/>
          <w:szCs w:val="24"/>
          <w:lang w:val="en-US" w:eastAsia="zh-CN"/>
        </w:rPr>
        <w:t>将吊钩竖直落在场地上；拔下起重臂头部防扭装置及钢丝绳楔套连接处的销轴；开动起升机构，将起升钢丝绳缠绕在起升机构上(此过程中必须使用手套等将钢拆塔丝绳拉紧)，拆卸过程中检查钢丝绳是否有损坏现象。将小车开至臂根处，将小车固定在起重臂上，拆卸前后钢丝绳的连接，将后绳缠绕在变幅卷筒上，拆下前绳，</w:t>
      </w:r>
      <w:r>
        <w:rPr>
          <w:rFonts w:ascii="宋体" w:eastAsia="宋体" w:hAnsi="宋体" w:cs="宋体" w:hint="eastAsia"/>
          <w:color w:val="000000"/>
          <w:kern w:val="0"/>
          <w:sz w:val="24"/>
          <w:szCs w:val="24"/>
          <w:lang w:val="en-US" w:eastAsia="zh-CN" w:bidi="ar"/>
        </w:rPr>
        <w:t xml:space="preserve"> </w:t>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13" w:name="_Toc1726"/>
      <w:bookmarkStart w:id="114" w:name="_Toc17596"/>
      <w:r>
        <w:rPr>
          <w:rFonts w:hint="eastAsia"/>
          <w:b w:val="0"/>
          <w:bCs w:val="0"/>
          <w:sz w:val="24"/>
          <w:szCs w:val="24"/>
          <w:lang w:val="en-US" w:eastAsia="zh-CN"/>
        </w:rPr>
        <w:t>4.3.5拆卸电控系统及接线</w:t>
      </w:r>
      <w:bookmarkEnd w:id="113"/>
      <w:bookmarkEnd w:id="114"/>
      <w:r>
        <w:rPr>
          <w:rFonts w:hint="eastAsia"/>
          <w:b w:val="0"/>
          <w:bCs w:val="0"/>
          <w:sz w:val="24"/>
          <w:szCs w:val="24"/>
          <w:lang w:val="en-US" w:eastAsia="zh-CN"/>
        </w:rPr>
        <w:t xml:space="preserve"> </w:t>
      </w:r>
    </w:p>
    <w:p>
      <w:pPr>
        <w:keepNext w:val="0"/>
        <w:keepLines w:val="0"/>
        <w:widowControl/>
        <w:suppressLineNumbers w:val="0"/>
        <w:spacing w:line="360" w:lineRule="auto"/>
        <w:ind w:firstLine="480" w:firstLineChars="200"/>
        <w:jc w:val="both"/>
        <w:rPr>
          <w:rFonts w:cs="宋体" w:hint="eastAsia"/>
          <w:sz w:val="24"/>
          <w:szCs w:val="24"/>
        </w:rPr>
      </w:pPr>
      <w:r>
        <w:rPr>
          <w:rFonts w:ascii="宋体" w:eastAsia="宋体" w:hAnsi="宋体" w:cs="宋体" w:hint="eastAsia"/>
          <w:color w:val="000000"/>
          <w:kern w:val="0"/>
          <w:sz w:val="24"/>
          <w:szCs w:val="24"/>
          <w:lang w:val="en-US" w:eastAsia="zh-CN" w:bidi="ar"/>
        </w:rPr>
        <w:t xml:space="preserve">将影响塔机部件拆卸的电控线路断开，并向一端收拢。 </w:t>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15" w:name="_Toc15117"/>
      <w:bookmarkStart w:id="116" w:name="_Toc12682"/>
      <w:r>
        <w:rPr>
          <w:rFonts w:hint="eastAsia"/>
          <w:b w:val="0"/>
          <w:bCs w:val="0"/>
          <w:sz w:val="24"/>
          <w:szCs w:val="24"/>
          <w:lang w:val="en-US" w:eastAsia="zh-CN"/>
        </w:rPr>
        <w:t>4.3.6拆卸部分平衡重</w:t>
      </w:r>
      <w:bookmarkEnd w:id="115"/>
      <w:bookmarkEnd w:id="116"/>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拆卸下平衡重，保留1块 2600kg平衡重。 </w:t>
      </w:r>
    </w:p>
    <w:p>
      <w:pPr>
        <w:spacing w:line="360" w:lineRule="auto"/>
        <w:ind w:firstLine="420" w:firstLineChars="200"/>
        <w:jc w:val="center"/>
        <w:outlineLvl w:val="2"/>
        <w:rPr>
          <w:rFonts w:cs="宋体" w:hint="eastAsia"/>
          <w:bCs/>
          <w:sz w:val="24"/>
          <w:szCs w:val="24"/>
        </w:rPr>
      </w:pPr>
      <w:r>
        <w:rPr>
          <w:rFonts w:hint="eastAsia"/>
        </w:rPr>
        <w:drawing>
          <wp:inline distT="0" distB="0" distL="114300" distR="114300">
            <wp:extent cx="1513840" cy="2226945"/>
            <wp:effectExtent l="0" t="0" r="10160" b="1905"/>
            <wp:docPr id="13" name="图片 2"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图片4"/>
                    <pic:cNvPicPr>
                      <a:picLocks noChangeAspect="1"/>
                    </pic:cNvPicPr>
                  </pic:nvPicPr>
                  <pic:blipFill>
                    <a:blip xmlns:r="http://schemas.openxmlformats.org/officeDocument/2006/relationships" r:embed="rId30"/>
                    <a:stretch>
                      <a:fillRect/>
                    </a:stretch>
                  </pic:blipFill>
                  <pic:spPr>
                    <a:xfrm>
                      <a:off x="0" y="0"/>
                      <a:ext cx="1513840" cy="2226945"/>
                    </a:xfrm>
                    <a:prstGeom prst="rect">
                      <a:avLst/>
                    </a:prstGeom>
                    <a:noFill/>
                    <a:ln>
                      <a:noFill/>
                    </a:ln>
                  </pic:spPr>
                </pic:pic>
              </a:graphicData>
            </a:graphic>
          </wp:inline>
        </w:drawing>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17" w:name="_Toc12092"/>
      <w:bookmarkStart w:id="118" w:name="_Toc19427"/>
      <w:r>
        <w:rPr>
          <w:rFonts w:hint="eastAsia"/>
          <w:b w:val="0"/>
          <w:bCs w:val="0"/>
          <w:sz w:val="24"/>
          <w:szCs w:val="24"/>
          <w:lang w:val="en-US" w:eastAsia="zh-CN"/>
        </w:rPr>
        <w:t>4.3.7拆卸起重臂总成（分段吊装）</w:t>
      </w:r>
      <w:bookmarkEnd w:id="117"/>
      <w:bookmarkEnd w:id="118"/>
      <w:r>
        <w:rPr>
          <w:rFonts w:hint="eastAsia"/>
          <w:b w:val="0"/>
          <w:bCs w:val="0"/>
          <w:sz w:val="24"/>
          <w:szCs w:val="24"/>
          <w:lang w:val="en-US" w:eastAsia="zh-CN"/>
        </w:rPr>
        <w:t xml:space="preserve">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1.按照立塔时所用吊点挂绳，用汽车吊吊起起重臂；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2.将臂架略微吊起，依次拆去和回转总成连接的下弦销轴销和上弦销轴；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3.缓慢起吊起重臂臂架降到地面上。</w:t>
      </w:r>
    </w:p>
    <w:p>
      <w:pPr>
        <w:spacing w:line="360" w:lineRule="auto"/>
        <w:ind w:firstLine="480" w:firstLineChars="200"/>
        <w:jc w:val="both"/>
        <w:outlineLvl w:val="2"/>
        <w:rPr>
          <w:rFonts w:cs="宋体" w:hint="eastAsia"/>
          <w:bCs/>
          <w:sz w:val="24"/>
          <w:szCs w:val="24"/>
        </w:rPr>
        <w:sectPr>
          <w:footerReference w:type="default" r:id="rId31"/>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7"/>
          <w:cols w:num="1" w:space="1680"/>
          <w:titlePg w:val="0"/>
          <w:docGrid w:linePitch="326" w:charSpace="59452"/>
        </w:sectPr>
      </w:pPr>
      <w:r>
        <w:rPr>
          <w:rFonts w:ascii="宋体" w:eastAsia="宋体" w:hAnsi="宋体" w:cs="宋体" w:hint="eastAsia"/>
          <w:bCs/>
          <w:sz w:val="24"/>
          <w:szCs w:val="24"/>
          <w:lang w:val="en-US" w:eastAsia="zh-CN"/>
        </w:rPr>
        <w:t xml:space="preserve">注：起重臂分段吊装。 </w:t>
      </w:r>
    </w:p>
    <w:p>
      <w:pPr>
        <w:spacing w:line="360" w:lineRule="auto"/>
        <w:ind w:firstLine="420" w:firstLineChars="200"/>
        <w:jc w:val="center"/>
        <w:outlineLvl w:val="2"/>
        <w:rPr>
          <w:rFonts w:cs="宋体" w:hint="eastAsia"/>
          <w:bCs/>
          <w:sz w:val="24"/>
          <w:szCs w:val="24"/>
        </w:rPr>
      </w:pPr>
      <w:r>
        <w:drawing>
          <wp:inline distT="0" distB="0" distL="114300" distR="114300">
            <wp:extent cx="5486400" cy="1814830"/>
            <wp:effectExtent l="0" t="0" r="0" b="1397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xmlns:r="http://schemas.openxmlformats.org/officeDocument/2006/relationships" r:embed="rId32"/>
                    <a:stretch>
                      <a:fillRect/>
                    </a:stretch>
                  </pic:blipFill>
                  <pic:spPr>
                    <a:xfrm>
                      <a:off x="0" y="0"/>
                      <a:ext cx="5486400" cy="1814830"/>
                    </a:xfrm>
                    <a:prstGeom prst="rect">
                      <a:avLst/>
                    </a:prstGeom>
                    <a:noFill/>
                    <a:ln>
                      <a:noFill/>
                    </a:ln>
                  </pic:spPr>
                </pic:pic>
              </a:graphicData>
            </a:graphic>
          </wp:inline>
        </w:drawing>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19" w:name="_Toc3272"/>
      <w:bookmarkStart w:id="120" w:name="_Toc508"/>
      <w:r>
        <w:rPr>
          <w:rFonts w:hint="eastAsia"/>
          <w:b w:val="0"/>
          <w:bCs w:val="0"/>
          <w:sz w:val="24"/>
          <w:szCs w:val="24"/>
          <w:lang w:val="en-US" w:eastAsia="zh-CN"/>
        </w:rPr>
        <w:t>4.3.8拆卸剩余平衡重</w:t>
      </w:r>
      <w:bookmarkEnd w:id="119"/>
      <w:bookmarkEnd w:id="120"/>
      <w:r>
        <w:rPr>
          <w:rFonts w:hint="eastAsia"/>
          <w:b w:val="0"/>
          <w:bCs w:val="0"/>
          <w:sz w:val="24"/>
          <w:szCs w:val="24"/>
          <w:lang w:val="en-US" w:eastAsia="zh-CN"/>
        </w:rPr>
        <w:t xml:space="preserve">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借助汽车吊拆掉剩余的 1 块 2600kg 平衡重块。 </w:t>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21" w:name="_Toc6637"/>
      <w:bookmarkStart w:id="122" w:name="_Toc15751"/>
      <w:r>
        <w:rPr>
          <w:rFonts w:hint="eastAsia"/>
          <w:b w:val="0"/>
          <w:bCs w:val="0"/>
          <w:sz w:val="24"/>
          <w:szCs w:val="24"/>
          <w:lang w:val="en-US" w:eastAsia="zh-CN"/>
        </w:rPr>
        <w:t>4.3.9拆卸平衡臂总成</w:t>
      </w:r>
      <w:bookmarkEnd w:id="121"/>
      <w:bookmarkEnd w:id="122"/>
      <w:r>
        <w:rPr>
          <w:rFonts w:hint="eastAsia"/>
          <w:b w:val="0"/>
          <w:bCs w:val="0"/>
          <w:sz w:val="24"/>
          <w:szCs w:val="24"/>
          <w:lang w:val="en-US" w:eastAsia="zh-CN"/>
        </w:rPr>
        <w:t xml:space="preserve">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1.吊起平衡臂，使拉杆松弛。拆卸拉杆同上转台拉板的销轴，将拉杆放置在拉杆支架上；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2.拆卸下平衡臂和回转总成连接销，并将平衡臂放到场地上。 </w:t>
      </w:r>
    </w:p>
    <w:p>
      <w:pPr>
        <w:spacing w:line="360" w:lineRule="auto"/>
        <w:ind w:firstLine="420" w:firstLineChars="200"/>
        <w:jc w:val="center"/>
        <w:outlineLvl w:val="2"/>
        <w:rPr>
          <w:rFonts w:cs="宋体" w:hint="eastAsia"/>
          <w:bCs/>
          <w:sz w:val="24"/>
          <w:szCs w:val="24"/>
        </w:rPr>
      </w:pPr>
      <w:r>
        <w:rPr>
          <w:rFonts w:hint="eastAsia"/>
        </w:rPr>
        <w:drawing>
          <wp:inline distT="0" distB="0" distL="114300" distR="114300">
            <wp:extent cx="2755900" cy="1767840"/>
            <wp:effectExtent l="0" t="0" r="6350" b="3810"/>
            <wp:docPr id="11"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图片3"/>
                    <pic:cNvPicPr>
                      <a:picLocks noChangeAspect="1"/>
                    </pic:cNvPicPr>
                  </pic:nvPicPr>
                  <pic:blipFill>
                    <a:blip xmlns:r="http://schemas.openxmlformats.org/officeDocument/2006/relationships" r:embed="rId33"/>
                    <a:stretch>
                      <a:fillRect/>
                    </a:stretch>
                  </pic:blipFill>
                  <pic:spPr>
                    <a:xfrm>
                      <a:off x="0" y="0"/>
                      <a:ext cx="2755900" cy="1767840"/>
                    </a:xfrm>
                    <a:prstGeom prst="rect">
                      <a:avLst/>
                    </a:prstGeom>
                    <a:noFill/>
                    <a:ln>
                      <a:noFill/>
                    </a:ln>
                  </pic:spPr>
                </pic:pic>
              </a:graphicData>
            </a:graphic>
          </wp:inline>
        </w:drawing>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23" w:name="_Toc1623"/>
      <w:bookmarkStart w:id="124" w:name="_Toc10262"/>
      <w:r>
        <w:rPr>
          <w:rFonts w:hint="eastAsia"/>
          <w:b w:val="0"/>
          <w:bCs w:val="0"/>
          <w:sz w:val="24"/>
          <w:szCs w:val="24"/>
          <w:lang w:val="en-US" w:eastAsia="zh-CN"/>
        </w:rPr>
        <w:t>4.3.10拆卸回转总成</w:t>
      </w:r>
      <w:bookmarkEnd w:id="123"/>
      <w:bookmarkEnd w:id="124"/>
      <w:r>
        <w:rPr>
          <w:rFonts w:hint="eastAsia"/>
          <w:b w:val="0"/>
          <w:bCs w:val="0"/>
          <w:sz w:val="24"/>
          <w:szCs w:val="24"/>
          <w:lang w:val="en-US" w:eastAsia="zh-CN"/>
        </w:rPr>
        <w:t xml:space="preserve">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吊住回转总成，拆卸下转台与顶升节连接螺栓，然后将其放置在地面合适位置。 </w:t>
      </w:r>
    </w:p>
    <w:p>
      <w:pPr>
        <w:spacing w:line="360" w:lineRule="auto"/>
        <w:ind w:firstLine="420" w:firstLineChars="200"/>
        <w:jc w:val="center"/>
        <w:outlineLvl w:val="2"/>
        <w:rPr>
          <w:rFonts w:cs="宋体" w:hint="eastAsia"/>
          <w:bCs/>
          <w:sz w:val="24"/>
          <w:szCs w:val="24"/>
        </w:rPr>
        <w:sectPr>
          <w:footerReference w:type="default" r:id="rId34"/>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8"/>
          <w:cols w:num="1" w:space="1680"/>
          <w:titlePg w:val="0"/>
          <w:docGrid w:linePitch="326" w:charSpace="59452"/>
        </w:sectPr>
      </w:pPr>
      <w:r>
        <w:drawing>
          <wp:inline distT="0" distB="0" distL="114300" distR="114300">
            <wp:extent cx="1592580" cy="1801495"/>
            <wp:effectExtent l="0" t="0" r="7620" b="8255"/>
            <wp:docPr id="9" name="图片 5" descr="13、拆回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13、拆回转"/>
                    <pic:cNvPicPr>
                      <a:picLocks noChangeAspect="1"/>
                    </pic:cNvPicPr>
                  </pic:nvPicPr>
                  <pic:blipFill>
                    <a:blip xmlns:r="http://schemas.openxmlformats.org/officeDocument/2006/relationships" r:embed="rId35"/>
                    <a:stretch>
                      <a:fillRect/>
                    </a:stretch>
                  </pic:blipFill>
                  <pic:spPr>
                    <a:xfrm>
                      <a:off x="0" y="0"/>
                      <a:ext cx="1592580" cy="1801495"/>
                    </a:xfrm>
                    <a:prstGeom prst="rect">
                      <a:avLst/>
                    </a:prstGeom>
                    <a:noFill/>
                    <a:ln>
                      <a:noFill/>
                    </a:ln>
                  </pic:spPr>
                </pic:pic>
              </a:graphicData>
            </a:graphic>
          </wp:inline>
        </w:drawing>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25" w:name="_Toc15255"/>
      <w:bookmarkStart w:id="126" w:name="_Toc10038"/>
      <w:r>
        <w:rPr>
          <w:rFonts w:hint="eastAsia"/>
          <w:b w:val="0"/>
          <w:bCs w:val="0"/>
          <w:sz w:val="24"/>
          <w:szCs w:val="24"/>
          <w:lang w:val="en-US" w:eastAsia="zh-CN"/>
        </w:rPr>
        <w:t>4.3.11拆卸顶升节</w:t>
      </w:r>
      <w:bookmarkEnd w:id="125"/>
      <w:bookmarkEnd w:id="126"/>
      <w:r>
        <w:rPr>
          <w:rFonts w:hint="eastAsia"/>
          <w:b w:val="0"/>
          <w:bCs w:val="0"/>
          <w:sz w:val="24"/>
          <w:szCs w:val="24"/>
          <w:lang w:val="en-US" w:eastAsia="zh-CN"/>
        </w:rPr>
        <w:t xml:space="preserve">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吊住套架，拆下套架和顶升节连接销轴，缓慢下降套架将其挂在塔身上后；吊住顶升节，拆卸顶升节和塔身节间连接螺栓，将其放置在地面合适位置。 </w:t>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27" w:name="_Toc3551"/>
      <w:bookmarkStart w:id="128" w:name="_Toc9939"/>
      <w:r>
        <w:rPr>
          <w:rFonts w:hint="eastAsia"/>
          <w:b w:val="0"/>
          <w:bCs w:val="0"/>
          <w:sz w:val="24"/>
          <w:szCs w:val="24"/>
          <w:lang w:val="en-US" w:eastAsia="zh-CN"/>
        </w:rPr>
        <w:t>4.3.12拆卸顶升套架和剩余塔身节</w:t>
      </w:r>
      <w:bookmarkEnd w:id="127"/>
      <w:bookmarkEnd w:id="128"/>
      <w:r>
        <w:rPr>
          <w:rFonts w:hint="eastAsia"/>
          <w:b w:val="0"/>
          <w:bCs w:val="0"/>
          <w:sz w:val="24"/>
          <w:szCs w:val="24"/>
          <w:lang w:val="en-US" w:eastAsia="zh-CN"/>
        </w:rPr>
        <w:t xml:space="preserve">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 xml:space="preserve">1.将顶升油缸绑扎在套架上，并固定顶升横梁，吊起套架沿塔身缓慢向上启动，将其落在场地上； </w:t>
      </w:r>
    </w:p>
    <w:p>
      <w:pPr>
        <w:spacing w:line="360" w:lineRule="auto"/>
        <w:ind w:firstLine="480" w:firstLineChars="200"/>
        <w:jc w:val="both"/>
        <w:outlineLvl w:val="2"/>
        <w:rPr>
          <w:rFonts w:cs="宋体" w:hint="eastAsia"/>
          <w:bCs/>
          <w:sz w:val="24"/>
          <w:szCs w:val="24"/>
        </w:rPr>
      </w:pPr>
      <w:r>
        <w:rPr>
          <w:rFonts w:ascii="宋体" w:eastAsia="宋体" w:hAnsi="宋体" w:cs="宋体" w:hint="eastAsia"/>
          <w:bCs/>
          <w:sz w:val="24"/>
          <w:szCs w:val="24"/>
          <w:lang w:val="en-US" w:eastAsia="zh-CN"/>
        </w:rPr>
        <w:t>2.将剩余塔身一次拆卸。</w:t>
      </w:r>
    </w:p>
    <w:p>
      <w:pPr>
        <w:spacing w:line="360" w:lineRule="auto"/>
        <w:ind w:firstLine="420" w:firstLineChars="200"/>
        <w:jc w:val="center"/>
        <w:outlineLvl w:val="2"/>
        <w:rPr>
          <w:rFonts w:cs="宋体" w:hint="eastAsia"/>
          <w:bCs/>
          <w:sz w:val="24"/>
          <w:szCs w:val="24"/>
        </w:rPr>
      </w:pPr>
      <w:r>
        <w:rPr>
          <w:rFonts w:hint="eastAsia"/>
        </w:rPr>
        <w:drawing>
          <wp:inline distT="0" distB="0" distL="114300" distR="114300">
            <wp:extent cx="1476375" cy="2031365"/>
            <wp:effectExtent l="0" t="0" r="9525" b="6985"/>
            <wp:docPr id="12"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图片1"/>
                    <pic:cNvPicPr>
                      <a:picLocks noChangeAspect="1"/>
                    </pic:cNvPicPr>
                  </pic:nvPicPr>
                  <pic:blipFill>
                    <a:blip xmlns:r="http://schemas.openxmlformats.org/officeDocument/2006/relationships" r:embed="rId36"/>
                    <a:stretch>
                      <a:fillRect/>
                    </a:stretch>
                  </pic:blipFill>
                  <pic:spPr>
                    <a:xfrm>
                      <a:off x="0" y="0"/>
                      <a:ext cx="1476375" cy="2031365"/>
                    </a:xfrm>
                    <a:prstGeom prst="rect">
                      <a:avLst/>
                    </a:prstGeom>
                    <a:noFill/>
                    <a:ln>
                      <a:noFill/>
                    </a:ln>
                  </pic:spPr>
                </pic:pic>
              </a:graphicData>
            </a:graphic>
          </wp:inline>
        </w:drawing>
      </w:r>
    </w:p>
    <w:p>
      <w:pPr>
        <w:pStyle w:val="Heading2"/>
        <w:keepNext/>
        <w:keepLines/>
        <w:pageBreakBefore w:val="0"/>
        <w:widowControl w:val="0"/>
        <w:kinsoku/>
        <w:wordWrap/>
        <w:overflowPunct/>
        <w:topLinePunct w:val="0"/>
        <w:autoSpaceDE/>
        <w:autoSpaceDN/>
        <w:bidi w:val="0"/>
        <w:adjustRightInd w:val="0"/>
        <w:snapToGrid w:val="0"/>
        <w:spacing w:line="240" w:lineRule="auto"/>
        <w:textAlignment w:val="auto"/>
        <w:rPr>
          <w:rFonts w:hint="eastAsia"/>
          <w:b w:val="0"/>
          <w:bCs w:val="0"/>
          <w:sz w:val="24"/>
          <w:szCs w:val="24"/>
          <w:lang w:val="en-US" w:eastAsia="zh-CN"/>
        </w:rPr>
      </w:pPr>
      <w:bookmarkStart w:id="129" w:name="_Toc5336"/>
      <w:bookmarkStart w:id="130" w:name="_Toc3196"/>
      <w:r>
        <w:rPr>
          <w:rFonts w:hint="eastAsia"/>
          <w:b w:val="0"/>
          <w:bCs w:val="0"/>
          <w:sz w:val="24"/>
          <w:szCs w:val="24"/>
          <w:lang w:val="en-US" w:eastAsia="zh-CN"/>
        </w:rPr>
        <w:t>4.3.13塔机拆卸后的注意事项</w:t>
      </w:r>
      <w:bookmarkEnd w:id="129"/>
      <w:bookmarkEnd w:id="130"/>
    </w:p>
    <w:p>
      <w:pPr>
        <w:pStyle w:val="12"/>
        <w:spacing w:line="360" w:lineRule="auto"/>
        <w:rPr>
          <w:rFonts w:eastAsia="宋体" w:cs="宋体" w:hint="eastAsia"/>
          <w:b w:val="0"/>
          <w:bCs/>
          <w:szCs w:val="24"/>
        </w:rPr>
      </w:pPr>
      <w:r>
        <w:rPr>
          <w:rFonts w:ascii="宋体" w:eastAsia="宋体" w:hAnsi="宋体" w:cs="宋体" w:hint="eastAsia"/>
          <w:b w:val="0"/>
          <w:bCs/>
          <w:sz w:val="24"/>
          <w:szCs w:val="24"/>
        </w:rPr>
        <w:t>1.塔机拆散后由工程技术人员和专业维修人员进行检查。</w:t>
      </w:r>
    </w:p>
    <w:p>
      <w:pPr>
        <w:pStyle w:val="12"/>
        <w:spacing w:line="360" w:lineRule="auto"/>
        <w:rPr>
          <w:rFonts w:eastAsia="宋体" w:cs="宋体" w:hint="eastAsia"/>
          <w:b w:val="0"/>
          <w:bCs/>
          <w:szCs w:val="24"/>
        </w:rPr>
      </w:pPr>
      <w:r>
        <w:rPr>
          <w:rFonts w:ascii="宋体" w:eastAsia="宋体" w:hAnsi="宋体" w:cs="宋体" w:hint="eastAsia"/>
          <w:b w:val="0"/>
          <w:bCs/>
          <w:sz w:val="24"/>
          <w:szCs w:val="24"/>
        </w:rPr>
        <w:t>2.对主要受力的结构件应检查金属疲劳，焊缝裂纹，结构变形等情况，检查塔机各零部件是否有损坏或碰伤等。检查完毕后，对缺陷、隐患进行修复后，再进行防锈、刷漆处理。</w:t>
      </w:r>
    </w:p>
    <w:p>
      <w:pPr>
        <w:pStyle w:val="12"/>
        <w:spacing w:line="360" w:lineRule="auto"/>
        <w:rPr>
          <w:rFonts w:eastAsia="宋体" w:cs="宋体" w:hint="eastAsia"/>
          <w:b w:val="0"/>
          <w:bCs w:val="0"/>
          <w:kern w:val="2"/>
          <w:szCs w:val="32"/>
          <w:lang w:val="en-US" w:eastAsia="zh-CN" w:bidi="ar-SA"/>
        </w:rPr>
      </w:pPr>
      <w:r>
        <w:rPr>
          <w:rFonts w:ascii="宋体" w:eastAsia="宋体" w:hAnsi="宋体" w:cs="宋体" w:hint="eastAsia"/>
          <w:b w:val="0"/>
          <w:bCs/>
          <w:sz w:val="24"/>
          <w:szCs w:val="24"/>
        </w:rPr>
        <w:t>3.当所有零部件拆下后，应妥善保存，拆下后的零部件可在地面进行分解，以便运输和保管。</w:t>
      </w:r>
    </w:p>
    <w:p>
      <w:pPr>
        <w:pStyle w:val="Heading2"/>
        <w:keepNext/>
        <w:keepLines/>
        <w:pageBreakBefore w:val="0"/>
        <w:widowControl w:val="0"/>
        <w:kinsoku/>
        <w:wordWrap/>
        <w:overflowPunct/>
        <w:topLinePunct w:val="0"/>
        <w:autoSpaceDE/>
        <w:autoSpaceDN/>
        <w:bidi w:val="0"/>
        <w:adjustRightInd w:val="0"/>
        <w:snapToGrid w:val="0"/>
        <w:spacing w:line="360" w:lineRule="auto"/>
        <w:textAlignment w:val="auto"/>
        <w:rPr>
          <w:rFonts w:cs="Times New Roman" w:hint="eastAsia"/>
          <w:b w:val="0"/>
          <w:i w:val="0"/>
          <w:caps w:val="0"/>
          <w:strike w:val="0"/>
          <w:dstrike w:val="0"/>
          <w:vanish w:val="0"/>
          <w:color w:val="auto"/>
          <w:kern w:val="2"/>
          <w:sz w:val="28"/>
          <w:szCs w:val="28"/>
          <w:u w:val="none"/>
          <w:vertAlign w:val="baseline"/>
          <w:lang w:val="en-US" w:eastAsia="zh-CN" w:bidi="ar-SA"/>
        </w:rPr>
      </w:pPr>
      <w:bookmarkStart w:id="131" w:name="_Toc7371"/>
      <w:r>
        <w:rPr>
          <w:rFonts w:cs="Times New Roman" w:hint="eastAsia"/>
          <w:b w:val="0"/>
          <w:i w:val="0"/>
          <w:caps w:val="0"/>
          <w:strike w:val="0"/>
          <w:dstrike w:val="0"/>
          <w:vanish w:val="0"/>
          <w:color w:val="auto"/>
          <w:kern w:val="2"/>
          <w:sz w:val="28"/>
          <w:szCs w:val="28"/>
          <w:u w:val="none"/>
          <w:vertAlign w:val="baseline"/>
          <w:lang w:val="en-US" w:eastAsia="zh-CN" w:bidi="ar-SA"/>
        </w:rPr>
        <w:t>4.4操作要求</w:t>
      </w:r>
      <w:bookmarkEnd w:id="131"/>
    </w:p>
    <w:p>
      <w:pPr>
        <w:keepNext w:val="0"/>
        <w:keepLines w:val="0"/>
        <w:pageBreakBefore w:val="0"/>
        <w:widowControl w:val="0"/>
        <w:kinsoku/>
        <w:wordWrap/>
        <w:overflowPunct/>
        <w:topLinePunct w:val="0"/>
        <w:bidi w:val="0"/>
        <w:snapToGrid/>
        <w:spacing w:line="360" w:lineRule="auto"/>
        <w:ind w:firstLine="480" w:firstLineChars="200"/>
        <w:textAlignment w:val="auto"/>
        <w:rPr>
          <w:sz w:val="24"/>
        </w:rPr>
      </w:pPr>
      <w:r>
        <w:rPr>
          <w:rFonts w:ascii="宋体" w:hAnsi="宋体" w:hint="eastAsia"/>
          <w:sz w:val="24"/>
        </w:rPr>
        <w:t>1）顶升前：①应配平；②</w:t>
      </w:r>
      <w:r>
        <w:rPr>
          <w:rFonts w:ascii="宋体" w:hAnsi="宋体" w:hint="eastAsia"/>
          <w:sz w:val="24"/>
          <w:lang w:val="en-US" w:eastAsia="zh-CN"/>
        </w:rPr>
        <w:t>顶升节</w:t>
      </w:r>
      <w:r>
        <w:rPr>
          <w:rFonts w:ascii="宋体" w:hAnsi="宋体" w:hint="eastAsia"/>
          <w:sz w:val="24"/>
        </w:rPr>
        <w:t>与顶升套架所有螺栓或销轴全部连接可靠，并在顶升套架四角上部粘贴警示牌（高150mm×宽100mm），警示牌内容为“1.严禁漏装此螺栓或销轴；2.顶升全过程严禁拆卸此螺栓或销轴；3.起重臂、配重臂、塔帽全部卸下后方可拆卸此螺栓或销轴”。③检查泵站液压油液位，对液压系统试运行。</w:t>
      </w:r>
    </w:p>
    <w:p>
      <w:pPr>
        <w:keepNext w:val="0"/>
        <w:keepLines w:val="0"/>
        <w:pageBreakBefore w:val="0"/>
        <w:widowControl w:val="0"/>
        <w:kinsoku/>
        <w:wordWrap/>
        <w:overflowPunct/>
        <w:topLinePunct w:val="0"/>
        <w:autoSpaceDE w:val="0"/>
        <w:autoSpaceDN w:val="0"/>
        <w:bidi w:val="0"/>
        <w:adjustRightInd w:val="0"/>
        <w:snapToGrid/>
        <w:spacing w:line="360" w:lineRule="auto"/>
        <w:ind w:firstLine="460" w:firstLineChars="200"/>
        <w:jc w:val="left"/>
        <w:textAlignment w:val="auto"/>
        <w:rPr>
          <w:rFonts w:cs="宋体"/>
          <w:kern w:val="0"/>
          <w:sz w:val="23"/>
          <w:szCs w:val="23"/>
        </w:rPr>
        <w:sectPr>
          <w:footerReference w:type="default" r:id="rId37"/>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19"/>
          <w:cols w:num="1" w:space="1680"/>
          <w:titlePg w:val="0"/>
          <w:docGrid w:linePitch="326" w:charSpace="59452"/>
        </w:sectPr>
      </w:pP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cs="宋体"/>
          <w:kern w:val="0"/>
          <w:sz w:val="23"/>
          <w:szCs w:val="23"/>
        </w:rPr>
      </w:pPr>
      <w:r>
        <w:rPr>
          <w:rFonts w:ascii="宋体" w:hAnsi="宋体" w:hint="eastAsia"/>
          <w:sz w:val="24"/>
        </w:rPr>
        <w:t>2）顶升中：①横梁端部的销轴应正确入位，且应插好安全销；②回转机构制动开关应锁定，防止因误操作或风导致旋转；③严禁小车前后移动；④严禁吊钩起升；⑤严禁套架滚轮与塔身间隙不符合要求；⑥若要连续加节，则每加完1节后，用塔式起重机自身起吊下1节标准节前，塔身各主弦杆和下支座应可靠连接，塔式起重机唯有在这种情况下，允许这8根螺栓每根只用1个螺母（销轴连接的塔吊，应使用厂家提供的安全销）;作业中途暂停时，应将标准节与下支座螺栓或销轴全部紧固。</w:t>
      </w:r>
    </w:p>
    <w:p>
      <w:pPr>
        <w:pStyle w:val="Heading2"/>
        <w:rPr>
          <w:rFonts w:cs="Times New Roman" w:hint="eastAsia"/>
          <w:b w:val="0"/>
          <w:i w:val="0"/>
          <w:caps w:val="0"/>
          <w:strike w:val="0"/>
          <w:dstrike w:val="0"/>
          <w:vanish w:val="0"/>
          <w:color w:val="auto"/>
          <w:kern w:val="2"/>
          <w:sz w:val="28"/>
          <w:szCs w:val="28"/>
          <w:u w:val="none"/>
          <w:vertAlign w:val="baseline"/>
          <w:lang w:val="en-US" w:eastAsia="zh-CN" w:bidi="ar-SA"/>
        </w:rPr>
      </w:pPr>
      <w:bookmarkStart w:id="132" w:name="_Toc7064"/>
      <w:r>
        <w:rPr>
          <w:rFonts w:cs="Times New Roman" w:hint="eastAsia"/>
          <w:b w:val="0"/>
          <w:i w:val="0"/>
          <w:caps w:val="0"/>
          <w:strike w:val="0"/>
          <w:dstrike w:val="0"/>
          <w:vanish w:val="0"/>
          <w:color w:val="auto"/>
          <w:kern w:val="2"/>
          <w:sz w:val="28"/>
          <w:szCs w:val="28"/>
          <w:u w:val="none"/>
          <w:vertAlign w:val="baseline"/>
          <w:lang w:val="en-US" w:eastAsia="zh-CN" w:bidi="ar-SA"/>
        </w:rPr>
        <w:t>4.5安全检查要求</w:t>
      </w:r>
      <w:bookmarkEnd w:id="132"/>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 作业人员必须持证上岗，操作证件复印件盖章后交施工总包单位备案。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 塔机安拆用辅助起重设备应持监管部门颁发的检测合格证，并将合格证复印件盖 </w:t>
      </w:r>
    </w:p>
    <w:p>
      <w:pPr>
        <w:widowControl/>
        <w:spacing w:line="360" w:lineRule="auto"/>
        <w:jc w:val="left"/>
        <w:rPr>
          <w:rFonts w:cs="宋体" w:hint="eastAsia"/>
        </w:rPr>
      </w:pPr>
      <w:r>
        <w:rPr>
          <w:rFonts w:ascii="宋体" w:hAnsi="宋体" w:cs="宋体" w:hint="eastAsia"/>
          <w:color w:val="000000"/>
          <w:kern w:val="0"/>
          <w:sz w:val="24"/>
          <w:lang w:bidi="ar"/>
        </w:rPr>
        <w:t xml:space="preserve">章后交施工总包单位备案。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3. 作业人员进入施工现场必须戴合格的安全帽、系好下额带，锁好带扣。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4. 作业人员登高（2 米以上）作业时必须系合格的安全带，系挂牢固，穿防滑鞋。</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5. 作业人员应已进行严格的体格检查，不合格者，不准进行塔机安拆作业。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6. 安拆塔机电路时，应断开电源后安拆，禁止带电作业。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7. 禁止在雨雪天气中进行塔机安拆作业。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8. 塔司及其它辅助起重机司机作业时，严禁收听任何有声电器及电话，严禁和其他人员交谈。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9. 禁止酒后作业、禁止作业中打闹和吸烟。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10. 信号工要穿有明显标识的衣服，两眼视力不得低于 1.0，无色盲、听力障碍。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11. 安拆用各类工机具，应有检测合格证。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12. 塔机及辅助起重机应严格按照额定起重量性能表作业，严禁超载，严禁歪拉斜拽。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13. 作业时段应在白天，特殊情况需在夜间作业时，应专门配置充足的照明。 </w:t>
      </w:r>
    </w:p>
    <w:p>
      <w:pPr>
        <w:widowControl/>
        <w:spacing w:line="360" w:lineRule="auto"/>
        <w:ind w:firstLine="480" w:firstLineChars="200"/>
        <w:jc w:val="left"/>
        <w:rPr>
          <w:rFonts w:cs="宋体" w:hint="eastAsia"/>
        </w:rPr>
        <w:sectPr>
          <w:footerReference w:type="default" r:id="rId38"/>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20"/>
          <w:cols w:num="1" w:space="1680"/>
          <w:titlePg w:val="0"/>
          <w:docGrid w:linePitch="326" w:charSpace="59452"/>
        </w:sectPr>
      </w:pPr>
      <w:r>
        <w:rPr>
          <w:rFonts w:ascii="宋体" w:hAnsi="宋体" w:cs="宋体" w:hint="eastAsia"/>
          <w:color w:val="000000"/>
          <w:kern w:val="0"/>
          <w:sz w:val="24"/>
          <w:lang w:bidi="ar"/>
        </w:rPr>
        <w:t>14. 作业人员必须了解辅助起重机性能、塔机性能、塔机</w:t>
      </w:r>
      <w:r>
        <w:rPr>
          <w:rFonts w:ascii="宋体" w:hAnsi="宋体" w:cs="宋体" w:hint="eastAsia"/>
          <w:color w:val="000000"/>
          <w:kern w:val="0"/>
          <w:sz w:val="24"/>
          <w:lang w:val="en-US" w:eastAsia="zh-CN" w:bidi="ar"/>
        </w:rPr>
        <w:t>拆除</w:t>
      </w:r>
      <w:r>
        <w:rPr>
          <w:rFonts w:ascii="宋体" w:hAnsi="宋体" w:cs="宋体" w:hint="eastAsia"/>
          <w:color w:val="000000"/>
          <w:kern w:val="0"/>
          <w:sz w:val="24"/>
          <w:lang w:bidi="ar"/>
        </w:rPr>
        <w:t xml:space="preserve">程序、塔机各部件重量和正确吊点。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15. 塔机</w:t>
      </w:r>
      <w:r>
        <w:rPr>
          <w:rFonts w:ascii="宋体" w:hAnsi="宋体" w:cs="宋体" w:hint="eastAsia"/>
          <w:color w:val="000000"/>
          <w:kern w:val="0"/>
          <w:sz w:val="24"/>
          <w:lang w:val="en-US" w:eastAsia="zh-CN" w:bidi="ar"/>
        </w:rPr>
        <w:t>拆除</w:t>
      </w:r>
      <w:r>
        <w:rPr>
          <w:rFonts w:ascii="宋体" w:hAnsi="宋体" w:cs="宋体" w:hint="eastAsia"/>
          <w:color w:val="000000"/>
          <w:kern w:val="0"/>
          <w:sz w:val="24"/>
          <w:lang w:bidi="ar"/>
        </w:rPr>
        <w:t xml:space="preserve">前，检查塔机电气线路的绝缘电阻值是否合格、各级漏电保护器是否灵敏、塔机基础地线组织是否小于 4Ω。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16. 塔机本机组人员应在场，同时当面交待本机械电气设备使用情况。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17. 固定式塔机塔身轴心线对支承面侧向垂直度≤4‰，行走或底架式塔机塔身轴心 </w:t>
      </w:r>
    </w:p>
    <w:p>
      <w:pPr>
        <w:widowControl/>
        <w:spacing w:line="360" w:lineRule="auto"/>
        <w:jc w:val="left"/>
        <w:rPr>
          <w:rFonts w:cs="宋体" w:hint="eastAsia"/>
        </w:rPr>
      </w:pPr>
      <w:r>
        <w:rPr>
          <w:rFonts w:ascii="宋体" w:hAnsi="宋体" w:cs="宋体" w:hint="eastAsia"/>
          <w:color w:val="000000"/>
          <w:kern w:val="0"/>
          <w:sz w:val="24"/>
          <w:lang w:bidi="ar"/>
        </w:rPr>
        <w:t xml:space="preserve">线对支承面侧向垂直度≤3‰，最高附着点以下塔身轴心线对支承面侧向垂直度≤2‰， </w:t>
      </w:r>
    </w:p>
    <w:p>
      <w:pPr>
        <w:widowControl/>
        <w:spacing w:line="360" w:lineRule="auto"/>
        <w:jc w:val="left"/>
        <w:rPr>
          <w:rFonts w:cs="宋体" w:hint="eastAsia"/>
        </w:rPr>
      </w:pPr>
      <w:r>
        <w:rPr>
          <w:rFonts w:ascii="宋体" w:hAnsi="宋体" w:cs="宋体" w:hint="eastAsia"/>
          <w:color w:val="000000"/>
          <w:kern w:val="0"/>
          <w:sz w:val="24"/>
          <w:lang w:bidi="ar"/>
        </w:rPr>
        <w:t xml:space="preserve">最高附着点以上塔身轴心线对支承面侧向垂直度≤4‰。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18. 严格按塔机说明书规定进行塔机电气线路安拆。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19. 塔机接线端子必须按规定压牢，防止因接线松动引发火灾事故。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20. 塔机设置专用配电柜，不得在该配电柜上接其它用电设备。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21. 各起重机司机和信号工必须使用对讲机进行指令的接受和发出，确保对讲机的音质清晰，调频无干扰。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22. 吊装作业前必须进行试吊，吊绳套挂牢固，起重机缓缓起升，将吊绳蹦紧稍停试吊，试吊高度为 200mm。试吊中，指挥信号工、挂钩工、司机必须协调配合。发现吊物重心偏移或其他物件粘连等情况时，必须立即停止起吊，采取措施并确认安全后方可起吊。</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23. 吊装现场地面要平整坚实，有松软的土层要夯实及加垫木，以保证辅助起重机稳定作业。</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24. 塔机安拆、附着等过程中，需要搭设脚手架等工作平台的由施工总包单位设计并搭设，塔机安拆作业人员不得在无合规场地防护的地点强行作业。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25. 作业前，对各作业工种进行安全技术交底。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26. 作业前，安拆组组长对全员进行班前讲话，明确工作任务和注意要点。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27. 安拆组设专职安全员，对作业安全实时监护，对违反安全规定的人员，有权纠正或停止其工作，且专职安全员不得兼职其它工作。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28. 安拆组设专业电工从事电气安装、调试、拆卸等工作。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29. 现场应设立安全区域，并派专人监护，禁止非作业人员进入。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30. 合理安排作业人员，明确分工，责任落实到每个人。 </w:t>
      </w:r>
    </w:p>
    <w:p>
      <w:pPr>
        <w:widowControl/>
        <w:spacing w:line="360" w:lineRule="auto"/>
        <w:ind w:firstLine="480" w:firstLineChars="200"/>
        <w:jc w:val="left"/>
        <w:rPr>
          <w:rFonts w:cs="宋体" w:hint="eastAsia"/>
        </w:rPr>
      </w:pPr>
      <w:r>
        <w:rPr>
          <w:rFonts w:ascii="宋体" w:hAnsi="宋体" w:cs="宋体" w:hint="eastAsia"/>
          <w:color w:val="000000"/>
          <w:kern w:val="0"/>
          <w:sz w:val="24"/>
          <w:lang w:bidi="ar"/>
        </w:rPr>
        <w:t xml:space="preserve">31. 施工总包单位与塔机安拆单位签署安全协议，明确双方安全管理责任。 </w:t>
      </w:r>
    </w:p>
    <w:p>
      <w:pPr>
        <w:widowControl/>
        <w:spacing w:line="360" w:lineRule="auto"/>
        <w:ind w:firstLine="480" w:firstLineChars="200"/>
        <w:jc w:val="left"/>
        <w:rPr>
          <w:rFonts w:cs="宋体" w:hint="eastAsia"/>
        </w:rPr>
        <w:sectPr>
          <w:footerReference w:type="default" r:id="rId39"/>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21"/>
          <w:cols w:num="1" w:space="1680"/>
          <w:titlePg w:val="0"/>
          <w:docGrid w:linePitch="326" w:charSpace="59452"/>
        </w:sectPr>
      </w:pPr>
      <w:r>
        <w:rPr>
          <w:rFonts w:ascii="宋体" w:hAnsi="宋体" w:cs="宋体" w:hint="eastAsia"/>
          <w:color w:val="000000"/>
          <w:kern w:val="0"/>
          <w:sz w:val="24"/>
          <w:lang w:bidi="ar"/>
        </w:rPr>
        <w:t xml:space="preserve">32. 统一指挥，一切程序都必须通过指挥实施。 </w:t>
      </w:r>
    </w:p>
    <w:p>
      <w:pPr>
        <w:widowControl/>
        <w:spacing w:line="360" w:lineRule="auto"/>
        <w:ind w:firstLine="480" w:firstLineChars="200"/>
        <w:jc w:val="left"/>
        <w:rPr>
          <w:rFonts w:cs="宋体" w:hint="eastAsia"/>
          <w:color w:val="000000"/>
          <w:kern w:val="0"/>
          <w:sz w:val="24"/>
          <w:lang w:bidi="ar"/>
        </w:rPr>
      </w:pPr>
      <w:r>
        <w:rPr>
          <w:rFonts w:ascii="宋体" w:eastAsia="宋体" w:hAnsi="宋体" w:cs="宋体" w:hint="eastAsia"/>
          <w:color w:val="000000"/>
          <w:kern w:val="0"/>
          <w:sz w:val="24"/>
          <w:lang w:bidi="ar"/>
        </w:rPr>
        <w:t xml:space="preserve">33. 塔机安拆作业中如需动火、动焊作业，必须由总包单位统一审批，审批前应对作业点进行检查；动火、动焊前，应清理作业点及周围易燃、可燃物，配备灭火器具，明确现场看火人。 </w:t>
      </w:r>
    </w:p>
    <w:p>
      <w:pPr>
        <w:widowControl/>
        <w:spacing w:line="360" w:lineRule="auto"/>
        <w:ind w:firstLine="480" w:firstLineChars="200"/>
        <w:jc w:val="left"/>
        <w:rPr>
          <w:rFonts w:cs="宋体" w:hint="eastAsia"/>
          <w:color w:val="000000"/>
          <w:kern w:val="0"/>
          <w:sz w:val="24"/>
          <w:lang w:bidi="ar"/>
        </w:rPr>
      </w:pPr>
      <w:r>
        <w:rPr>
          <w:rFonts w:ascii="宋体" w:eastAsia="宋体" w:hAnsi="宋体" w:cs="宋体" w:hint="eastAsia"/>
          <w:color w:val="000000"/>
          <w:kern w:val="0"/>
          <w:sz w:val="24"/>
          <w:lang w:bidi="ar"/>
        </w:rPr>
        <w:t>34. 作业前，施工总包单位应对所有作业人员进行教育、答卷。</w:t>
      </w:r>
    </w:p>
    <w:p>
      <w:pPr>
        <w:pStyle w:val="cscec81"/>
        <w:numPr>
          <w:ilvl w:val="0"/>
          <w:numId w:val="0"/>
        </w:numPr>
        <w:bidi w:val="0"/>
        <w:ind w:left="0" w:firstLine="0" w:leftChars="0" w:firstLineChars="0"/>
        <w:rPr>
          <w:sz w:val="32"/>
          <w:szCs w:val="32"/>
        </w:rPr>
      </w:pPr>
      <w:bookmarkStart w:id="133" w:name="_Toc21363"/>
      <w:r>
        <w:rPr>
          <w:rFonts w:ascii="黑体" w:eastAsia="黑体" w:hAnsi="黑体" w:cs="黑体" w:hint="eastAsia"/>
          <w:b w:val="0"/>
          <w:i w:val="0"/>
          <w:caps w:val="0"/>
          <w:strike w:val="0"/>
          <w:dstrike w:val="0"/>
          <w:vanish w:val="0"/>
          <w:color w:val="auto"/>
          <w:kern w:val="2"/>
          <w:sz w:val="32"/>
          <w:szCs w:val="32"/>
          <w:u w:val="none"/>
          <w:vertAlign w:val="baseline"/>
          <w:lang w:val="en-US" w:eastAsia="zh-CN" w:bidi="ar-SA"/>
        </w:rPr>
        <w:t>第</w:t>
      </w:r>
      <w:r>
        <w:rPr>
          <w:rFonts w:cs="黑体" w:hint="eastAsia"/>
          <w:b w:val="0"/>
          <w:i w:val="0"/>
          <w:caps w:val="0"/>
          <w:strike w:val="0"/>
          <w:dstrike w:val="0"/>
          <w:vanish w:val="0"/>
          <w:color w:val="auto"/>
          <w:kern w:val="2"/>
          <w:sz w:val="32"/>
          <w:szCs w:val="32"/>
          <w:u w:val="none"/>
          <w:vertAlign w:val="baseline"/>
          <w:lang w:val="en-US" w:eastAsia="zh-CN" w:bidi="ar-SA"/>
        </w:rPr>
        <w:t>五</w:t>
      </w:r>
      <w:r>
        <w:rPr>
          <w:rFonts w:ascii="黑体" w:eastAsia="黑体" w:hAnsi="黑体" w:cs="黑体" w:hint="eastAsia"/>
          <w:b w:val="0"/>
          <w:i w:val="0"/>
          <w:caps w:val="0"/>
          <w:strike w:val="0"/>
          <w:dstrike w:val="0"/>
          <w:vanish w:val="0"/>
          <w:color w:val="auto"/>
          <w:kern w:val="2"/>
          <w:sz w:val="32"/>
          <w:szCs w:val="32"/>
          <w:u w:val="none"/>
          <w:vertAlign w:val="baseline"/>
          <w:lang w:val="en-US" w:eastAsia="zh-CN" w:bidi="ar-SA"/>
        </w:rPr>
        <w:t xml:space="preserve">章  </w:t>
      </w:r>
      <w:r>
        <w:rPr>
          <w:rFonts w:hint="eastAsia"/>
          <w:sz w:val="32"/>
          <w:szCs w:val="32"/>
        </w:rPr>
        <w:t>施工</w:t>
      </w:r>
      <w:r>
        <w:rPr>
          <w:rFonts w:hint="eastAsia"/>
          <w:sz w:val="32"/>
          <w:szCs w:val="32"/>
          <w:lang w:val="en-US" w:eastAsia="zh-CN"/>
        </w:rPr>
        <w:t>安全</w:t>
      </w:r>
      <w:r>
        <w:rPr>
          <w:rFonts w:hint="eastAsia"/>
          <w:sz w:val="32"/>
          <w:szCs w:val="32"/>
        </w:rPr>
        <w:t>保证措施</w:t>
      </w:r>
      <w:bookmarkEnd w:id="98"/>
      <w:bookmarkEnd w:id="99"/>
      <w:bookmarkEnd w:id="100"/>
      <w:bookmarkEnd w:id="101"/>
      <w:bookmarkEnd w:id="133"/>
    </w:p>
    <w:p>
      <w:pPr>
        <w:pStyle w:val="cscec82"/>
        <w:numPr>
          <w:ilvl w:val="1"/>
          <w:numId w:val="0"/>
        </w:numPr>
        <w:bidi w:val="0"/>
        <w:ind w:left="0" w:firstLine="0" w:leftChars="0" w:firstLineChars="0"/>
      </w:pPr>
      <w:bookmarkStart w:id="134" w:name="_Toc1229"/>
      <w:bookmarkStart w:id="135" w:name="_Toc21255"/>
      <w:r>
        <w:rPr>
          <w:rFonts w:cs="Times New Roman" w:hint="eastAsia"/>
          <w:b w:val="0"/>
          <w:i w:val="0"/>
          <w:caps w:val="0"/>
          <w:strike w:val="0"/>
          <w:dstrike w:val="0"/>
          <w:vanish w:val="0"/>
          <w:color w:val="auto"/>
          <w:kern w:val="2"/>
          <w:sz w:val="28"/>
          <w:szCs w:val="28"/>
          <w:u w:val="none"/>
          <w:vertAlign w:val="baseline"/>
          <w:lang w:val="en-US" w:eastAsia="zh-CN" w:bidi="ar-SA"/>
        </w:rPr>
        <w:t>5</w:t>
      </w:r>
      <w:r>
        <w:rPr>
          <w:rFonts w:ascii="黑体" w:eastAsia="黑体" w:hAnsi="黑体" w:cs="Times New Roman" w:hint="default"/>
          <w:b w:val="0"/>
          <w:i w:val="0"/>
          <w:caps w:val="0"/>
          <w:strike w:val="0"/>
          <w:dstrike w:val="0"/>
          <w:vanish w:val="0"/>
          <w:color w:val="auto"/>
          <w:kern w:val="2"/>
          <w:sz w:val="28"/>
          <w:szCs w:val="28"/>
          <w:u w:val="none"/>
          <w:vertAlign w:val="baseline"/>
          <w:lang w:val="en-US" w:eastAsia="zh-CN" w:bidi="ar-SA"/>
        </w:rPr>
        <w:t xml:space="preserve">.1  </w:t>
      </w:r>
      <w:r>
        <w:rPr>
          <w:rFonts w:hint="eastAsia"/>
        </w:rPr>
        <w:t>塔式起重机危险源分析、评价及控制措施</w:t>
      </w:r>
      <w:bookmarkEnd w:id="134"/>
      <w:bookmarkEnd w:id="135"/>
    </w:p>
    <w:p>
      <w:pPr>
        <w:pStyle w:val="cscec83"/>
        <w:numPr>
          <w:ilvl w:val="2"/>
          <w:numId w:val="0"/>
        </w:numPr>
        <w:bidi w:val="0"/>
        <w:ind w:left="0" w:firstLine="0" w:leftChars="0" w:firstLineChars="0"/>
      </w:pPr>
      <w:r>
        <w:rPr>
          <w:rFonts w:cs="Times New Roman" w:hint="eastAsia"/>
          <w:b w:val="0"/>
          <w:i w:val="0"/>
          <w:caps w:val="0"/>
          <w:strike w:val="0"/>
          <w:dstrike w:val="0"/>
          <w:vanish w:val="0"/>
          <w:color w:val="auto"/>
          <w:kern w:val="2"/>
          <w:sz w:val="24"/>
          <w:szCs w:val="21"/>
          <w:u w:val="none"/>
          <w:vertAlign w:val="baseline"/>
          <w:lang w:val="en-US" w:eastAsia="zh-CN" w:bidi="ar-SA"/>
        </w:rPr>
        <w:t>5</w:t>
      </w:r>
      <w:r>
        <w:rPr>
          <w:rFonts w:ascii="黑体" w:eastAsia="黑体" w:hAnsi="黑体" w:cs="Times New Roman" w:hint="eastAsia"/>
          <w:b w:val="0"/>
          <w:i w:val="0"/>
          <w:caps w:val="0"/>
          <w:strike w:val="0"/>
          <w:dstrike w:val="0"/>
          <w:vanish w:val="0"/>
          <w:color w:val="auto"/>
          <w:kern w:val="2"/>
          <w:sz w:val="24"/>
          <w:szCs w:val="21"/>
          <w:u w:val="none"/>
          <w:vertAlign w:val="baseline"/>
          <w:lang w:val="en-US" w:eastAsia="zh-CN" w:bidi="ar-SA"/>
        </w:rPr>
        <w:t xml:space="preserve">.1.1  </w:t>
      </w:r>
      <w:r>
        <w:rPr>
          <w:rFonts w:hint="eastAsia"/>
        </w:rPr>
        <w:t>塔式起重机危险源辨识</w:t>
      </w:r>
    </w:p>
    <w:p>
      <w:pPr>
        <w:pStyle w:val="cscec8b"/>
        <w:numPr>
          <w:ilvl w:val="7"/>
          <w:numId w:val="0"/>
        </w:numPr>
        <w:bidi w:val="0"/>
        <w:ind w:left="0" w:firstLine="0" w:leftChars="0" w:firstLineChars="0"/>
      </w:pPr>
      <w:r>
        <w:rPr>
          <w:rFonts w:ascii="黑体" w:eastAsia="黑体" w:hAnsi="黑体" w:cs="Times New Roman" w:hint="eastAsia"/>
          <w:b w:val="0"/>
          <w:i w:val="0"/>
          <w:kern w:val="2"/>
          <w:sz w:val="24"/>
          <w:szCs w:val="24"/>
          <w:lang w:val="en-US" w:eastAsia="zh-CN" w:bidi="ar-SA"/>
        </w:rPr>
        <w:t>表</w:t>
      </w:r>
      <w:r>
        <w:rPr>
          <w:rFonts w:cs="Times New Roman" w:hint="eastAsia"/>
          <w:b w:val="0"/>
          <w:i w:val="0"/>
          <w:kern w:val="2"/>
          <w:sz w:val="24"/>
          <w:szCs w:val="24"/>
          <w:lang w:val="en-US" w:eastAsia="zh-CN" w:bidi="ar-SA"/>
        </w:rPr>
        <w:t>5</w:t>
      </w:r>
      <w:r>
        <w:rPr>
          <w:rFonts w:ascii="黑体" w:eastAsia="黑体" w:hAnsi="黑体" w:cs="Times New Roman" w:hint="eastAsia"/>
          <w:b w:val="0"/>
          <w:i w:val="0"/>
          <w:kern w:val="2"/>
          <w:sz w:val="24"/>
          <w:szCs w:val="24"/>
          <w:lang w:val="en-US" w:eastAsia="zh-CN" w:bidi="ar-SA"/>
        </w:rPr>
        <w:t xml:space="preserve">.1-1  </w:t>
      </w:r>
      <w:r>
        <w:rPr>
          <w:rFonts w:hint="eastAsia"/>
        </w:rPr>
        <w:t>塔式起重机拆卸危险源分析、评价及应急措施</w:t>
      </w:r>
    </w:p>
    <w:tbl>
      <w:tblPr>
        <w:tblStyle w:val="TableNormal"/>
        <w:tblW w:w="9400" w:type="dxa"/>
        <w:tblInd w:w="113" w:type="dxa"/>
        <w:tblLayout w:type="fixed"/>
        <w:tblCellMar>
          <w:top w:w="0" w:type="dxa"/>
          <w:left w:w="108" w:type="dxa"/>
          <w:bottom w:w="0" w:type="dxa"/>
          <w:right w:w="108" w:type="dxa"/>
        </w:tblCellMar>
      </w:tblPr>
      <w:tblGrid>
        <w:gridCol w:w="530"/>
        <w:gridCol w:w="495"/>
        <w:gridCol w:w="500"/>
        <w:gridCol w:w="2768"/>
        <w:gridCol w:w="1178"/>
        <w:gridCol w:w="534"/>
        <w:gridCol w:w="3159"/>
        <w:gridCol w:w="236"/>
      </w:tblGrid>
      <w:tr>
        <w:tblPrEx>
          <w:tblW w:w="9400" w:type="dxa"/>
          <w:tblInd w:w="113" w:type="dxa"/>
          <w:tblLayout w:type="fixed"/>
          <w:tblCellMar>
            <w:top w:w="0" w:type="dxa"/>
            <w:left w:w="108" w:type="dxa"/>
            <w:bottom w:w="0" w:type="dxa"/>
            <w:right w:w="108" w:type="dxa"/>
          </w:tblCellMar>
        </w:tblPrEx>
        <w:trPr>
          <w:gridAfter w:val="1"/>
          <w:wAfter w:w="156" w:type="dxa"/>
          <w:trHeight w:val="335"/>
        </w:trPr>
        <w:tc>
          <w:tcPr>
            <w:tcW w:w="9244" w:type="dxa"/>
            <w:gridSpan w:val="7"/>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pPr>
              <w:widowControl/>
              <w:jc w:val="center"/>
              <w:rPr>
                <w:rFonts w:cs="宋体"/>
                <w:b/>
                <w:bCs/>
                <w:color w:val="000000"/>
                <w:kern w:val="0"/>
                <w:highlight w:val="none"/>
              </w:rPr>
            </w:pPr>
            <w:r>
              <w:rPr>
                <w:rFonts w:ascii="宋体" w:hAnsi="宋体" w:cs="宋体" w:hint="eastAsia"/>
                <w:b/>
                <w:bCs/>
                <w:color w:val="000000"/>
                <w:kern w:val="0"/>
                <w:sz w:val="21"/>
                <w:szCs w:val="21"/>
                <w:highlight w:val="none"/>
              </w:rPr>
              <w:t>重大风险源清单</w:t>
            </w:r>
          </w:p>
        </w:tc>
      </w:tr>
      <w:tr>
        <w:tblPrEx>
          <w:tblW w:w="9400" w:type="dxa"/>
          <w:tblInd w:w="113" w:type="dxa"/>
          <w:tblLayout w:type="fixed"/>
          <w:tblCellMar>
            <w:top w:w="0" w:type="dxa"/>
            <w:left w:w="108" w:type="dxa"/>
            <w:bottom w:w="0" w:type="dxa"/>
            <w:right w:w="108" w:type="dxa"/>
          </w:tblCellMar>
        </w:tblPrEx>
        <w:trPr>
          <w:trHeight w:val="718"/>
        </w:trPr>
        <w:tc>
          <w:tcPr>
            <w:tcW w:w="9244" w:type="dxa"/>
            <w:gridSpan w:val="7"/>
            <w:vMerge/>
            <w:tcBorders>
              <w:top w:val="single" w:sz="4" w:space="0" w:color="auto"/>
              <w:left w:val="single" w:sz="4" w:space="0" w:color="auto"/>
              <w:bottom w:val="single" w:sz="4" w:space="0" w:color="000000"/>
              <w:right w:val="single" w:sz="4" w:space="0" w:color="000000"/>
            </w:tcBorders>
            <w:vAlign w:val="center"/>
          </w:tcPr>
          <w:p>
            <w:pPr>
              <w:widowControl/>
              <w:jc w:val="left"/>
              <w:rPr>
                <w:rFonts w:cs="宋体"/>
                <w:b/>
                <w:bCs/>
                <w:color w:val="000000"/>
                <w:kern w:val="0"/>
                <w:highlight w:val="none"/>
              </w:rPr>
            </w:pPr>
          </w:p>
        </w:tc>
        <w:tc>
          <w:tcPr>
            <w:tcW w:w="156" w:type="dxa"/>
            <w:tcBorders>
              <w:top w:val="nil"/>
              <w:left w:val="nil"/>
              <w:bottom w:val="nil"/>
              <w:right w:val="nil"/>
            </w:tcBorders>
            <w:shd w:val="clear" w:color="auto" w:fill="auto"/>
            <w:noWrap/>
            <w:vAlign w:val="bottom"/>
          </w:tcPr>
          <w:p>
            <w:pPr>
              <w:widowControl/>
              <w:jc w:val="center"/>
              <w:rPr>
                <w:rFonts w:cs="宋体"/>
                <w:b/>
                <w:bCs/>
                <w:color w:val="000000"/>
                <w:kern w:val="0"/>
                <w:sz w:val="36"/>
                <w:szCs w:val="36"/>
                <w:highlight w:val="none"/>
              </w:rPr>
            </w:pPr>
          </w:p>
        </w:tc>
      </w:tr>
      <w:tr>
        <w:tblPrEx>
          <w:tblW w:w="9400" w:type="dxa"/>
          <w:tblInd w:w="113" w:type="dxa"/>
          <w:tblLayout w:type="fixed"/>
          <w:tblCellMar>
            <w:top w:w="0" w:type="dxa"/>
            <w:left w:w="108" w:type="dxa"/>
            <w:bottom w:w="0" w:type="dxa"/>
            <w:right w:w="108" w:type="dxa"/>
          </w:tblCellMar>
        </w:tblPrEx>
        <w:trPr>
          <w:trHeight w:val="411"/>
        </w:trPr>
        <w:tc>
          <w:tcPr>
            <w:tcW w:w="533" w:type="dxa"/>
            <w:vMerge w:val="restart"/>
            <w:tcBorders>
              <w:top w:val="nil"/>
              <w:left w:val="single" w:sz="4" w:space="0" w:color="auto"/>
              <w:bottom w:val="single" w:sz="4" w:space="0" w:color="000000"/>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序号</w:t>
            </w:r>
          </w:p>
        </w:tc>
        <w:tc>
          <w:tcPr>
            <w:tcW w:w="49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事故类型</w:t>
            </w:r>
          </w:p>
        </w:tc>
        <w:tc>
          <w:tcPr>
            <w:tcW w:w="503"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施工活动</w:t>
            </w:r>
          </w:p>
        </w:tc>
        <w:tc>
          <w:tcPr>
            <w:tcW w:w="2795"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危险源</w:t>
            </w:r>
          </w:p>
        </w:tc>
        <w:tc>
          <w:tcPr>
            <w:tcW w:w="1188" w:type="dxa"/>
            <w:vMerge w:val="restart"/>
            <w:tcBorders>
              <w:top w:val="nil"/>
              <w:left w:val="single" w:sz="4" w:space="0" w:color="auto"/>
              <w:bottom w:val="single" w:sz="4" w:space="0" w:color="000000"/>
              <w:right w:val="nil"/>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可能导致的伤害（事故）</w:t>
            </w:r>
          </w:p>
        </w:tc>
        <w:tc>
          <w:tcPr>
            <w:tcW w:w="537" w:type="dxa"/>
            <w:vMerge w:val="restart"/>
            <w:tcBorders>
              <w:top w:val="nil"/>
              <w:left w:val="single" w:sz="4" w:space="0" w:color="auto"/>
              <w:bottom w:val="single" w:sz="4" w:space="0" w:color="000000"/>
              <w:right w:val="nil"/>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风险等级</w:t>
            </w:r>
          </w:p>
        </w:tc>
        <w:tc>
          <w:tcPr>
            <w:tcW w:w="3190"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现有控制措施或管理方式</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1150"/>
        </w:trPr>
        <w:tc>
          <w:tcPr>
            <w:tcW w:w="533" w:type="dxa"/>
            <w:vMerge/>
            <w:tcBorders>
              <w:top w:val="nil"/>
              <w:left w:val="single" w:sz="4" w:space="0" w:color="auto"/>
              <w:bottom w:val="single" w:sz="4" w:space="0" w:color="000000"/>
              <w:right w:val="single" w:sz="4" w:space="0" w:color="auto"/>
            </w:tcBorders>
            <w:vAlign w:val="center"/>
          </w:tcPr>
          <w:p>
            <w:pPr>
              <w:pStyle w:val="WPSOffice1"/>
              <w:jc w:val="center"/>
              <w:rPr>
                <w:rFonts w:ascii="宋体" w:eastAsia="宋体" w:hAnsi="宋体" w:cs="宋体" w:hint="eastAsia"/>
                <w:kern w:val="2"/>
                <w:sz w:val="21"/>
                <w:szCs w:val="21"/>
              </w:rPr>
            </w:pPr>
          </w:p>
        </w:tc>
        <w:tc>
          <w:tcPr>
            <w:tcW w:w="498" w:type="dxa"/>
            <w:vMerge/>
            <w:tcBorders>
              <w:top w:val="single" w:sz="4" w:space="0" w:color="auto"/>
              <w:left w:val="single" w:sz="4" w:space="0" w:color="auto"/>
              <w:bottom w:val="single" w:sz="4" w:space="0" w:color="000000"/>
              <w:right w:val="single" w:sz="4" w:space="0" w:color="000000"/>
            </w:tcBorders>
            <w:vAlign w:val="center"/>
          </w:tcPr>
          <w:p>
            <w:pPr>
              <w:pStyle w:val="WPSOffice1"/>
              <w:jc w:val="center"/>
              <w:rPr>
                <w:rFonts w:ascii="宋体" w:eastAsia="宋体" w:hAnsi="宋体" w:cs="宋体" w:hint="eastAsia"/>
                <w:kern w:val="2"/>
                <w:sz w:val="21"/>
                <w:szCs w:val="21"/>
              </w:rPr>
            </w:pPr>
          </w:p>
        </w:tc>
        <w:tc>
          <w:tcPr>
            <w:tcW w:w="503" w:type="dxa"/>
            <w:vMerge/>
            <w:tcBorders>
              <w:top w:val="single" w:sz="4" w:space="0" w:color="auto"/>
              <w:left w:val="single" w:sz="4" w:space="0" w:color="auto"/>
              <w:bottom w:val="single" w:sz="4" w:space="0" w:color="000000"/>
              <w:right w:val="single" w:sz="4" w:space="0" w:color="000000"/>
            </w:tcBorders>
            <w:vAlign w:val="center"/>
          </w:tcPr>
          <w:p>
            <w:pPr>
              <w:pStyle w:val="WPSOffice1"/>
              <w:jc w:val="center"/>
              <w:rPr>
                <w:rFonts w:ascii="宋体" w:eastAsia="宋体" w:hAnsi="宋体" w:cs="宋体" w:hint="eastAsia"/>
                <w:kern w:val="2"/>
                <w:sz w:val="21"/>
                <w:szCs w:val="21"/>
              </w:rPr>
            </w:pPr>
          </w:p>
        </w:tc>
        <w:tc>
          <w:tcPr>
            <w:tcW w:w="2795" w:type="dxa"/>
            <w:vMerge/>
            <w:tcBorders>
              <w:top w:val="single" w:sz="4" w:space="0" w:color="auto"/>
              <w:left w:val="single" w:sz="4" w:space="0" w:color="auto"/>
              <w:bottom w:val="single" w:sz="4" w:space="0" w:color="000000"/>
              <w:right w:val="single" w:sz="4" w:space="0" w:color="000000"/>
            </w:tcBorders>
            <w:vAlign w:val="center"/>
          </w:tcPr>
          <w:p>
            <w:pPr>
              <w:pStyle w:val="WPSOffice1"/>
              <w:jc w:val="center"/>
              <w:rPr>
                <w:rFonts w:ascii="宋体" w:eastAsia="宋体" w:hAnsi="宋体" w:cs="宋体" w:hint="eastAsia"/>
                <w:kern w:val="2"/>
                <w:sz w:val="21"/>
                <w:szCs w:val="21"/>
              </w:rPr>
            </w:pPr>
          </w:p>
        </w:tc>
        <w:tc>
          <w:tcPr>
            <w:tcW w:w="1188" w:type="dxa"/>
            <w:vMerge/>
            <w:tcBorders>
              <w:top w:val="nil"/>
              <w:left w:val="single" w:sz="4" w:space="0" w:color="auto"/>
              <w:bottom w:val="single" w:sz="4" w:space="0" w:color="000000"/>
              <w:right w:val="nil"/>
            </w:tcBorders>
            <w:vAlign w:val="center"/>
          </w:tcPr>
          <w:p>
            <w:pPr>
              <w:pStyle w:val="WPSOffice1"/>
              <w:jc w:val="center"/>
              <w:rPr>
                <w:rFonts w:ascii="宋体" w:eastAsia="宋体" w:hAnsi="宋体" w:cs="宋体" w:hint="eastAsia"/>
                <w:kern w:val="2"/>
                <w:sz w:val="21"/>
                <w:szCs w:val="21"/>
              </w:rPr>
            </w:pPr>
          </w:p>
        </w:tc>
        <w:tc>
          <w:tcPr>
            <w:tcW w:w="537" w:type="dxa"/>
            <w:vMerge/>
            <w:tcBorders>
              <w:top w:val="nil"/>
              <w:left w:val="single" w:sz="4" w:space="0" w:color="auto"/>
              <w:bottom w:val="single" w:sz="4" w:space="0" w:color="000000"/>
              <w:right w:val="nil"/>
            </w:tcBorders>
            <w:vAlign w:val="center"/>
          </w:tcPr>
          <w:p>
            <w:pPr>
              <w:pStyle w:val="WPSOffice1"/>
              <w:jc w:val="center"/>
              <w:rPr>
                <w:rFonts w:ascii="宋体" w:eastAsia="宋体" w:hAnsi="宋体" w:cs="宋体" w:hint="eastAsia"/>
                <w:kern w:val="2"/>
                <w:sz w:val="21"/>
                <w:szCs w:val="21"/>
              </w:rPr>
            </w:pPr>
          </w:p>
        </w:tc>
        <w:tc>
          <w:tcPr>
            <w:tcW w:w="3190" w:type="dxa"/>
            <w:vMerge/>
            <w:tcBorders>
              <w:top w:val="single" w:sz="4" w:space="0" w:color="auto"/>
              <w:left w:val="single" w:sz="4" w:space="0" w:color="auto"/>
              <w:bottom w:val="single" w:sz="4" w:space="0" w:color="000000"/>
              <w:right w:val="single" w:sz="4" w:space="0" w:color="000000"/>
            </w:tcBorders>
            <w:vAlign w:val="center"/>
          </w:tcPr>
          <w:p>
            <w:pPr>
              <w:pStyle w:val="WPSOffice1"/>
              <w:jc w:val="center"/>
              <w:rPr>
                <w:rFonts w:ascii="宋体" w:eastAsia="宋体" w:hAnsi="宋体" w:cs="宋体" w:hint="eastAsia"/>
                <w:kern w:val="2"/>
                <w:sz w:val="21"/>
                <w:szCs w:val="21"/>
              </w:rPr>
            </w:pPr>
          </w:p>
        </w:tc>
        <w:tc>
          <w:tcPr>
            <w:tcW w:w="156" w:type="dxa"/>
            <w:tcBorders>
              <w:top w:val="nil"/>
              <w:left w:val="nil"/>
              <w:bottom w:val="nil"/>
              <w:right w:val="nil"/>
            </w:tcBorders>
            <w:shd w:val="clear" w:color="auto" w:fill="auto"/>
            <w:noWrap/>
            <w:vAlign w:val="bottom"/>
          </w:tcPr>
          <w:p>
            <w:pPr>
              <w:widowControl/>
              <w:jc w:val="center"/>
              <w:rPr>
                <w:rFonts w:cs="宋体"/>
                <w:b/>
                <w:bCs/>
                <w:color w:val="000000"/>
                <w:kern w:val="0"/>
                <w:sz w:val="22"/>
                <w:szCs w:val="22"/>
                <w:highlight w:val="none"/>
              </w:rPr>
            </w:pPr>
          </w:p>
        </w:tc>
      </w:tr>
      <w:tr>
        <w:tblPrEx>
          <w:tblW w:w="9400" w:type="dxa"/>
          <w:tblInd w:w="113" w:type="dxa"/>
          <w:tblLayout w:type="fixed"/>
          <w:tblCellMar>
            <w:top w:w="0" w:type="dxa"/>
            <w:left w:w="108" w:type="dxa"/>
            <w:bottom w:w="0" w:type="dxa"/>
            <w:right w:w="108" w:type="dxa"/>
          </w:tblCellMar>
        </w:tblPrEx>
        <w:trPr>
          <w:trHeight w:val="677"/>
        </w:trPr>
        <w:tc>
          <w:tcPr>
            <w:tcW w:w="533" w:type="dxa"/>
            <w:tcBorders>
              <w:top w:val="nil"/>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1</w:t>
            </w:r>
          </w:p>
        </w:tc>
        <w:tc>
          <w:tcPr>
            <w:tcW w:w="49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高处坠落</w:t>
            </w:r>
          </w:p>
        </w:tc>
        <w:tc>
          <w:tcPr>
            <w:tcW w:w="503"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塔</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式</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起</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重</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机</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安</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装</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顶</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升</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附</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着</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安</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装</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及</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拆</w:t>
            </w:r>
          </w:p>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除</w:t>
            </w:r>
          </w:p>
        </w:tc>
        <w:tc>
          <w:tcPr>
            <w:tcW w:w="2795" w:type="dxa"/>
            <w:tcBorders>
              <w:top w:val="single" w:sz="4" w:space="0" w:color="auto"/>
              <w:left w:val="nil"/>
              <w:bottom w:val="single" w:sz="4" w:space="0" w:color="auto"/>
              <w:right w:val="single" w:sz="4" w:space="0" w:color="000000"/>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lang w:val="en-US" w:eastAsia="zh-CN"/>
              </w:rPr>
              <w:t>拆除</w:t>
            </w:r>
            <w:r>
              <w:rPr>
                <w:rFonts w:ascii="宋体" w:eastAsia="宋体" w:hAnsi="宋体" w:cs="宋体" w:hint="eastAsia"/>
                <w:kern w:val="2"/>
                <w:sz w:val="21"/>
                <w:szCs w:val="21"/>
              </w:rPr>
              <w:t>人员高处作业未佩戴安全带</w:t>
            </w:r>
          </w:p>
        </w:tc>
        <w:tc>
          <w:tcPr>
            <w:tcW w:w="1188" w:type="dxa"/>
            <w:vMerge w:val="restart"/>
            <w:tcBorders>
              <w:top w:val="nil"/>
              <w:left w:val="single" w:sz="4" w:space="0" w:color="auto"/>
              <w:bottom w:val="single" w:sz="4" w:space="0" w:color="000000"/>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跌落</w:t>
            </w:r>
          </w:p>
        </w:tc>
        <w:tc>
          <w:tcPr>
            <w:tcW w:w="537"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高空作业人员必须佩戴安全带，做到高挂低用</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677"/>
        </w:trPr>
        <w:tc>
          <w:tcPr>
            <w:tcW w:w="533" w:type="dxa"/>
            <w:tcBorders>
              <w:top w:val="nil"/>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2</w:t>
            </w:r>
          </w:p>
        </w:tc>
        <w:tc>
          <w:tcPr>
            <w:tcW w:w="498"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503"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nil"/>
              <w:bottom w:val="single" w:sz="4" w:space="0" w:color="auto"/>
              <w:right w:val="single" w:sz="4" w:space="0" w:color="000000"/>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lang w:val="en-US" w:eastAsia="zh-CN"/>
              </w:rPr>
              <w:t>拆除</w:t>
            </w:r>
            <w:r>
              <w:rPr>
                <w:rFonts w:ascii="宋体" w:eastAsia="宋体" w:hAnsi="宋体" w:cs="宋体" w:hint="eastAsia"/>
                <w:kern w:val="2"/>
                <w:sz w:val="21"/>
                <w:szCs w:val="21"/>
              </w:rPr>
              <w:t>人员上下基坑走简易通道</w:t>
            </w:r>
          </w:p>
        </w:tc>
        <w:tc>
          <w:tcPr>
            <w:tcW w:w="1188" w:type="dxa"/>
            <w:vMerge/>
            <w:tcBorders>
              <w:top w:val="nil"/>
              <w:left w:val="single" w:sz="4" w:space="0" w:color="auto"/>
              <w:bottom w:val="single" w:sz="4" w:space="0" w:color="000000"/>
              <w:right w:val="single" w:sz="4" w:space="0" w:color="auto"/>
            </w:tcBorders>
            <w:vAlign w:val="center"/>
          </w:tcPr>
          <w:p>
            <w:pPr>
              <w:pStyle w:val="WPSOffice1"/>
              <w:jc w:val="center"/>
              <w:rPr>
                <w:rFonts w:ascii="宋体" w:eastAsia="宋体" w:hAnsi="宋体" w:cs="宋体" w:hint="eastAsia"/>
                <w:kern w:val="2"/>
                <w:sz w:val="21"/>
                <w:szCs w:val="21"/>
              </w:rPr>
            </w:pPr>
          </w:p>
        </w:tc>
        <w:tc>
          <w:tcPr>
            <w:tcW w:w="537"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上下基坑搭设专用通道</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636"/>
        </w:trPr>
        <w:tc>
          <w:tcPr>
            <w:tcW w:w="533" w:type="dxa"/>
            <w:tcBorders>
              <w:top w:val="nil"/>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3</w:t>
            </w:r>
          </w:p>
        </w:tc>
        <w:tc>
          <w:tcPr>
            <w:tcW w:w="498"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503"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nil"/>
              <w:bottom w:val="single" w:sz="4" w:space="0" w:color="auto"/>
              <w:right w:val="single" w:sz="4" w:space="0" w:color="000000"/>
            </w:tcBorders>
            <w:shd w:val="clear" w:color="auto" w:fill="auto"/>
            <w:vAlign w:val="bottom"/>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高处作业人员未穿防滑鞋</w:t>
            </w:r>
          </w:p>
        </w:tc>
        <w:tc>
          <w:tcPr>
            <w:tcW w:w="1188" w:type="dxa"/>
            <w:vMerge/>
            <w:tcBorders>
              <w:top w:val="nil"/>
              <w:left w:val="single" w:sz="4" w:space="0" w:color="auto"/>
              <w:bottom w:val="single" w:sz="4" w:space="0" w:color="000000"/>
              <w:right w:val="single" w:sz="4" w:space="0" w:color="auto"/>
            </w:tcBorders>
            <w:vAlign w:val="center"/>
          </w:tcPr>
          <w:p>
            <w:pPr>
              <w:pStyle w:val="WPSOffice1"/>
              <w:jc w:val="center"/>
              <w:rPr>
                <w:rFonts w:ascii="宋体" w:eastAsia="宋体" w:hAnsi="宋体" w:cs="宋体" w:hint="eastAsia"/>
                <w:kern w:val="2"/>
                <w:sz w:val="21"/>
                <w:szCs w:val="21"/>
              </w:rPr>
            </w:pPr>
          </w:p>
        </w:tc>
        <w:tc>
          <w:tcPr>
            <w:tcW w:w="537"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高处作业人员必须穿防滑鞋</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1000"/>
        </w:trPr>
        <w:tc>
          <w:tcPr>
            <w:tcW w:w="533" w:type="dxa"/>
            <w:tcBorders>
              <w:top w:val="nil"/>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4</w:t>
            </w:r>
          </w:p>
        </w:tc>
        <w:tc>
          <w:tcPr>
            <w:tcW w:w="498"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物体打击</w:t>
            </w:r>
          </w:p>
        </w:tc>
        <w:tc>
          <w:tcPr>
            <w:tcW w:w="503"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nil"/>
              <w:bottom w:val="single" w:sz="4" w:space="0" w:color="auto"/>
              <w:right w:val="single" w:sz="4" w:space="0" w:color="000000"/>
            </w:tcBorders>
            <w:shd w:val="clear" w:color="auto" w:fill="auto"/>
            <w:vAlign w:val="bottom"/>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塔机</w:t>
            </w:r>
            <w:r>
              <w:rPr>
                <w:rFonts w:ascii="宋体" w:eastAsia="宋体" w:hAnsi="宋体" w:cs="宋体" w:hint="eastAsia"/>
                <w:kern w:val="2"/>
                <w:sz w:val="21"/>
                <w:szCs w:val="21"/>
                <w:lang w:val="en-US" w:eastAsia="zh-CN"/>
              </w:rPr>
              <w:t>拆除</w:t>
            </w:r>
            <w:r>
              <w:rPr>
                <w:rFonts w:ascii="宋体" w:eastAsia="宋体" w:hAnsi="宋体" w:cs="宋体" w:hint="eastAsia"/>
                <w:kern w:val="2"/>
                <w:sz w:val="21"/>
                <w:szCs w:val="21"/>
              </w:rPr>
              <w:t>作业半径内有人员通过</w:t>
            </w:r>
          </w:p>
        </w:tc>
        <w:tc>
          <w:tcPr>
            <w:tcW w:w="1188"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物体打击</w:t>
            </w:r>
          </w:p>
        </w:tc>
        <w:tc>
          <w:tcPr>
            <w:tcW w:w="537"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lang w:val="en-US" w:eastAsia="zh-CN"/>
              </w:rPr>
              <w:t>拆除</w:t>
            </w:r>
            <w:r>
              <w:rPr>
                <w:rFonts w:ascii="宋体" w:eastAsia="宋体" w:hAnsi="宋体" w:cs="宋体" w:hint="eastAsia"/>
                <w:kern w:val="2"/>
                <w:sz w:val="21"/>
                <w:szCs w:val="21"/>
              </w:rPr>
              <w:t>作业区设置警戒区、拉警戒线，吊装组员安全员现场全程监督</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605"/>
        </w:trPr>
        <w:tc>
          <w:tcPr>
            <w:tcW w:w="533" w:type="dxa"/>
            <w:tcBorders>
              <w:top w:val="nil"/>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5</w:t>
            </w:r>
          </w:p>
        </w:tc>
        <w:tc>
          <w:tcPr>
            <w:tcW w:w="498"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503"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nil"/>
              <w:bottom w:val="single" w:sz="4" w:space="0" w:color="auto"/>
              <w:right w:val="single" w:sz="4" w:space="0" w:color="000000"/>
            </w:tcBorders>
            <w:shd w:val="clear" w:color="auto" w:fill="auto"/>
            <w:vAlign w:val="bottom"/>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存在上下立体交叉作业</w:t>
            </w:r>
          </w:p>
        </w:tc>
        <w:tc>
          <w:tcPr>
            <w:tcW w:w="1188"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伤人</w:t>
            </w:r>
          </w:p>
        </w:tc>
        <w:tc>
          <w:tcPr>
            <w:tcW w:w="537"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禁止上下立体交叉作业</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693"/>
        </w:trPr>
        <w:tc>
          <w:tcPr>
            <w:tcW w:w="533" w:type="dxa"/>
            <w:tcBorders>
              <w:top w:val="nil"/>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6</w:t>
            </w:r>
          </w:p>
        </w:tc>
        <w:tc>
          <w:tcPr>
            <w:tcW w:w="498"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503"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nil"/>
              <w:bottom w:val="single" w:sz="4" w:space="0" w:color="auto"/>
              <w:right w:val="single" w:sz="4" w:space="0" w:color="000000"/>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作业人员没有戴安全帽或没有正确戴安全帽</w:t>
            </w:r>
          </w:p>
        </w:tc>
        <w:tc>
          <w:tcPr>
            <w:tcW w:w="1188"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伤人</w:t>
            </w:r>
          </w:p>
        </w:tc>
        <w:tc>
          <w:tcPr>
            <w:tcW w:w="537"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加强安全教育及配戴防护用品的教育</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693"/>
        </w:trPr>
        <w:tc>
          <w:tcPr>
            <w:tcW w:w="533" w:type="dxa"/>
            <w:tcBorders>
              <w:top w:val="nil"/>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7</w:t>
            </w:r>
          </w:p>
        </w:tc>
        <w:tc>
          <w:tcPr>
            <w:tcW w:w="498"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503" w:type="dxa"/>
            <w:vMerge/>
            <w:tcBorders>
              <w:top w:val="nil"/>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nil"/>
              <w:bottom w:val="single" w:sz="4" w:space="0" w:color="auto"/>
              <w:right w:val="single" w:sz="4" w:space="0" w:color="000000"/>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lang w:val="en-US" w:eastAsia="zh-CN"/>
              </w:rPr>
              <w:t>拆除</w:t>
            </w:r>
            <w:r>
              <w:rPr>
                <w:rFonts w:ascii="宋体" w:eastAsia="宋体" w:hAnsi="宋体" w:cs="宋体" w:hint="eastAsia"/>
                <w:kern w:val="2"/>
                <w:sz w:val="21"/>
                <w:szCs w:val="21"/>
              </w:rPr>
              <w:t>作业人员的工具脱落</w:t>
            </w:r>
          </w:p>
        </w:tc>
        <w:tc>
          <w:tcPr>
            <w:tcW w:w="1188"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伤人</w:t>
            </w:r>
          </w:p>
        </w:tc>
        <w:tc>
          <w:tcPr>
            <w:tcW w:w="537" w:type="dxa"/>
            <w:tcBorders>
              <w:top w:val="nil"/>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上下作业工具放入专用工作袋内，工具上配备防脱落措施</w:t>
            </w:r>
          </w:p>
        </w:tc>
        <w:tc>
          <w:tcPr>
            <w:tcW w:w="156" w:type="dxa"/>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1000"/>
        </w:trPr>
        <w:tc>
          <w:tcPr>
            <w:tcW w:w="53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8</w:t>
            </w:r>
          </w:p>
        </w:tc>
        <w:tc>
          <w:tcPr>
            <w:tcW w:w="4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触电</w:t>
            </w:r>
          </w:p>
        </w:tc>
        <w:tc>
          <w:tcPr>
            <w:tcW w:w="503" w:type="dxa"/>
            <w:vMerge/>
            <w:tcBorders>
              <w:top w:val="single" w:sz="4" w:space="0" w:color="auto"/>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施工作业人员使用机械未佩戴绝缘手套、绝缘鞋等防护装置</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伤人</w:t>
            </w:r>
          </w:p>
        </w:tc>
        <w:tc>
          <w:tcPr>
            <w:tcW w:w="537"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人员作业配备齐全防护装置，方可作业。</w:t>
            </w:r>
          </w:p>
        </w:tc>
        <w:tc>
          <w:tcPr>
            <w:tcW w:w="156" w:type="dxa"/>
            <w:tcBorders>
              <w:left w:val="single" w:sz="4" w:space="0" w:color="auto"/>
            </w:tcBorders>
            <w:vAlign w:val="center"/>
          </w:tcPr>
          <w:p>
            <w:pPr>
              <w:widowControl/>
              <w:jc w:val="left"/>
              <w:rPr>
                <w:rFonts w:eastAsia="Times New Roman"/>
                <w:kern w:val="0"/>
                <w:sz w:val="20"/>
                <w:szCs w:val="20"/>
                <w:highlight w:val="none"/>
              </w:rPr>
            </w:pPr>
          </w:p>
        </w:tc>
      </w:tr>
      <w:tr>
        <w:tblPrEx>
          <w:tblW w:w="9400" w:type="dxa"/>
          <w:tblInd w:w="113" w:type="dxa"/>
          <w:tblLayout w:type="fixed"/>
          <w:tblCellMar>
            <w:top w:w="0" w:type="dxa"/>
            <w:left w:w="108" w:type="dxa"/>
            <w:bottom w:w="0" w:type="dxa"/>
            <w:right w:w="108" w:type="dxa"/>
          </w:tblCellMar>
        </w:tblPrEx>
        <w:trPr>
          <w:trHeight w:val="605"/>
        </w:trPr>
        <w:tc>
          <w:tcPr>
            <w:tcW w:w="53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9</w:t>
            </w:r>
          </w:p>
        </w:tc>
        <w:tc>
          <w:tcPr>
            <w:tcW w:w="498" w:type="dxa"/>
            <w:vMerge/>
            <w:tcBorders>
              <w:top w:val="single" w:sz="4" w:space="0" w:color="auto"/>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503" w:type="dxa"/>
            <w:vMerge/>
            <w:tcBorders>
              <w:top w:val="single" w:sz="4" w:space="0" w:color="auto"/>
              <w:left w:val="single" w:sz="4" w:space="0" w:color="auto"/>
              <w:bottom w:val="single" w:sz="4" w:space="0" w:color="auto"/>
              <w:right w:val="single" w:sz="4" w:space="0" w:color="auto"/>
            </w:tcBorders>
            <w:vAlign w:val="center"/>
          </w:tcPr>
          <w:p>
            <w:pPr>
              <w:pStyle w:val="WPSOffice1"/>
              <w:jc w:val="center"/>
              <w:rPr>
                <w:rFonts w:ascii="宋体" w:eastAsia="宋体" w:hAnsi="宋体" w:cs="宋体" w:hint="eastAsia"/>
                <w:kern w:val="2"/>
                <w:sz w:val="21"/>
                <w:szCs w:val="21"/>
              </w:rPr>
            </w:pPr>
          </w:p>
        </w:tc>
        <w:tc>
          <w:tcPr>
            <w:tcW w:w="2795" w:type="dxa"/>
            <w:tcBorders>
              <w:top w:val="single" w:sz="4" w:space="0" w:color="auto"/>
              <w:left w:val="nil"/>
              <w:bottom w:val="single" w:sz="4" w:space="0" w:color="auto"/>
              <w:right w:val="single" w:sz="4" w:space="0" w:color="000000"/>
            </w:tcBorders>
            <w:shd w:val="clear" w:color="auto" w:fill="auto"/>
            <w:noWrap/>
            <w:vAlign w:val="bottom"/>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未配备专职电工</w:t>
            </w:r>
          </w:p>
        </w:tc>
        <w:tc>
          <w:tcPr>
            <w:tcW w:w="1188" w:type="dxa"/>
            <w:tcBorders>
              <w:top w:val="single" w:sz="4" w:space="0" w:color="auto"/>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伤人</w:t>
            </w:r>
          </w:p>
        </w:tc>
        <w:tc>
          <w:tcPr>
            <w:tcW w:w="537" w:type="dxa"/>
            <w:tcBorders>
              <w:top w:val="single" w:sz="4" w:space="0" w:color="auto"/>
              <w:left w:val="nil"/>
              <w:bottom w:val="single" w:sz="4" w:space="0" w:color="auto"/>
              <w:right w:val="single" w:sz="4" w:space="0" w:color="auto"/>
            </w:tcBorders>
            <w:shd w:val="clear" w:color="auto" w:fill="auto"/>
            <w:noWrap/>
            <w:vAlign w:val="center"/>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IV</w:t>
            </w:r>
          </w:p>
        </w:tc>
        <w:tc>
          <w:tcPr>
            <w:tcW w:w="3190" w:type="dxa"/>
            <w:tcBorders>
              <w:top w:val="single" w:sz="4" w:space="0" w:color="auto"/>
              <w:left w:val="nil"/>
              <w:bottom w:val="single" w:sz="4" w:space="0" w:color="auto"/>
              <w:right w:val="single" w:sz="4" w:space="0" w:color="000000"/>
            </w:tcBorders>
            <w:shd w:val="clear" w:color="auto" w:fill="auto"/>
            <w:noWrap/>
            <w:vAlign w:val="bottom"/>
          </w:tcPr>
          <w:p>
            <w:pPr>
              <w:pStyle w:val="WPSOffice1"/>
              <w:jc w:val="center"/>
              <w:rPr>
                <w:rFonts w:ascii="宋体" w:eastAsia="宋体" w:hAnsi="宋体" w:cs="宋体" w:hint="eastAsia"/>
                <w:kern w:val="2"/>
                <w:sz w:val="21"/>
                <w:szCs w:val="21"/>
              </w:rPr>
            </w:pPr>
            <w:r>
              <w:rPr>
                <w:rFonts w:ascii="宋体" w:eastAsia="宋体" w:hAnsi="宋体" w:cs="宋体" w:hint="eastAsia"/>
                <w:kern w:val="2"/>
                <w:sz w:val="21"/>
                <w:szCs w:val="21"/>
              </w:rPr>
              <w:t>配备专职电工</w:t>
            </w:r>
          </w:p>
        </w:tc>
        <w:tc>
          <w:tcPr>
            <w:tcW w:w="156" w:type="dxa"/>
            <w:vAlign w:val="center"/>
          </w:tcPr>
          <w:p>
            <w:pPr>
              <w:widowControl/>
              <w:jc w:val="left"/>
              <w:rPr>
                <w:rFonts w:eastAsia="Times New Roman"/>
                <w:kern w:val="0"/>
                <w:sz w:val="20"/>
                <w:szCs w:val="20"/>
                <w:highlight w:val="none"/>
              </w:rPr>
            </w:pPr>
          </w:p>
        </w:tc>
      </w:tr>
    </w:tbl>
    <w:p>
      <w:r>
        <w:br/>
      </w:r>
      <w:r>
        <w:br/>
      </w:r>
    </w:p>
    <w:p>
      <w:pPr>
        <w:widowControl/>
        <w:adjustRightInd/>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https://d.book118.com/267122150163006033</w:t>
        </w:r>
      </w:hyperlink>
    </w:p>
    <w:p/>
    <w:sectPr>
      <w:footerReference w:type="default" r:id="rId41"/>
      <w:type w:val="nextPage"/>
      <w:pgSz w:w="11907" w:h="16840"/>
      <w:pgMar w:top="1418" w:right="1418" w:bottom="1418" w:left="1418" w:header="1021" w:footer="907" w:gutter="0"/>
      <w:pgBorders>
        <w:top w:val="none" w:sz="0" w:space="0" w:color="auto"/>
        <w:left w:val="none" w:sz="0" w:space="0" w:color="auto"/>
        <w:bottom w:val="none" w:sz="0" w:space="0" w:color="auto"/>
        <w:right w:val="none" w:sz="0" w:space="0" w:color="auto"/>
      </w:pgBorders>
      <w:pgNumType w:fmt="decimal" w:start="22"/>
      <w:cols w:num="1" w:space="1680"/>
      <w:titlePg w:val="0"/>
      <w:docGrid w:linePitch="326" w:charSpace="59452"/>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 wne:kcmPrimary="0433">
      <wne:acd wne:acdName="acd-1"/>
    </wne:keymap>
    <wne:keymap wne:kcmPrimary="0434">
      <wne:acd wne:acdName="acd-1"/>
    </wne:keymap>
    <wne:keymap wne:kcmPrimary="0435">
      <wne:acd wne:acdName="acd-1"/>
    </wne:keymap>
    <wne:keymap wne:kcmPrimary="0436">
      <wne:acd wne:acdName="acd-1"/>
    </wne:keymap>
    <wne:keymap wne:kcmPrimary="0441">
      <wne:acd wne:acdName="acd-1"/>
    </wne:keymap>
    <wne:keymap wne:kcmPrimary="0442">
      <wne:acd wne:acdName="acd-1"/>
    </wne:keymap>
    <wne:keymap wne:kcmPrimary="0443">
      <wne:fci wne:fciIndex="0476" wne:swArg="0000"/>
    </wne:keymap>
    <wne:keymap wne:kcmPrimary="0444">
      <wne:acd wne:acdName="acd-1"/>
    </wne:keymap>
    <wne:keymap wne:kcmPrimary="0445">
      <wne:acd wne:acdName="acd-1"/>
    </wne:keymap>
    <wne:keymap wne:kcmPrimary="0450">
      <wne:acd wne:acdName="acd-1"/>
    </wne:keymap>
    <wne:keymap wne:kcmPrimary="0451">
      <wne:acd wne:acdName="acd-1"/>
    </wne:keymap>
    <wne:keymap wne:kcmPrimary="0452">
      <wne:acd wne:acdName="acd-1"/>
    </wne:keymap>
    <wne:keymap wne:kcmPrimary="0453">
      <wne:acd wne:acdName="acd-1"/>
    </wne:keymap>
    <wne:keymap wne:kcmPrimary="0454">
      <wne:acd wne:acdName="acd-1"/>
    </wne:keymap>
    <wne:keymap wne:kcmPrimary="045A">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C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ngLiU_HKSCS">
    <w:altName w:val="PMingLiU-ExtB"/>
    <w:panose1 w:val="02020500000000000000"/>
    <w:charset w:val="88"/>
    <w:family w:val="roman"/>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906658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153454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801703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52824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085617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286993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107581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02158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280255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267735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596870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525026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38873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1721311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606542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147516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32843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233840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938595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981836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835239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15E991"/>
    <w:multiLevelType w:val="singleLevel"/>
    <w:tmpl w:val="8315E991"/>
    <w:lvl w:ilvl="0">
      <w:start w:val="1"/>
      <w:numFmt w:val="decimal"/>
      <w:suff w:val="nothing"/>
      <w:lvlText w:val="%1．"/>
      <w:lvlJc w:val="left"/>
      <w:pPr>
        <w:ind w:left="0" w:firstLine="400"/>
      </w:pPr>
      <w:rPr>
        <w:rFonts w:hint="default"/>
      </w:rPr>
    </w:lvl>
  </w:abstractNum>
  <w:abstractNum w:abstractNumId="1">
    <w:nsid w:val="86F6862D"/>
    <w:multiLevelType w:val="singleLevel"/>
    <w:tmpl w:val="86F6862D"/>
    <w:lvl w:ilvl="0">
      <w:start w:val="1"/>
      <w:numFmt w:val="decimal"/>
      <w:suff w:val="nothing"/>
      <w:lvlText w:val="%1、"/>
      <w:lvlJc w:val="left"/>
    </w:lvl>
  </w:abstractNum>
  <w:abstractNum w:abstractNumId="2">
    <w:nsid w:val="89172D49"/>
    <w:multiLevelType w:val="multilevel"/>
    <w:tmpl w:val="89172D49"/>
    <w:lvl w:ilvl="0">
      <w:start w:val="1"/>
      <w:numFmt w:val="decimal"/>
      <w:lvlText w:val="%1."/>
      <w:lvlJc w:val="left"/>
      <w:pPr>
        <w:ind w:left="432" w:hanging="432"/>
      </w:pPr>
      <w:rPr>
        <w:rFonts w:ascii="宋体" w:eastAsia="宋体" w:hAnsi="宋体" w:cs="宋体" w:hint="default"/>
        <w:b/>
        <w:sz w:val="30"/>
      </w:rPr>
    </w:lvl>
    <w:lvl w:ilvl="1">
      <w:start w:val="1"/>
      <w:numFmt w:val="decimal"/>
      <w:lvlText w:val="%1.%2."/>
      <w:lvlJc w:val="left"/>
      <w:pPr>
        <w:ind w:left="575" w:hanging="575"/>
      </w:pPr>
      <w:rPr>
        <w:rFonts w:ascii="宋体" w:eastAsia="宋体" w:hAnsi="宋体" w:cs="宋体" w:hint="default"/>
        <w:b/>
        <w:sz w:val="28"/>
      </w:rPr>
    </w:lvl>
    <w:lvl w:ilvl="2">
      <w:start w:val="1"/>
      <w:numFmt w:val="decimal"/>
      <w:pStyle w:val="Heading3"/>
      <w:lvlText w:val="%1.%2.%3."/>
      <w:lvlJc w:val="left"/>
      <w:pPr>
        <w:ind w:left="720" w:hanging="720"/>
      </w:pPr>
      <w:rPr>
        <w:rFonts w:ascii="宋体" w:eastAsia="宋体" w:hAnsi="宋体" w:cs="宋体" w:hint="default"/>
        <w:sz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3">
    <w:nsid w:val="962D6AC6"/>
    <w:multiLevelType w:val="singleLevel"/>
    <w:tmpl w:val="962D6AC6"/>
    <w:lvl w:ilvl="0">
      <w:start w:val="1"/>
      <w:numFmt w:val="decimal"/>
      <w:suff w:val="nothing"/>
      <w:lvlText w:val="%1、"/>
      <w:lvlJc w:val="left"/>
    </w:lvl>
  </w:abstractNum>
  <w:abstractNum w:abstractNumId="4">
    <w:nsid w:val="AF1E0C09"/>
    <w:multiLevelType w:val="singleLevel"/>
    <w:tmpl w:val="AF1E0C09"/>
    <w:lvl w:ilvl="0">
      <w:start w:val="1"/>
      <w:numFmt w:val="decimal"/>
      <w:suff w:val="nothing"/>
      <w:lvlText w:val="%1、"/>
      <w:lvlJc w:val="left"/>
    </w:lvl>
  </w:abstractNum>
  <w:abstractNum w:abstractNumId="5">
    <w:nsid w:val="AFEC9116"/>
    <w:multiLevelType w:val="singleLevel"/>
    <w:tmpl w:val="AFEC9116"/>
    <w:lvl w:ilvl="0">
      <w:start w:val="1"/>
      <w:numFmt w:val="decimal"/>
      <w:suff w:val="nothing"/>
      <w:lvlText w:val="%1、"/>
      <w:lvlJc w:val="left"/>
    </w:lvl>
  </w:abstractNum>
  <w:abstractNum w:abstractNumId="6">
    <w:nsid w:val="F99BC3F9"/>
    <w:multiLevelType w:val="singleLevel"/>
    <w:tmpl w:val="F99BC3F9"/>
    <w:lvl w:ilvl="0">
      <w:start w:val="1"/>
      <w:numFmt w:val="decimal"/>
      <w:suff w:val="nothing"/>
      <w:lvlText w:val="%1．"/>
      <w:lvlJc w:val="left"/>
      <w:pPr>
        <w:ind w:left="0" w:firstLine="400"/>
      </w:pPr>
      <w:rPr>
        <w:rFonts w:hint="default"/>
      </w:rPr>
    </w:lvl>
  </w:abstractNum>
  <w:abstractNum w:abstractNumId="7">
    <w:nsid w:val="FD79EE07"/>
    <w:multiLevelType w:val="singleLevel"/>
    <w:tmpl w:val="FD79EE07"/>
    <w:lvl w:ilvl="0">
      <w:start w:val="1"/>
      <w:numFmt w:val="decimal"/>
      <w:suff w:val="nothing"/>
      <w:lvlText w:val="%1、"/>
      <w:lvlJc w:val="left"/>
    </w:lvl>
  </w:abstractNum>
  <w:abstractNum w:abstractNumId="8">
    <w:nsid w:val="0000000B"/>
    <w:multiLevelType w:val="multilevel"/>
    <w:tmpl w:val="0000000B"/>
    <w:lvl w:ilvl="0">
      <w:start w:val="1"/>
      <w:numFmt w:val="japaneseCounting"/>
      <w:lvlText w:val="%1、"/>
      <w:lvlJc w:val="left"/>
      <w:pPr>
        <w:tabs>
          <w:tab w:val="left" w:pos="720"/>
        </w:tabs>
        <w:ind w:left="720" w:hanging="720"/>
      </w:pPr>
      <w:rPr>
        <w:rFonts w:hint="default"/>
      </w:rPr>
    </w:lvl>
    <w:lvl w:ilvl="1">
      <w:start w:val="1"/>
      <w:numFmt w:val="decimal"/>
      <w:lvlText w:val="%2、"/>
      <w:lvlJc w:val="left"/>
      <w:pPr>
        <w:tabs>
          <w:tab w:val="left" w:pos="360"/>
        </w:tabs>
        <w:ind w:left="360" w:hanging="360"/>
      </w:pPr>
      <w:rPr>
        <w:rFonts w:hint="default"/>
      </w:rPr>
    </w:lvl>
    <w:lvl w:ilvl="2">
      <w:start w:val="4"/>
      <w:numFmt w:val="bullet"/>
      <w:lvlText w:val="◆"/>
      <w:lvlJc w:val="left"/>
      <w:pPr>
        <w:ind w:left="1200" w:hanging="360"/>
      </w:pPr>
      <w:rPr>
        <w:rFonts w:ascii="宋体" w:eastAsia="宋体" w:hAnsi="宋体" w:cs="楷体_GB2312"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0040712B"/>
    <w:multiLevelType w:val="singleLevel"/>
    <w:tmpl w:val="0040712B"/>
    <w:lvl w:ilvl="0">
      <w:start w:val="1"/>
      <w:numFmt w:val="decimal"/>
      <w:suff w:val="nothing"/>
      <w:lvlText w:val="%1．"/>
      <w:lvlJc w:val="left"/>
      <w:pPr>
        <w:ind w:left="0" w:firstLine="400"/>
      </w:pPr>
      <w:rPr>
        <w:rFonts w:hint="default"/>
      </w:rPr>
    </w:lvl>
  </w:abstractNum>
  <w:abstractNum w:abstractNumId="10">
    <w:nsid w:val="039A5FC4"/>
    <w:multiLevelType w:val="singleLevel"/>
    <w:tmpl w:val="039A5FC4"/>
    <w:lvl w:ilvl="0">
      <w:start w:val="1"/>
      <w:numFmt w:val="lowerLetter"/>
      <w:lvlText w:val="%1."/>
      <w:lvlJc w:val="left"/>
      <w:pPr>
        <w:ind w:left="425" w:hanging="425"/>
      </w:pPr>
      <w:rPr>
        <w:rFonts w:hint="default"/>
      </w:rPr>
    </w:lvl>
  </w:abstractNum>
  <w:abstractNum w:abstractNumId="11">
    <w:nsid w:val="13D2D65F"/>
    <w:multiLevelType w:val="singleLevel"/>
    <w:tmpl w:val="13D2D65F"/>
    <w:lvl w:ilvl="0">
      <w:start w:val="1"/>
      <w:numFmt w:val="lowerLetter"/>
      <w:lvlText w:val="%1."/>
      <w:lvlJc w:val="left"/>
      <w:pPr>
        <w:ind w:left="425" w:hanging="425"/>
      </w:pPr>
      <w:rPr>
        <w:rFonts w:hint="default"/>
      </w:rPr>
    </w:lvl>
  </w:abstractNum>
  <w:abstractNum w:abstractNumId="12">
    <w:nsid w:val="2085F201"/>
    <w:multiLevelType w:val="singleLevel"/>
    <w:tmpl w:val="2085F201"/>
    <w:lvl w:ilvl="0">
      <w:start w:val="1"/>
      <w:numFmt w:val="decimal"/>
      <w:suff w:val="nothing"/>
      <w:lvlText w:val="%1、"/>
      <w:lvlJc w:val="left"/>
    </w:lvl>
  </w:abstractNum>
  <w:abstractNum w:abstractNumId="13">
    <w:nsid w:val="2345880D"/>
    <w:multiLevelType w:val="singleLevel"/>
    <w:tmpl w:val="2345880D"/>
    <w:lvl w:ilvl="0">
      <w:start w:val="1"/>
      <w:numFmt w:val="decimal"/>
      <w:suff w:val="nothing"/>
      <w:lvlText w:val="%1．"/>
      <w:lvlJc w:val="left"/>
      <w:pPr>
        <w:ind w:left="0" w:firstLine="400"/>
      </w:pPr>
      <w:rPr>
        <w:rFonts w:hint="default"/>
      </w:rPr>
    </w:lvl>
  </w:abstractNum>
  <w:abstractNum w:abstractNumId="14">
    <w:nsid w:val="348E51FE"/>
    <w:multiLevelType w:val="singleLevel"/>
    <w:tmpl w:val="348E51FE"/>
    <w:lvl w:ilvl="0">
      <w:start w:val="1"/>
      <w:numFmt w:val="decimal"/>
      <w:suff w:val="nothing"/>
      <w:lvlText w:val="%1、"/>
      <w:lvlJc w:val="left"/>
    </w:lvl>
  </w:abstractNum>
  <w:abstractNum w:abstractNumId="15">
    <w:nsid w:val="349A8ED4"/>
    <w:multiLevelType w:val="singleLevel"/>
    <w:tmpl w:val="86F6862D"/>
    <w:lvl w:ilvl="0">
      <w:start w:val="1"/>
      <w:numFmt w:val="decimal"/>
      <w:suff w:val="nothing"/>
      <w:lvlText w:val="%1、"/>
      <w:lvlJc w:val="left"/>
    </w:lvl>
  </w:abstractNum>
  <w:abstractNum w:abstractNumId="16">
    <w:nsid w:val="47E85D7A"/>
    <w:multiLevelType w:val="multilevel"/>
    <w:tmpl w:val="47E85D7A"/>
    <w:lvl w:ilvl="0">
      <w:start w:val="1"/>
      <w:numFmt w:val="decimal"/>
      <w:lvlText w:val="%1"/>
      <w:lvlJc w:val="center"/>
      <w:pPr>
        <w:ind w:left="0" w:firstLine="0"/>
      </w:pPr>
      <w:rPr>
        <w:rFonts w:ascii="Times New Roman" w:eastAsia="宋体" w:hAnsi="Times New Roman" w:hint="default"/>
        <w:b/>
        <w:i w:val="0"/>
        <w:sz w:val="28"/>
        <w:u w:val="none" w:color="FF0000"/>
      </w:rPr>
    </w:lvl>
    <w:lvl w:ilvl="1">
      <w:start w:val="1"/>
      <w:numFmt w:val="decimal"/>
      <w:pStyle w:val="a6"/>
      <w:lvlText w:val="%1.%2"/>
      <w:lvlJc w:val="left"/>
      <w:pPr>
        <w:ind w:left="0" w:firstLine="0"/>
      </w:pPr>
      <w:rPr>
        <w:rFonts w:ascii="Times New Roman" w:eastAsia="宋体" w:hAnsi="Times New Roman" w:hint="default"/>
        <w:b/>
        <w:i w:val="0"/>
        <w:color w:val="0070C0"/>
        <w:sz w:val="24"/>
      </w:rPr>
    </w:lvl>
    <w:lvl w:ilvl="2">
      <w:start w:val="1"/>
      <w:numFmt w:val="decimal"/>
      <w:pStyle w:val="a7"/>
      <w:lvlText w:val="%1.%2.%3"/>
      <w:lvlJc w:val="left"/>
      <w:pPr>
        <w:ind w:left="568" w:firstLine="0"/>
      </w:pPr>
      <w:rPr>
        <w:rFonts w:ascii="Times New Roman" w:eastAsia="宋体" w:hAnsi="Times New Roman" w:hint="default"/>
        <w:b w:val="0"/>
        <w:i w:val="0"/>
        <w:color w:val="7030A0"/>
        <w:sz w:val="24"/>
      </w:rPr>
    </w:lvl>
    <w:lvl w:ilvl="3">
      <w:start w:val="1"/>
      <w:numFmt w:val="decimal"/>
      <w:lvlText w:val="%1.%2.%3.%4"/>
      <w:lvlJc w:val="left"/>
      <w:pPr>
        <w:ind w:left="0" w:firstLine="0"/>
      </w:pPr>
      <w:rPr>
        <w:rFonts w:ascii="Times New Roman" w:eastAsia="宋体" w:hAnsi="Times New Roman" w:hint="default"/>
        <w:b w:val="0"/>
        <w:i w:val="0"/>
        <w:color w:val="000000"/>
        <w:sz w:val="24"/>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5A622522"/>
    <w:multiLevelType w:val="multilevel"/>
    <w:tmpl w:val="5A622522"/>
    <w:lvl w:ilvl="0">
      <w:start w:val="1"/>
      <w:numFmt w:val="chineseCountingThousand"/>
      <w:pStyle w:val="cscec81"/>
      <w:suff w:val="nothing"/>
      <w:lvlText w:val="第%1章  "/>
      <w:lvlJc w:val="left"/>
      <w:pPr>
        <w:ind w:left="0" w:firstLine="0"/>
      </w:pPr>
      <w:rPr>
        <w:rFonts w:ascii="黑体" w:eastAsia="黑体" w:hAnsi="黑体" w:cs="黑体" w:hint="eastAsia"/>
        <w:b w:val="0"/>
        <w:i w:val="0"/>
        <w:caps w:val="0"/>
        <w:strike w:val="0"/>
        <w:dstrike w:val="0"/>
        <w:vanish w:val="0"/>
        <w:color w:val="auto"/>
        <w:sz w:val="32"/>
        <w:szCs w:val="32"/>
        <w:u w:val="none"/>
        <w:vertAlign w:val="baseline"/>
      </w:rPr>
    </w:lvl>
    <w:lvl w:ilvl="1">
      <w:start w:val="1"/>
      <w:numFmt w:val="decimal"/>
      <w:pStyle w:val="cscec82"/>
      <w:isLgl/>
      <w:suff w:val="nothing"/>
      <w:lvlText w:val="%1.%2  "/>
      <w:lvlJc w:val="left"/>
      <w:pPr>
        <w:ind w:left="0" w:firstLine="0"/>
      </w:pPr>
      <w:rPr>
        <w:rFonts w:ascii="黑体" w:eastAsia="黑体" w:hAnsi="黑体" w:hint="default"/>
        <w:b w:val="0"/>
        <w:i w:val="0"/>
        <w:caps w:val="0"/>
        <w:strike w:val="0"/>
        <w:dstrike w:val="0"/>
        <w:vanish w:val="0"/>
        <w:color w:val="auto"/>
        <w:sz w:val="28"/>
        <w:szCs w:val="28"/>
        <w:u w:val="none"/>
        <w:vertAlign w:val="baseline"/>
      </w:rPr>
    </w:lvl>
    <w:lvl w:ilvl="2">
      <w:start w:val="1"/>
      <w:numFmt w:val="decimal"/>
      <w:pStyle w:val="cscec83"/>
      <w:isLgl/>
      <w:suff w:val="nothing"/>
      <w:lvlText w:val="%1.%2.%3  "/>
      <w:lvlJc w:val="left"/>
      <w:pPr>
        <w:ind w:left="0" w:firstLine="0"/>
      </w:pPr>
      <w:rPr>
        <w:rFonts w:ascii="黑体" w:eastAsia="黑体" w:hAnsi="黑体" w:hint="eastAsia"/>
        <w:b w:val="0"/>
        <w:i w:val="0"/>
        <w:caps w:val="0"/>
        <w:strike w:val="0"/>
        <w:dstrike w:val="0"/>
        <w:vanish w:val="0"/>
        <w:color w:val="auto"/>
        <w:sz w:val="24"/>
        <w:u w:val="none"/>
        <w:vertAlign w:val="baseline"/>
      </w:rPr>
    </w:lvl>
    <w:lvl w:ilvl="3">
      <w:start w:val="1"/>
      <w:numFmt w:val="decimal"/>
      <w:pStyle w:val="cscec84"/>
      <w:isLgl/>
      <w:suff w:val="nothing"/>
      <w:lvlText w:val="%1.%2.%3.%4  "/>
      <w:lvlJc w:val="left"/>
      <w:pPr>
        <w:ind w:left="0" w:firstLine="0"/>
      </w:pPr>
      <w:rPr>
        <w:rFonts w:ascii="宋体" w:eastAsia="宋体" w:hAnsi="黑体" w:hint="eastAsia"/>
        <w:b w:val="0"/>
        <w:i w:val="0"/>
        <w:caps w:val="0"/>
        <w:strike w:val="0"/>
        <w:dstrike w:val="0"/>
        <w:vanish w:val="0"/>
        <w:color w:val="auto"/>
        <w:sz w:val="24"/>
        <w:szCs w:val="24"/>
        <w:u w:val="none"/>
        <w:vertAlign w:val="baseline"/>
      </w:rPr>
    </w:lvl>
    <w:lvl w:ilvl="4">
      <w:start w:val="1"/>
      <w:numFmt w:val="decimal"/>
      <w:pStyle w:val="cscec85"/>
      <w:suff w:val="nothing"/>
      <w:lvlText w:val="    %5  "/>
      <w:lvlJc w:val="left"/>
      <w:pPr>
        <w:ind w:left="0" w:firstLine="0"/>
      </w:pPr>
      <w:rPr>
        <w:rFonts w:ascii="宋体" w:eastAsia="宋体" w:hAnsi="宋体" w:hint="eastAsia"/>
        <w:b w:val="0"/>
        <w:i w:val="0"/>
        <w:sz w:val="24"/>
        <w:szCs w:val="24"/>
      </w:rPr>
    </w:lvl>
    <w:lvl w:ilvl="5">
      <w:start w:val="1"/>
      <w:numFmt w:val="decimal"/>
      <w:pStyle w:val="cscec86"/>
      <w:suff w:val="nothing"/>
      <w:lvlText w:val="    %6) "/>
      <w:lvlJc w:val="left"/>
      <w:pPr>
        <w:ind w:left="0" w:firstLine="0"/>
      </w:pPr>
      <w:rPr>
        <w:rFonts w:ascii="宋体" w:eastAsia="宋体" w:hAnsi="宋体" w:hint="eastAsia"/>
        <w:b w:val="0"/>
        <w:i w:val="0"/>
        <w:sz w:val="24"/>
        <w:szCs w:val="24"/>
      </w:rPr>
    </w:lvl>
    <w:lvl w:ilvl="6">
      <w:start w:val="1"/>
      <w:numFmt w:val="decimal"/>
      <w:lvlRestart w:val="2"/>
      <w:pStyle w:val="cscec8t"/>
      <w:isLgl/>
      <w:suff w:val="nothing"/>
      <w:lvlText w:val="图%1.%2-%7  "/>
      <w:lvlJc w:val="left"/>
      <w:pPr>
        <w:ind w:left="0" w:firstLine="0"/>
      </w:pPr>
      <w:rPr>
        <w:rFonts w:ascii="黑体" w:eastAsia="黑体" w:hAnsi="黑体" w:hint="eastAsia"/>
        <w:b w:val="0"/>
        <w:i w:val="0"/>
        <w:sz w:val="24"/>
        <w:szCs w:val="24"/>
      </w:rPr>
    </w:lvl>
    <w:lvl w:ilvl="7">
      <w:start w:val="1"/>
      <w:numFmt w:val="decimal"/>
      <w:lvlRestart w:val="2"/>
      <w:pStyle w:val="cscec8b"/>
      <w:isLgl/>
      <w:suff w:val="nothing"/>
      <w:lvlText w:val="表%1.%2-%8  "/>
      <w:lvlJc w:val="left"/>
      <w:pPr>
        <w:ind w:left="0" w:firstLine="0"/>
      </w:pPr>
      <w:rPr>
        <w:rFonts w:ascii="黑体" w:eastAsia="黑体" w:hAnsi="黑体" w:hint="eastAsia"/>
        <w:b w:val="0"/>
        <w:i w:val="0"/>
        <w:sz w:val="24"/>
        <w:szCs w:val="24"/>
      </w:rPr>
    </w:lvl>
    <w:lvl w:ilvl="8">
      <w:start w:val="1"/>
      <w:numFmt w:val="decimal"/>
      <w:pStyle w:val="cscec8a"/>
      <w:suff w:val="nothing"/>
      <w:lvlText w:val="%9"/>
      <w:lvlJc w:val="left"/>
      <w:pPr>
        <w:ind w:left="0" w:firstLine="0"/>
      </w:pPr>
      <w:rPr>
        <w:rFonts w:ascii="宋体" w:eastAsia="宋体" w:hAnsi="宋体" w:hint="eastAsia"/>
        <w:b w:val="0"/>
        <w:i w:val="0"/>
        <w:sz w:val="24"/>
        <w:szCs w:val="24"/>
      </w:rPr>
    </w:lvl>
  </w:abstractNum>
  <w:num w:numId="1">
    <w:abstractNumId w:val="2"/>
  </w:num>
  <w:num w:numId="2">
    <w:abstractNumId w:val="17"/>
  </w:num>
  <w:num w:numId="3">
    <w:abstractNumId w:val="16"/>
  </w:num>
  <w:num w:numId="4">
    <w:abstractNumId w:val="1"/>
  </w:num>
  <w:num w:numId="5">
    <w:abstractNumId w:val="12"/>
  </w:num>
  <w:num w:numId="6">
    <w:abstractNumId w:val="9"/>
  </w:num>
  <w:num w:numId="7">
    <w:abstractNumId w:val="14"/>
  </w:num>
  <w:num w:numId="8">
    <w:abstractNumId w:val="5"/>
  </w:num>
  <w:num w:numId="9">
    <w:abstractNumId w:val="4"/>
  </w:num>
  <w:num w:numId="10">
    <w:abstractNumId w:val="3"/>
  </w:num>
  <w:num w:numId="11">
    <w:abstractNumId w:val="7"/>
  </w:num>
  <w:num w:numId="12">
    <w:abstractNumId w:val="8"/>
  </w:num>
  <w:num w:numId="13">
    <w:abstractNumId w:val="0"/>
  </w:num>
  <w:num w:numId="14">
    <w:abstractNumId w:val="13"/>
  </w:num>
  <w:num w:numId="15">
    <w:abstractNumId w:val="6"/>
  </w:num>
  <w:num w:numId="16">
    <w:abstractNumId w:val="11"/>
  </w:num>
  <w:num w:numId="17">
    <w:abstractNumId w:val="1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formatting="1" w:enforcement="0"/>
  <w:styleLockTheme/>
  <w:styleLockQFSet/>
  <w:defaultTabStop w:val="420"/>
  <w:drawingGridVerticalSpacing w:val="156"/>
  <w:noPunctuationKerning/>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3CB5"/>
    <w:rsid w:val="00026B25"/>
    <w:rsid w:val="00040CBE"/>
    <w:rsid w:val="0004137C"/>
    <w:rsid w:val="00043AC8"/>
    <w:rsid w:val="00065844"/>
    <w:rsid w:val="000746CC"/>
    <w:rsid w:val="00081B62"/>
    <w:rsid w:val="000831C9"/>
    <w:rsid w:val="000955F5"/>
    <w:rsid w:val="000974CF"/>
    <w:rsid w:val="000A1D51"/>
    <w:rsid w:val="000B2C5C"/>
    <w:rsid w:val="000C0DC6"/>
    <w:rsid w:val="000D4B77"/>
    <w:rsid w:val="000E3650"/>
    <w:rsid w:val="000F2627"/>
    <w:rsid w:val="000F3676"/>
    <w:rsid w:val="0015218D"/>
    <w:rsid w:val="00154CC3"/>
    <w:rsid w:val="00167575"/>
    <w:rsid w:val="001722AA"/>
    <w:rsid w:val="00172A27"/>
    <w:rsid w:val="00175886"/>
    <w:rsid w:val="00183D70"/>
    <w:rsid w:val="00190C61"/>
    <w:rsid w:val="00194287"/>
    <w:rsid w:val="001A53C0"/>
    <w:rsid w:val="001C36DB"/>
    <w:rsid w:val="001C5F9F"/>
    <w:rsid w:val="001C6AE2"/>
    <w:rsid w:val="001E7B7C"/>
    <w:rsid w:val="001F7147"/>
    <w:rsid w:val="002079E1"/>
    <w:rsid w:val="0024624F"/>
    <w:rsid w:val="0024796C"/>
    <w:rsid w:val="00264117"/>
    <w:rsid w:val="002840B3"/>
    <w:rsid w:val="002E1923"/>
    <w:rsid w:val="002F7C44"/>
    <w:rsid w:val="00300D85"/>
    <w:rsid w:val="00313ADC"/>
    <w:rsid w:val="00334D5D"/>
    <w:rsid w:val="00337231"/>
    <w:rsid w:val="003470A6"/>
    <w:rsid w:val="00352B7B"/>
    <w:rsid w:val="00355EC3"/>
    <w:rsid w:val="00357724"/>
    <w:rsid w:val="00373CFB"/>
    <w:rsid w:val="0038579F"/>
    <w:rsid w:val="0039136F"/>
    <w:rsid w:val="003D19B5"/>
    <w:rsid w:val="003D23D9"/>
    <w:rsid w:val="003D6512"/>
    <w:rsid w:val="00400862"/>
    <w:rsid w:val="00401338"/>
    <w:rsid w:val="0040425F"/>
    <w:rsid w:val="004378CC"/>
    <w:rsid w:val="00444404"/>
    <w:rsid w:val="004471DE"/>
    <w:rsid w:val="004507AD"/>
    <w:rsid w:val="00453430"/>
    <w:rsid w:val="004676BB"/>
    <w:rsid w:val="0047510C"/>
    <w:rsid w:val="00477815"/>
    <w:rsid w:val="004839E9"/>
    <w:rsid w:val="00492DE5"/>
    <w:rsid w:val="004978AB"/>
    <w:rsid w:val="004C0252"/>
    <w:rsid w:val="004D6753"/>
    <w:rsid w:val="004F4CB6"/>
    <w:rsid w:val="00511EA5"/>
    <w:rsid w:val="00525435"/>
    <w:rsid w:val="0053662A"/>
    <w:rsid w:val="005505B8"/>
    <w:rsid w:val="005507A1"/>
    <w:rsid w:val="0055304D"/>
    <w:rsid w:val="00557D6B"/>
    <w:rsid w:val="005872A7"/>
    <w:rsid w:val="005B24B2"/>
    <w:rsid w:val="005D68BB"/>
    <w:rsid w:val="005E28AE"/>
    <w:rsid w:val="005F308B"/>
    <w:rsid w:val="005F4CE8"/>
    <w:rsid w:val="00600597"/>
    <w:rsid w:val="0060581C"/>
    <w:rsid w:val="0062247C"/>
    <w:rsid w:val="0062648A"/>
    <w:rsid w:val="00630C67"/>
    <w:rsid w:val="00637266"/>
    <w:rsid w:val="00645F54"/>
    <w:rsid w:val="0065642B"/>
    <w:rsid w:val="00657E92"/>
    <w:rsid w:val="00662D71"/>
    <w:rsid w:val="006725BA"/>
    <w:rsid w:val="00674E6E"/>
    <w:rsid w:val="00682A8F"/>
    <w:rsid w:val="0069126C"/>
    <w:rsid w:val="00692D72"/>
    <w:rsid w:val="006B3981"/>
    <w:rsid w:val="006B58EC"/>
    <w:rsid w:val="006B711C"/>
    <w:rsid w:val="006C076E"/>
    <w:rsid w:val="006D419C"/>
    <w:rsid w:val="006D41FF"/>
    <w:rsid w:val="006E4A86"/>
    <w:rsid w:val="006F71FA"/>
    <w:rsid w:val="00706F07"/>
    <w:rsid w:val="00716D3E"/>
    <w:rsid w:val="00717F23"/>
    <w:rsid w:val="00726050"/>
    <w:rsid w:val="007629DC"/>
    <w:rsid w:val="00772DBA"/>
    <w:rsid w:val="007B193E"/>
    <w:rsid w:val="007B68A6"/>
    <w:rsid w:val="007F5958"/>
    <w:rsid w:val="00805D7C"/>
    <w:rsid w:val="00845A4A"/>
    <w:rsid w:val="0085191F"/>
    <w:rsid w:val="00864D3D"/>
    <w:rsid w:val="00872879"/>
    <w:rsid w:val="00874FD7"/>
    <w:rsid w:val="008773B2"/>
    <w:rsid w:val="008A0F35"/>
    <w:rsid w:val="008C1636"/>
    <w:rsid w:val="008D602F"/>
    <w:rsid w:val="008E0FC3"/>
    <w:rsid w:val="008E340B"/>
    <w:rsid w:val="0090790E"/>
    <w:rsid w:val="00916B0D"/>
    <w:rsid w:val="00926242"/>
    <w:rsid w:val="009308FC"/>
    <w:rsid w:val="009406CD"/>
    <w:rsid w:val="00966D10"/>
    <w:rsid w:val="009701C9"/>
    <w:rsid w:val="00973DC0"/>
    <w:rsid w:val="009954AE"/>
    <w:rsid w:val="009964EF"/>
    <w:rsid w:val="009C6479"/>
    <w:rsid w:val="009D3CB5"/>
    <w:rsid w:val="009E4F56"/>
    <w:rsid w:val="009E6C27"/>
    <w:rsid w:val="009F767F"/>
    <w:rsid w:val="009F7EB5"/>
    <w:rsid w:val="00A15682"/>
    <w:rsid w:val="00A2760E"/>
    <w:rsid w:val="00A44D73"/>
    <w:rsid w:val="00A4521C"/>
    <w:rsid w:val="00A536BF"/>
    <w:rsid w:val="00A65DEE"/>
    <w:rsid w:val="00A95B01"/>
    <w:rsid w:val="00A97656"/>
    <w:rsid w:val="00AB1690"/>
    <w:rsid w:val="00AB4885"/>
    <w:rsid w:val="00AD7EE8"/>
    <w:rsid w:val="00AF20BB"/>
    <w:rsid w:val="00B246A0"/>
    <w:rsid w:val="00B33F7F"/>
    <w:rsid w:val="00B35907"/>
    <w:rsid w:val="00B43253"/>
    <w:rsid w:val="00B57F41"/>
    <w:rsid w:val="00B76D11"/>
    <w:rsid w:val="00B93EF4"/>
    <w:rsid w:val="00BA0C70"/>
    <w:rsid w:val="00BA6E2C"/>
    <w:rsid w:val="00BB782B"/>
    <w:rsid w:val="00BC45A0"/>
    <w:rsid w:val="00BD37B2"/>
    <w:rsid w:val="00BD38D9"/>
    <w:rsid w:val="00BD7A74"/>
    <w:rsid w:val="00BF06D9"/>
    <w:rsid w:val="00C1583B"/>
    <w:rsid w:val="00C24FFA"/>
    <w:rsid w:val="00C32A31"/>
    <w:rsid w:val="00C4501E"/>
    <w:rsid w:val="00C4782A"/>
    <w:rsid w:val="00C71F36"/>
    <w:rsid w:val="00C94776"/>
    <w:rsid w:val="00CA15AF"/>
    <w:rsid w:val="00CA3B6A"/>
    <w:rsid w:val="00CA3CD1"/>
    <w:rsid w:val="00CA693F"/>
    <w:rsid w:val="00CB22A8"/>
    <w:rsid w:val="00CB55A8"/>
    <w:rsid w:val="00CC15C0"/>
    <w:rsid w:val="00CC34E2"/>
    <w:rsid w:val="00CC465F"/>
    <w:rsid w:val="00CC6E7F"/>
    <w:rsid w:val="00CC7B48"/>
    <w:rsid w:val="00CC7D9E"/>
    <w:rsid w:val="00CE069D"/>
    <w:rsid w:val="00CE2198"/>
    <w:rsid w:val="00CF4AED"/>
    <w:rsid w:val="00D10E3D"/>
    <w:rsid w:val="00D12EFC"/>
    <w:rsid w:val="00D32E3D"/>
    <w:rsid w:val="00D43358"/>
    <w:rsid w:val="00D50BD2"/>
    <w:rsid w:val="00D64215"/>
    <w:rsid w:val="00D6479A"/>
    <w:rsid w:val="00D64FC5"/>
    <w:rsid w:val="00D65FD9"/>
    <w:rsid w:val="00D677FF"/>
    <w:rsid w:val="00D821B7"/>
    <w:rsid w:val="00D83421"/>
    <w:rsid w:val="00DA0F73"/>
    <w:rsid w:val="00DA6C4A"/>
    <w:rsid w:val="00DB0788"/>
    <w:rsid w:val="00DE773A"/>
    <w:rsid w:val="00DF34AD"/>
    <w:rsid w:val="00DF73A6"/>
    <w:rsid w:val="00E0606F"/>
    <w:rsid w:val="00E27E8C"/>
    <w:rsid w:val="00E41993"/>
    <w:rsid w:val="00E52DAE"/>
    <w:rsid w:val="00E71AB1"/>
    <w:rsid w:val="00EC1C2D"/>
    <w:rsid w:val="00EC7A90"/>
    <w:rsid w:val="00EE1563"/>
    <w:rsid w:val="00EE43D0"/>
    <w:rsid w:val="00F02021"/>
    <w:rsid w:val="00F0772F"/>
    <w:rsid w:val="00F160BA"/>
    <w:rsid w:val="00F20749"/>
    <w:rsid w:val="00F221BE"/>
    <w:rsid w:val="00F46325"/>
    <w:rsid w:val="00F55633"/>
    <w:rsid w:val="00F768A8"/>
    <w:rsid w:val="00F8064D"/>
    <w:rsid w:val="00F90A8A"/>
    <w:rsid w:val="00F93862"/>
    <w:rsid w:val="00FA6D40"/>
    <w:rsid w:val="00FB2E9C"/>
    <w:rsid w:val="00FB6B9A"/>
    <w:rsid w:val="00FC4E47"/>
    <w:rsid w:val="00FC5B49"/>
    <w:rsid w:val="00FD5F38"/>
    <w:rsid w:val="00FE3999"/>
    <w:rsid w:val="00FF3344"/>
    <w:rsid w:val="019D73AC"/>
    <w:rsid w:val="0204097E"/>
    <w:rsid w:val="020B6A0C"/>
    <w:rsid w:val="02124DA5"/>
    <w:rsid w:val="026F14CA"/>
    <w:rsid w:val="0375198C"/>
    <w:rsid w:val="03A45EEA"/>
    <w:rsid w:val="03CF14FB"/>
    <w:rsid w:val="0534627A"/>
    <w:rsid w:val="05AC67A9"/>
    <w:rsid w:val="06040D91"/>
    <w:rsid w:val="061C4ABB"/>
    <w:rsid w:val="065427AA"/>
    <w:rsid w:val="065B7870"/>
    <w:rsid w:val="06C3041C"/>
    <w:rsid w:val="07101250"/>
    <w:rsid w:val="07230BB9"/>
    <w:rsid w:val="0797489E"/>
    <w:rsid w:val="07BB1856"/>
    <w:rsid w:val="08944879"/>
    <w:rsid w:val="09905D57"/>
    <w:rsid w:val="0A553526"/>
    <w:rsid w:val="0AD33E3F"/>
    <w:rsid w:val="0B995089"/>
    <w:rsid w:val="0C803B53"/>
    <w:rsid w:val="0D5B260E"/>
    <w:rsid w:val="0E6B61F4"/>
    <w:rsid w:val="0F0942D3"/>
    <w:rsid w:val="0F5C7F75"/>
    <w:rsid w:val="0FBD2426"/>
    <w:rsid w:val="10B4201D"/>
    <w:rsid w:val="11B91F54"/>
    <w:rsid w:val="121E5591"/>
    <w:rsid w:val="136A730B"/>
    <w:rsid w:val="13C7475D"/>
    <w:rsid w:val="14D0172D"/>
    <w:rsid w:val="15727BFE"/>
    <w:rsid w:val="15761F97"/>
    <w:rsid w:val="15B3366E"/>
    <w:rsid w:val="15F559F6"/>
    <w:rsid w:val="16157A01"/>
    <w:rsid w:val="16264E9E"/>
    <w:rsid w:val="16976B92"/>
    <w:rsid w:val="17334277"/>
    <w:rsid w:val="177F3C54"/>
    <w:rsid w:val="17B24375"/>
    <w:rsid w:val="18F71FE7"/>
    <w:rsid w:val="190B0C48"/>
    <w:rsid w:val="195169B4"/>
    <w:rsid w:val="1A412BC2"/>
    <w:rsid w:val="1B867449"/>
    <w:rsid w:val="1BEF65FF"/>
    <w:rsid w:val="1C026332"/>
    <w:rsid w:val="1D9C659D"/>
    <w:rsid w:val="1DB92015"/>
    <w:rsid w:val="1DFB572F"/>
    <w:rsid w:val="1EC130BB"/>
    <w:rsid w:val="1ECF44C6"/>
    <w:rsid w:val="1F420B07"/>
    <w:rsid w:val="1F445D6E"/>
    <w:rsid w:val="1F8D209C"/>
    <w:rsid w:val="20A24F68"/>
    <w:rsid w:val="20FF72E4"/>
    <w:rsid w:val="21341F49"/>
    <w:rsid w:val="21AB3938"/>
    <w:rsid w:val="22773ACC"/>
    <w:rsid w:val="22A8028B"/>
    <w:rsid w:val="22AB6B25"/>
    <w:rsid w:val="22EA7B20"/>
    <w:rsid w:val="23580F2E"/>
    <w:rsid w:val="236B4EC4"/>
    <w:rsid w:val="241237D2"/>
    <w:rsid w:val="24612064"/>
    <w:rsid w:val="24B0620F"/>
    <w:rsid w:val="24CF2F58"/>
    <w:rsid w:val="25492727"/>
    <w:rsid w:val="260D3267"/>
    <w:rsid w:val="265F52C9"/>
    <w:rsid w:val="26FF33D7"/>
    <w:rsid w:val="27F162E5"/>
    <w:rsid w:val="28275D78"/>
    <w:rsid w:val="284D60FB"/>
    <w:rsid w:val="29B51DE4"/>
    <w:rsid w:val="2A6D7BC8"/>
    <w:rsid w:val="2AA15742"/>
    <w:rsid w:val="2B94612F"/>
    <w:rsid w:val="2BBB474F"/>
    <w:rsid w:val="2BF73BD8"/>
    <w:rsid w:val="2BFD343F"/>
    <w:rsid w:val="2CD72DF6"/>
    <w:rsid w:val="2DA76D39"/>
    <w:rsid w:val="2E085489"/>
    <w:rsid w:val="2E6225D0"/>
    <w:rsid w:val="2E7B128A"/>
    <w:rsid w:val="2E8848C1"/>
    <w:rsid w:val="2FA1330B"/>
    <w:rsid w:val="2FBE39C4"/>
    <w:rsid w:val="300E095D"/>
    <w:rsid w:val="30772903"/>
    <w:rsid w:val="30BB11B9"/>
    <w:rsid w:val="30DE7003"/>
    <w:rsid w:val="32F53523"/>
    <w:rsid w:val="33C53F58"/>
    <w:rsid w:val="35103B30"/>
    <w:rsid w:val="36080EAA"/>
    <w:rsid w:val="361162F6"/>
    <w:rsid w:val="36341FC5"/>
    <w:rsid w:val="370A0339"/>
    <w:rsid w:val="37823960"/>
    <w:rsid w:val="37DD2351"/>
    <w:rsid w:val="38606463"/>
    <w:rsid w:val="39B46EC2"/>
    <w:rsid w:val="39EC1D94"/>
    <w:rsid w:val="39F575F2"/>
    <w:rsid w:val="39FA17BE"/>
    <w:rsid w:val="3ACA22B9"/>
    <w:rsid w:val="3AD2116E"/>
    <w:rsid w:val="3E2C300D"/>
    <w:rsid w:val="3E6C18EB"/>
    <w:rsid w:val="3E7D32EC"/>
    <w:rsid w:val="40254492"/>
    <w:rsid w:val="40726CA8"/>
    <w:rsid w:val="423A41C8"/>
    <w:rsid w:val="42913D8B"/>
    <w:rsid w:val="42F768BF"/>
    <w:rsid w:val="43441BDA"/>
    <w:rsid w:val="43793A02"/>
    <w:rsid w:val="43C86274"/>
    <w:rsid w:val="4416292B"/>
    <w:rsid w:val="453A49F3"/>
    <w:rsid w:val="4598331C"/>
    <w:rsid w:val="46264015"/>
    <w:rsid w:val="46721B0B"/>
    <w:rsid w:val="47135695"/>
    <w:rsid w:val="471843AC"/>
    <w:rsid w:val="474753F2"/>
    <w:rsid w:val="47F63B0A"/>
    <w:rsid w:val="47FC40AD"/>
    <w:rsid w:val="49814EE0"/>
    <w:rsid w:val="49B343FD"/>
    <w:rsid w:val="49CF51F6"/>
    <w:rsid w:val="49FB423D"/>
    <w:rsid w:val="4A0B6974"/>
    <w:rsid w:val="4A5F5E36"/>
    <w:rsid w:val="4A795E13"/>
    <w:rsid w:val="4AEF3FCE"/>
    <w:rsid w:val="4B4A779F"/>
    <w:rsid w:val="4BB55E94"/>
    <w:rsid w:val="4CA46E0E"/>
    <w:rsid w:val="4D6D18F2"/>
    <w:rsid w:val="4D8A13A0"/>
    <w:rsid w:val="4D936569"/>
    <w:rsid w:val="4D9F7122"/>
    <w:rsid w:val="4ED626E7"/>
    <w:rsid w:val="4F0F42E7"/>
    <w:rsid w:val="4F1A6D50"/>
    <w:rsid w:val="4F3D2245"/>
    <w:rsid w:val="4F493C9D"/>
    <w:rsid w:val="4F636734"/>
    <w:rsid w:val="4FAD0DC8"/>
    <w:rsid w:val="50082D74"/>
    <w:rsid w:val="50665DF4"/>
    <w:rsid w:val="5147134F"/>
    <w:rsid w:val="5187200F"/>
    <w:rsid w:val="522F12A6"/>
    <w:rsid w:val="525564B4"/>
    <w:rsid w:val="52647F7E"/>
    <w:rsid w:val="533F111D"/>
    <w:rsid w:val="539C25E3"/>
    <w:rsid w:val="541E765D"/>
    <w:rsid w:val="54D37B0E"/>
    <w:rsid w:val="54E56216"/>
    <w:rsid w:val="55652EB2"/>
    <w:rsid w:val="55935C72"/>
    <w:rsid w:val="559D3000"/>
    <w:rsid w:val="55AF056B"/>
    <w:rsid w:val="55D36578"/>
    <w:rsid w:val="563C7F24"/>
    <w:rsid w:val="57024389"/>
    <w:rsid w:val="5721082D"/>
    <w:rsid w:val="57843ACA"/>
    <w:rsid w:val="58255B16"/>
    <w:rsid w:val="59266DFD"/>
    <w:rsid w:val="5A564EC2"/>
    <w:rsid w:val="5A60212E"/>
    <w:rsid w:val="5A81078E"/>
    <w:rsid w:val="5AEB20AC"/>
    <w:rsid w:val="5B885075"/>
    <w:rsid w:val="5C471339"/>
    <w:rsid w:val="5C6F2A9C"/>
    <w:rsid w:val="5CA22C3E"/>
    <w:rsid w:val="5D715584"/>
    <w:rsid w:val="5E5A37D0"/>
    <w:rsid w:val="5E6D54C7"/>
    <w:rsid w:val="5ECC6A9A"/>
    <w:rsid w:val="5ED04600"/>
    <w:rsid w:val="5F8C65EA"/>
    <w:rsid w:val="601120B8"/>
    <w:rsid w:val="604D616F"/>
    <w:rsid w:val="604F4720"/>
    <w:rsid w:val="606E1989"/>
    <w:rsid w:val="60886F30"/>
    <w:rsid w:val="60A9429D"/>
    <w:rsid w:val="60B46AA4"/>
    <w:rsid w:val="60FA1023"/>
    <w:rsid w:val="61181721"/>
    <w:rsid w:val="61564D59"/>
    <w:rsid w:val="62E30E34"/>
    <w:rsid w:val="637569B7"/>
    <w:rsid w:val="63DC07E4"/>
    <w:rsid w:val="65A90B99"/>
    <w:rsid w:val="661A3845"/>
    <w:rsid w:val="6632508A"/>
    <w:rsid w:val="6646463A"/>
    <w:rsid w:val="66543EF7"/>
    <w:rsid w:val="66815672"/>
    <w:rsid w:val="66E7601F"/>
    <w:rsid w:val="67B44E0B"/>
    <w:rsid w:val="68A63DE8"/>
    <w:rsid w:val="69F60A5A"/>
    <w:rsid w:val="6A42196E"/>
    <w:rsid w:val="6B0A032C"/>
    <w:rsid w:val="6B5E41D4"/>
    <w:rsid w:val="6C3A079D"/>
    <w:rsid w:val="6C6019D2"/>
    <w:rsid w:val="6C6477B7"/>
    <w:rsid w:val="6C933E00"/>
    <w:rsid w:val="6CCB13E0"/>
    <w:rsid w:val="6CFD3EB8"/>
    <w:rsid w:val="6EEF4B68"/>
    <w:rsid w:val="70383246"/>
    <w:rsid w:val="710A1B76"/>
    <w:rsid w:val="71381397"/>
    <w:rsid w:val="717528FF"/>
    <w:rsid w:val="723B7987"/>
    <w:rsid w:val="723D4B43"/>
    <w:rsid w:val="72ED482D"/>
    <w:rsid w:val="737E18B7"/>
    <w:rsid w:val="738D7542"/>
    <w:rsid w:val="739E412C"/>
    <w:rsid w:val="73F364C9"/>
    <w:rsid w:val="747B7BA5"/>
    <w:rsid w:val="750556C0"/>
    <w:rsid w:val="7527726E"/>
    <w:rsid w:val="7568296F"/>
    <w:rsid w:val="756D1BE3"/>
    <w:rsid w:val="75ED6880"/>
    <w:rsid w:val="76016A07"/>
    <w:rsid w:val="765F16E0"/>
    <w:rsid w:val="76A72BFD"/>
    <w:rsid w:val="76F679B7"/>
    <w:rsid w:val="77367BF6"/>
    <w:rsid w:val="775803A7"/>
    <w:rsid w:val="782813FB"/>
    <w:rsid w:val="788450C9"/>
    <w:rsid w:val="78F25C78"/>
    <w:rsid w:val="79442C5B"/>
    <w:rsid w:val="797306E5"/>
    <w:rsid w:val="79CB1DD8"/>
    <w:rsid w:val="7A851910"/>
    <w:rsid w:val="7A956194"/>
    <w:rsid w:val="7AB438CE"/>
    <w:rsid w:val="7AD8558E"/>
    <w:rsid w:val="7B7A1ECE"/>
    <w:rsid w:val="7C5D6D63"/>
    <w:rsid w:val="7D474AC8"/>
    <w:rsid w:val="7DAE4B47"/>
    <w:rsid w:val="7DF32EA2"/>
    <w:rsid w:val="7E331E94"/>
    <w:rsid w:val="7EA56D75"/>
    <w:rsid w:val="7FC06E9F"/>
  </w:rsids>
  <w:docVars>
    <w:docVar w:name="commondata" w:val="eyJoZGlkIjoiMDc5NTM5YjBmYTUwMWYxY2IzZmRiMDk2YzBhNDZhZ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locked="1" w:semiHidden="0" w:uiPriority="9" w:unhideWhenUsed="0" w:qFormat="1"/>
    <w:lsdException w:name="heading 2" w:locked="1" w:uiPriority="9" w:qFormat="1"/>
    <w:lsdException w:name="heading 3" w:locked="1" w:semiHidden="0" w:uiPriority="0" w:qFormat="1"/>
    <w:lsdException w:name="heading 4" w:locked="1" w:semiHidden="0" w:uiPriority="0" w:unhideWhenUsed="0"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semiHidden="0" w:uiPriority="39" w:qFormat="1"/>
    <w:lsdException w:name="toc 2" w:locked="1" w:semiHidden="0" w:uiPriority="39" w:qFormat="1"/>
    <w:lsdException w:name="toc 3" w:locked="1" w:semiHidden="0" w:uiPriority="39" w:qFormat="1"/>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Normal Indent" w:locked="1" w:semiHidden="0" w:qFormat="1"/>
    <w:lsdException w:name="footnote text" w:locked="1"/>
    <w:lsdException w:name="annotation text" w:locked="1" w:qFormat="1"/>
    <w:lsdException w:name="header" w:locked="1" w:semiHidden="0" w:uiPriority="0" w:unhideWhenUsed="0" w:qFormat="1"/>
    <w:lsdException w:name="footer" w:locked="1" w:semiHidden="0" w:unhideWhenUsed="0" w:qFormat="1"/>
    <w:lsdException w:name="index heading" w:locked="1"/>
    <w:lsdException w:name="caption" w:locked="1" w:uiPriority="35" w:qFormat="1"/>
    <w:lsdException w:name="table of figures" w:locked="1"/>
    <w:lsdException w:name="envelope address" w:locked="1"/>
    <w:lsdException w:name="envelope return" w:locked="1" w:semiHidden="0" w:uiPriority="0" w:unhideWhenUsed="0" w:qFormat="1"/>
    <w:lsdException w:name="footnote reference" w:locked="1"/>
    <w:lsdException w:name="annotation reference" w:locked="1" w:qFormat="1"/>
    <w:lsdException w:name="line number" w:locked="1"/>
    <w:lsdException w:name="page number" w:locked="1" w:semiHidden="0" w:uiPriority="0" w:unhideWhenUsed="0" w:qFormat="1"/>
    <w:lsdException w:name="endnote reference" w:locked="1"/>
    <w:lsdException w:name="endnote text" w:locked="1"/>
    <w:lsdException w:name="table of authorities" w:locked="1"/>
    <w:lsdException w:name="macro" w:locked="1"/>
    <w:lsdException w:name="toa heading" w:locked="1" w:semiHidden="0" w:uiPriority="0" w:unhideWhenUsed="0" w:qFormat="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iPriority="10" w:unhideWhenUsed="0" w:qFormat="1"/>
    <w:lsdException w:name="Closing" w:locked="1"/>
    <w:lsdException w:name="Signature" w:locked="1"/>
    <w:lsdException w:name="Default Paragraph Font" w:uiPriority="1" w:qFormat="1"/>
    <w:lsdException w:name="Body Text" w:locked="1" w:semiHidden="0" w:qFormat="1"/>
    <w:lsdException w:name="Body Text Indent" w:locked="1" w:semiHidden="0" w:uiPriority="0" w:unhideWhenUsed="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iPriority="11" w:unhideWhenUsed="0"/>
    <w:lsdException w:name="Salutation" w:locked="1"/>
    <w:lsdException w:name="Date" w:locked="1"/>
    <w:lsdException w:name="Body Text First Indent" w:locked="1"/>
    <w:lsdException w:name="Body Text First Indent 2" w:locked="1" w:semiHidden="0" w:qFormat="1"/>
    <w:lsdException w:name="Note Heading" w:locked="1"/>
    <w:lsdException w:name="Body Text 2" w:locked="1"/>
    <w:lsdException w:name="Body Text 3" w:locked="1"/>
    <w:lsdException w:name="Body Text Indent 2" w:locked="1" w:semiHidden="0" w:uiPriority="0" w:unhideWhenUsed="0" w:qFormat="1"/>
    <w:lsdException w:name="Body Text Indent 3" w:locked="1"/>
    <w:lsdException w:name="Block Text" w:locked="1"/>
    <w:lsdException w:name="Hyperlink" w:locked="1" w:semiHidden="0" w:qFormat="1"/>
    <w:lsdException w:name="FollowedHyperlink" w:locked="1"/>
    <w:lsdException w:name="Strong" w:locked="1" w:semiHidden="0" w:uiPriority="22" w:unhideWhenUsed="0"/>
    <w:lsdException w:name="Emphasis" w:locked="1" w:semiHidden="0" w:uiPriority="20" w:unhideWhenUsed="0"/>
    <w:lsdException w:name="Document Map" w:locked="1" w:semiHidden="0" w:uiPriority="0" w:unhideWhenUsed="0" w:qFormat="1"/>
    <w:lsdException w:name="Plain Text" w:locked="1" w:semiHidden="0" w:qFormat="1"/>
    <w:lsdException w:name="E-mail Signature" w:locked="1"/>
    <w:lsdException w:name="Normal (Web)" w:locked="1"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locked="1"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semiHidden="0" w:unhideWhenUsed="0"/>
    <w:lsdException w:name="Table Web 3" w:locked="1"/>
    <w:lsdException w:name="Balloon Text" w:locked="1" w:qFormat="1"/>
    <w:lsdException w:name="Table Grid" w:locked="1" w:semiHidden="0" w:uiPriority="59" w:unhideWhenUsed="0" w:qFormat="1"/>
    <w:lsdException w:name="Table Theme" w:locked="1" w:semiHidden="0" w:unhideWhenUsed="0"/>
    <w:lsdException w:name="Placeholder Text" w:locked="1"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locked="1"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adjustRightInd w:val="0"/>
      <w:snapToGrid w:val="0"/>
      <w:spacing w:line="360" w:lineRule="auto"/>
      <w:ind w:firstLine="200" w:firstLineChars="200"/>
      <w:jc w:val="both"/>
    </w:pPr>
    <w:rPr>
      <w:rFonts w:ascii="宋体" w:eastAsia="宋体" w:hAnsi="宋体" w:cs="Times New Roman"/>
      <w:kern w:val="2"/>
      <w:sz w:val="21"/>
      <w:szCs w:val="21"/>
      <w:lang w:val="en-US" w:eastAsia="zh-CN" w:bidi="ar-SA"/>
    </w:rPr>
  </w:style>
  <w:style w:type="paragraph" w:styleId="Heading1">
    <w:name w:val="heading 1"/>
    <w:basedOn w:val="Normal"/>
    <w:next w:val="Normal"/>
    <w:link w:val="1"/>
    <w:autoRedefine/>
    <w:uiPriority w:val="9"/>
    <w:qFormat/>
    <w:locked/>
    <w:pPr>
      <w:widowControl w:val="0"/>
      <w:adjustRightInd w:val="0"/>
      <w:snapToGrid w:val="0"/>
      <w:spacing w:before="50" w:beforeLines="50" w:after="50" w:afterLines="50" w:line="360" w:lineRule="auto"/>
      <w:jc w:val="center"/>
      <w:outlineLvl w:val="0"/>
    </w:pPr>
    <w:rPr>
      <w:rFonts w:ascii="黑体" w:eastAsia="黑体" w:hAnsi="黑体" w:cs="Times New Roman"/>
      <w:kern w:val="2"/>
      <w:sz w:val="28"/>
      <w:szCs w:val="21"/>
      <w:lang w:val="en-US" w:eastAsia="zh-CN" w:bidi="ar-SA"/>
    </w:rPr>
  </w:style>
  <w:style w:type="paragraph" w:styleId="Heading2">
    <w:name w:val="heading 2"/>
    <w:basedOn w:val="Normal"/>
    <w:next w:val="Normal"/>
    <w:link w:val="2"/>
    <w:uiPriority w:val="9"/>
    <w:semiHidden/>
    <w:unhideWhenUsed/>
    <w:qFormat/>
    <w:locke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autoRedefine/>
    <w:unhideWhenUsed/>
    <w:qFormat/>
    <w:locked/>
    <w:pPr>
      <w:keepNext/>
      <w:keepLines/>
      <w:numPr>
        <w:ilvl w:val="2"/>
        <w:numId w:val="1"/>
      </w:numPr>
      <w:tabs>
        <w:tab w:val="left" w:pos="283"/>
        <w:tab w:val="left" w:pos="420"/>
      </w:tabs>
      <w:spacing w:line="500" w:lineRule="exact"/>
      <w:outlineLvl w:val="2"/>
    </w:pPr>
    <w:rPr>
      <w:b/>
    </w:rPr>
  </w:style>
  <w:style w:type="paragraph" w:styleId="Heading4">
    <w:name w:val="heading 4"/>
    <w:basedOn w:val="Normal"/>
    <w:next w:val="Normal"/>
    <w:autoRedefine/>
    <w:qFormat/>
    <w:locked/>
    <w:pPr>
      <w:ind w:firstLine="480"/>
      <w:outlineLvl w:val="3"/>
    </w:pPr>
    <w:rPr>
      <w:b/>
      <w:bCs/>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Normal"/>
    <w:next w:val="NormalIndent"/>
    <w:autoRedefine/>
    <w:uiPriority w:val="99"/>
    <w:unhideWhenUsed/>
    <w:qFormat/>
    <w:locked/>
    <w:pPr>
      <w:ind w:firstLine="420"/>
    </w:pPr>
  </w:style>
  <w:style w:type="paragraph" w:styleId="NormalIndent">
    <w:name w:val="Normal Indent"/>
    <w:basedOn w:val="Normal"/>
    <w:autoRedefine/>
    <w:uiPriority w:val="99"/>
    <w:unhideWhenUsed/>
    <w:qFormat/>
    <w:locked/>
    <w:pPr>
      <w:ind w:firstLine="420"/>
    </w:pPr>
  </w:style>
  <w:style w:type="paragraph" w:styleId="DocumentMap">
    <w:name w:val="Document Map"/>
    <w:basedOn w:val="Normal"/>
    <w:autoRedefine/>
    <w:qFormat/>
    <w:locked/>
    <w:pPr>
      <w:shd w:val="clear" w:color="auto" w:fill="000080"/>
    </w:pPr>
  </w:style>
  <w:style w:type="paragraph" w:styleId="TOAHeading">
    <w:name w:val="toa heading"/>
    <w:basedOn w:val="Normal"/>
    <w:next w:val="Normal"/>
    <w:autoRedefine/>
    <w:qFormat/>
    <w:locked/>
    <w:pPr>
      <w:spacing w:before="120"/>
      <w:ind w:firstLine="200" w:firstLineChars="200"/>
    </w:pPr>
    <w:rPr>
      <w:rFonts w:ascii="Arial" w:hAnsi="Arial" w:cs="Arial"/>
      <w:szCs w:val="22"/>
    </w:rPr>
  </w:style>
  <w:style w:type="paragraph" w:styleId="CommentText">
    <w:name w:val="annotation text"/>
    <w:basedOn w:val="Normal"/>
    <w:link w:val="a2"/>
    <w:autoRedefine/>
    <w:uiPriority w:val="99"/>
    <w:semiHidden/>
    <w:unhideWhenUsed/>
    <w:qFormat/>
    <w:locked/>
    <w:pPr>
      <w:jc w:val="left"/>
    </w:pPr>
  </w:style>
  <w:style w:type="paragraph" w:styleId="BodyText">
    <w:name w:val="Body Text"/>
    <w:basedOn w:val="Normal"/>
    <w:next w:val="Normal"/>
    <w:autoRedefine/>
    <w:uiPriority w:val="99"/>
    <w:unhideWhenUsed/>
    <w:qFormat/>
    <w:locked/>
    <w:pPr>
      <w:spacing w:after="120"/>
    </w:pPr>
  </w:style>
  <w:style w:type="paragraph" w:styleId="BodyTextIndent">
    <w:name w:val="Body Text Indent"/>
    <w:basedOn w:val="Normal"/>
    <w:next w:val="Normal"/>
    <w:autoRedefine/>
    <w:qFormat/>
    <w:locked/>
    <w:pPr>
      <w:spacing w:after="120"/>
      <w:ind w:left="420" w:leftChars="200"/>
    </w:pPr>
  </w:style>
  <w:style w:type="paragraph" w:styleId="TOC3">
    <w:name w:val="toc 3"/>
    <w:basedOn w:val="Normal"/>
    <w:next w:val="Normal"/>
    <w:autoRedefine/>
    <w:uiPriority w:val="39"/>
    <w:unhideWhenUsed/>
    <w:qFormat/>
    <w:locked/>
    <w:pPr>
      <w:widowControl/>
      <w:spacing w:line="240" w:lineRule="auto"/>
      <w:ind w:left="400" w:firstLine="0" w:firstLineChars="0"/>
      <w:jc w:val="left"/>
    </w:pPr>
    <w:rPr>
      <w:rFonts w:asciiTheme="minorHAnsi" w:hAnsiTheme="minorHAnsi" w:cstheme="minorHAnsi"/>
      <w:i/>
      <w:iCs/>
      <w:kern w:val="0"/>
      <w:sz w:val="20"/>
      <w:szCs w:val="20"/>
    </w:rPr>
  </w:style>
  <w:style w:type="paragraph" w:styleId="PlainText">
    <w:name w:val="Plain Text"/>
    <w:basedOn w:val="Normal"/>
    <w:autoRedefine/>
    <w:uiPriority w:val="99"/>
    <w:unhideWhenUsed/>
    <w:qFormat/>
    <w:locked/>
    <w:pPr>
      <w:ind w:firstLine="0" w:firstLineChars="0"/>
      <w:jc w:val="center"/>
    </w:pPr>
    <w:rPr>
      <w:rFonts w:ascii="宋体" w:hAnsi="宋体"/>
      <w:sz w:val="21"/>
    </w:rPr>
  </w:style>
  <w:style w:type="paragraph" w:styleId="BodyTextIndent2">
    <w:name w:val="Body Text Indent 2"/>
    <w:basedOn w:val="Normal"/>
    <w:autoRedefine/>
    <w:qFormat/>
    <w:locked/>
    <w:pPr>
      <w:jc w:val="left"/>
    </w:pPr>
  </w:style>
  <w:style w:type="paragraph" w:styleId="BalloonText">
    <w:name w:val="Balloon Text"/>
    <w:basedOn w:val="Normal"/>
    <w:link w:val="a1"/>
    <w:autoRedefine/>
    <w:uiPriority w:val="99"/>
    <w:semiHidden/>
    <w:unhideWhenUsed/>
    <w:qFormat/>
    <w:locked/>
    <w:pPr>
      <w:spacing w:line="240" w:lineRule="auto"/>
    </w:pPr>
    <w:rPr>
      <w:sz w:val="18"/>
      <w:szCs w:val="18"/>
    </w:rPr>
  </w:style>
  <w:style w:type="paragraph" w:styleId="Footer">
    <w:name w:val="footer"/>
    <w:basedOn w:val="Normal"/>
    <w:link w:val="a"/>
    <w:autoRedefine/>
    <w:uiPriority w:val="99"/>
    <w:qFormat/>
    <w:locked/>
    <w:pPr>
      <w:tabs>
        <w:tab w:val="center" w:pos="4153"/>
        <w:tab w:val="right" w:pos="8306"/>
      </w:tabs>
      <w:jc w:val="left"/>
    </w:pPr>
    <w:rPr>
      <w:sz w:val="18"/>
      <w:szCs w:val="18"/>
    </w:rPr>
  </w:style>
  <w:style w:type="paragraph" w:styleId="EnvelopeReturn">
    <w:name w:val="envelope return"/>
    <w:basedOn w:val="Normal"/>
    <w:autoRedefine/>
    <w:qFormat/>
    <w:locked/>
    <w:pPr>
      <w:snapToGrid w:val="0"/>
    </w:pPr>
    <w:rPr>
      <w:rFonts w:ascii="Arial" w:hAnsi="Arial"/>
    </w:rPr>
  </w:style>
  <w:style w:type="paragraph" w:styleId="Header">
    <w:name w:val="header"/>
    <w:basedOn w:val="Normal"/>
    <w:autoRedefine/>
    <w:qFormat/>
    <w:locked/>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autoRedefine/>
    <w:uiPriority w:val="39"/>
    <w:unhideWhenUsed/>
    <w:qFormat/>
    <w:locked/>
    <w:pPr>
      <w:widowControl/>
      <w:spacing w:before="120" w:after="120" w:line="240" w:lineRule="auto"/>
      <w:ind w:firstLine="0" w:firstLineChars="0"/>
      <w:jc w:val="left"/>
    </w:pPr>
    <w:rPr>
      <w:rFonts w:asciiTheme="minorHAnsi" w:hAnsiTheme="minorHAnsi" w:cstheme="minorHAnsi"/>
      <w:b/>
      <w:bCs/>
      <w:caps/>
      <w:kern w:val="0"/>
      <w:sz w:val="20"/>
      <w:szCs w:val="20"/>
    </w:rPr>
  </w:style>
  <w:style w:type="paragraph" w:styleId="TOC2">
    <w:name w:val="toc 2"/>
    <w:basedOn w:val="Normal"/>
    <w:next w:val="Normal"/>
    <w:autoRedefine/>
    <w:uiPriority w:val="39"/>
    <w:unhideWhenUsed/>
    <w:qFormat/>
    <w:locked/>
    <w:pPr>
      <w:widowControl/>
      <w:spacing w:line="240" w:lineRule="auto"/>
      <w:ind w:left="200" w:firstLine="0" w:firstLineChars="0"/>
      <w:jc w:val="left"/>
    </w:pPr>
    <w:rPr>
      <w:rFonts w:asciiTheme="minorHAnsi" w:hAnsiTheme="minorHAnsi" w:cstheme="minorHAnsi"/>
      <w:smallCaps/>
      <w:kern w:val="0"/>
      <w:sz w:val="20"/>
      <w:szCs w:val="20"/>
    </w:rPr>
  </w:style>
  <w:style w:type="paragraph" w:styleId="NormalWeb">
    <w:name w:val="Normal (Web)"/>
    <w:basedOn w:val="Normal"/>
    <w:autoRedefine/>
    <w:uiPriority w:val="99"/>
    <w:semiHidden/>
    <w:unhideWhenUsed/>
    <w:qFormat/>
    <w:locked/>
    <w:pPr>
      <w:widowControl/>
      <w:adjustRightInd/>
      <w:snapToGrid/>
      <w:spacing w:before="100" w:beforeAutospacing="1" w:after="100" w:afterAutospacing="1" w:line="240" w:lineRule="auto"/>
      <w:ind w:firstLine="0" w:firstLineChars="0"/>
      <w:jc w:val="left"/>
    </w:pPr>
    <w:rPr>
      <w:rFonts w:cs="宋体"/>
      <w:kern w:val="0"/>
      <w:sz w:val="24"/>
      <w:szCs w:val="24"/>
    </w:rPr>
  </w:style>
  <w:style w:type="paragraph" w:styleId="Title">
    <w:name w:val="Title"/>
    <w:basedOn w:val="Normal"/>
    <w:next w:val="Normal"/>
    <w:link w:val="a0"/>
    <w:autoRedefine/>
    <w:uiPriority w:val="10"/>
    <w:qFormat/>
    <w:locked/>
    <w:pPr>
      <w:spacing w:before="240" w:after="60"/>
      <w:ind w:firstLine="0" w:firstLineChars="0"/>
      <w:jc w:val="center"/>
      <w:outlineLvl w:val="0"/>
    </w:pPr>
    <w:rPr>
      <w:rFonts w:asciiTheme="majorHAnsi" w:hAnsiTheme="majorHAnsi" w:cstheme="majorBidi"/>
      <w:b/>
      <w:bCs/>
      <w:sz w:val="32"/>
      <w:szCs w:val="32"/>
    </w:rPr>
  </w:style>
  <w:style w:type="paragraph" w:styleId="CommentSubject">
    <w:name w:val="annotation subject"/>
    <w:basedOn w:val="CommentText"/>
    <w:next w:val="CommentText"/>
    <w:link w:val="a3"/>
    <w:autoRedefine/>
    <w:uiPriority w:val="99"/>
    <w:semiHidden/>
    <w:unhideWhenUsed/>
    <w:qFormat/>
    <w:locked/>
    <w:rPr>
      <w:b/>
      <w:bCs/>
    </w:rPr>
  </w:style>
  <w:style w:type="table" w:styleId="TableGrid">
    <w:name w:val="Table Grid"/>
    <w:basedOn w:val="TableNormal"/>
    <w:autoRedefine/>
    <w:uiPriority w:val="59"/>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locked/>
  </w:style>
  <w:style w:type="character" w:styleId="Hyperlink">
    <w:name w:val="Hyperlink"/>
    <w:basedOn w:val="DefaultParagraphFont"/>
    <w:autoRedefine/>
    <w:uiPriority w:val="99"/>
    <w:unhideWhenUsed/>
    <w:qFormat/>
    <w:locked/>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locked/>
    <w:rPr>
      <w:sz w:val="21"/>
      <w:szCs w:val="21"/>
    </w:rPr>
  </w:style>
  <w:style w:type="paragraph" w:customStyle="1" w:styleId="cscec8z">
    <w:name w:val="cscec8 z 标书正文"/>
    <w:link w:val="cscec8z0"/>
    <w:autoRedefine/>
    <w:qFormat/>
    <w:pPr>
      <w:widowControl w:val="0"/>
      <w:adjustRightInd w:val="0"/>
      <w:snapToGrid w:val="0"/>
      <w:spacing w:line="360" w:lineRule="auto"/>
      <w:ind w:firstLine="480" w:firstLineChars="200"/>
      <w:jc w:val="both"/>
    </w:pPr>
    <w:rPr>
      <w:rFonts w:ascii="宋体" w:eastAsia="宋体" w:hAnsi="宋体" w:cs="Times New Roman"/>
      <w:kern w:val="2"/>
      <w:sz w:val="24"/>
      <w:szCs w:val="24"/>
      <w:lang w:val="en-US" w:eastAsia="zh-CN" w:bidi="ar-SA"/>
    </w:rPr>
  </w:style>
  <w:style w:type="character" w:customStyle="1" w:styleId="cscec8z0">
    <w:name w:val="cscec8 z 标书正文 字符"/>
    <w:basedOn w:val="DefaultParagraphFont"/>
    <w:link w:val="cscec8z"/>
    <w:autoRedefine/>
    <w:qFormat/>
    <w:rPr>
      <w:rFonts w:ascii="宋体" w:hAnsi="宋体"/>
      <w:kern w:val="2"/>
      <w:sz w:val="24"/>
      <w:szCs w:val="24"/>
    </w:rPr>
  </w:style>
  <w:style w:type="character" w:customStyle="1" w:styleId="1">
    <w:name w:val="标题 1 字符"/>
    <w:basedOn w:val="DefaultParagraphFont"/>
    <w:link w:val="Heading1"/>
    <w:autoRedefine/>
    <w:uiPriority w:val="9"/>
    <w:qFormat/>
    <w:rPr>
      <w:rFonts w:ascii="黑体" w:eastAsia="黑体" w:hAnsi="黑体"/>
      <w:kern w:val="2"/>
      <w:sz w:val="28"/>
      <w:szCs w:val="21"/>
    </w:rPr>
  </w:style>
  <w:style w:type="character" w:customStyle="1" w:styleId="2">
    <w:name w:val="标题 2 字符"/>
    <w:basedOn w:val="DefaultParagraphFont"/>
    <w:link w:val="Heading2"/>
    <w:autoRedefine/>
    <w:uiPriority w:val="9"/>
    <w:semiHidden/>
    <w:qFormat/>
    <w:rPr>
      <w:rFonts w:asciiTheme="majorHAnsi" w:eastAsiaTheme="majorEastAsia" w:hAnsiTheme="majorHAnsi" w:cstheme="majorBidi"/>
      <w:b/>
      <w:bCs/>
      <w:kern w:val="2"/>
      <w:sz w:val="32"/>
      <w:szCs w:val="32"/>
    </w:rPr>
  </w:style>
  <w:style w:type="character" w:customStyle="1" w:styleId="a">
    <w:name w:val="页脚 字符"/>
    <w:link w:val="Footer"/>
    <w:uiPriority w:val="99"/>
    <w:qFormat/>
    <w:rPr>
      <w:rFonts w:eastAsia="宋体"/>
      <w:kern w:val="2"/>
      <w:sz w:val="18"/>
      <w:szCs w:val="18"/>
      <w:lang w:val="en-US" w:eastAsia="zh-CN" w:bidi="ar-SA"/>
    </w:rPr>
  </w:style>
  <w:style w:type="character" w:styleId="PlaceholderText">
    <w:name w:val="Placeholder Text"/>
    <w:basedOn w:val="DefaultParagraphFont"/>
    <w:autoRedefine/>
    <w:uiPriority w:val="99"/>
    <w:semiHidden/>
    <w:qFormat/>
    <w:locked/>
    <w:rPr>
      <w:color w:val="808080"/>
    </w:rPr>
  </w:style>
  <w:style w:type="table" w:customStyle="1" w:styleId="GridTableLight">
    <w:name w:val="Grid Table Light"/>
    <w:basedOn w:val="TableNormal"/>
    <w:uiPriority w:val="40"/>
    <w:qFormat/>
    <w:locked/>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style>
  <w:style w:type="table" w:customStyle="1" w:styleId="cscec8q1">
    <w:name w:val="cscec8 q 中建八局表格样式1"/>
    <w:basedOn w:val="TableNormal"/>
    <w:uiPriority w:val="99"/>
    <w:qFormat/>
    <w:pPr>
      <w:widowControl w:val="0"/>
      <w:adjustRightInd w:val="0"/>
      <w:snapToGrid w:val="0"/>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
    <w:trPr>
      <w:jc w:val="center"/>
    </w:trPr>
    <w:tcPr>
      <w:vAlign w:val="center"/>
    </w:tcPr>
    <w:tblStylePr w:type="firstRow">
      <w:tblPr/>
      <w:trPr>
        <w:tblHeader/>
      </w:trPr>
      <w:tcPr>
        <w:shd w:val="clear" w:color="auto" w:fill="BEBEBE" w:themeFill="background1" w:themeFillShade="BF"/>
      </w:tcPr>
    </w:tblStylePr>
    <w:tblStylePr w:type="firstCol">
      <w:tblPr/>
      <w:tcPr>
        <w:shd w:val="clear" w:color="auto" w:fill="BEBEBE" w:themeFill="background1" w:themeFillShade="BF"/>
      </w:tcPr>
    </w:tblStylePr>
  </w:style>
  <w:style w:type="paragraph" w:customStyle="1" w:styleId="cscec82">
    <w:name w:val="cscec8 2 二级标题"/>
    <w:next w:val="cscec8z"/>
    <w:link w:val="cscec820"/>
    <w:qFormat/>
    <w:pPr>
      <w:widowControl w:val="0"/>
      <w:numPr>
        <w:ilvl w:val="1"/>
        <w:numId w:val="2"/>
      </w:numPr>
      <w:adjustRightInd w:val="0"/>
      <w:snapToGrid w:val="0"/>
      <w:spacing w:before="120" w:beforeLines="50" w:line="360" w:lineRule="auto"/>
      <w:outlineLvl w:val="1"/>
    </w:pPr>
    <w:rPr>
      <w:rFonts w:ascii="黑体" w:eastAsia="黑体" w:hAnsi="黑体" w:cs="Times New Roman"/>
      <w:kern w:val="2"/>
      <w:sz w:val="24"/>
      <w:szCs w:val="21"/>
      <w:lang w:val="en-US" w:eastAsia="zh-CN" w:bidi="ar-SA"/>
    </w:rPr>
  </w:style>
  <w:style w:type="character" w:customStyle="1" w:styleId="cscec820">
    <w:name w:val="cscec8 2 二级标题 字符"/>
    <w:basedOn w:val="DefaultParagraphFont"/>
    <w:link w:val="cscec82"/>
    <w:autoRedefine/>
    <w:qFormat/>
    <w:rPr>
      <w:rFonts w:ascii="黑体" w:eastAsia="黑体" w:hAnsi="黑体"/>
      <w:kern w:val="2"/>
      <w:sz w:val="24"/>
      <w:szCs w:val="21"/>
    </w:rPr>
  </w:style>
  <w:style w:type="paragraph" w:customStyle="1" w:styleId="cscec83">
    <w:name w:val="cscec8 3 三级标题"/>
    <w:next w:val="cscec8z"/>
    <w:link w:val="cscec830"/>
    <w:qFormat/>
    <w:pPr>
      <w:widowControl w:val="0"/>
      <w:numPr>
        <w:ilvl w:val="2"/>
        <w:numId w:val="2"/>
      </w:numPr>
      <w:adjustRightInd w:val="0"/>
      <w:snapToGrid w:val="0"/>
      <w:spacing w:before="120" w:beforeLines="50" w:line="360" w:lineRule="auto"/>
      <w:outlineLvl w:val="2"/>
    </w:pPr>
    <w:rPr>
      <w:rFonts w:ascii="黑体" w:eastAsia="黑体" w:hAnsi="黑体" w:cs="Times New Roman"/>
      <w:kern w:val="2"/>
      <w:sz w:val="24"/>
      <w:szCs w:val="21"/>
      <w:lang w:val="en-US" w:eastAsia="zh-CN" w:bidi="ar-SA"/>
    </w:rPr>
  </w:style>
  <w:style w:type="character" w:customStyle="1" w:styleId="cscec830">
    <w:name w:val="cscec8 3 三级标题 字符"/>
    <w:basedOn w:val="cscec820"/>
    <w:link w:val="cscec83"/>
    <w:qFormat/>
    <w:rPr>
      <w:rFonts w:ascii="黑体" w:eastAsia="黑体" w:hAnsi="黑体"/>
      <w:kern w:val="2"/>
      <w:sz w:val="24"/>
      <w:szCs w:val="21"/>
    </w:rPr>
  </w:style>
  <w:style w:type="paragraph" w:customStyle="1" w:styleId="cscec84">
    <w:name w:val="cscec8 4 四级标题"/>
    <w:next w:val="cscec8z"/>
    <w:link w:val="cscec840"/>
    <w:qFormat/>
    <w:pPr>
      <w:widowControl w:val="0"/>
      <w:numPr>
        <w:ilvl w:val="3"/>
        <w:numId w:val="2"/>
      </w:numPr>
      <w:adjustRightInd w:val="0"/>
      <w:snapToGrid w:val="0"/>
      <w:spacing w:line="360" w:lineRule="auto"/>
      <w:outlineLvl w:val="3"/>
    </w:pPr>
    <w:rPr>
      <w:rFonts w:asciiTheme="minorEastAsia" w:eastAsiaTheme="minorEastAsia" w:hAnsiTheme="minorEastAsia" w:cs="Times New Roman"/>
      <w:kern w:val="2"/>
      <w:sz w:val="24"/>
      <w:szCs w:val="24"/>
      <w:lang w:val="en-US" w:eastAsia="zh-CN" w:bidi="ar-SA"/>
    </w:rPr>
  </w:style>
  <w:style w:type="character" w:customStyle="1" w:styleId="cscec840">
    <w:name w:val="cscec8 4 四级标题 字符"/>
    <w:basedOn w:val="DefaultParagraphFont"/>
    <w:link w:val="cscec84"/>
    <w:qFormat/>
    <w:rPr>
      <w:rFonts w:asciiTheme="minorEastAsia" w:eastAsiaTheme="minorEastAsia" w:hAnsiTheme="minorEastAsia"/>
      <w:kern w:val="2"/>
      <w:sz w:val="24"/>
      <w:szCs w:val="24"/>
    </w:rPr>
  </w:style>
  <w:style w:type="character" w:customStyle="1" w:styleId="a0">
    <w:name w:val="标题 字符"/>
    <w:basedOn w:val="DefaultParagraphFont"/>
    <w:link w:val="Title"/>
    <w:autoRedefine/>
    <w:uiPriority w:val="10"/>
    <w:qFormat/>
    <w:rPr>
      <w:rFonts w:asciiTheme="majorHAnsi" w:hAnsiTheme="majorHAnsi" w:cstheme="majorBidi"/>
      <w:b/>
      <w:bCs/>
      <w:kern w:val="2"/>
      <w:sz w:val="32"/>
      <w:szCs w:val="32"/>
    </w:rPr>
  </w:style>
  <w:style w:type="paragraph" w:customStyle="1" w:styleId="cscec8b">
    <w:name w:val="cscec8 b 表头"/>
    <w:next w:val="cscec8z"/>
    <w:link w:val="cscec8b0"/>
    <w:autoRedefine/>
    <w:qFormat/>
    <w:pPr>
      <w:keepNext/>
      <w:widowControl w:val="0"/>
      <w:numPr>
        <w:ilvl w:val="7"/>
        <w:numId w:val="2"/>
      </w:numPr>
      <w:adjustRightInd w:val="0"/>
      <w:snapToGrid w:val="0"/>
      <w:spacing w:before="120" w:beforeLines="50" w:line="276" w:lineRule="auto"/>
      <w:jc w:val="center"/>
    </w:pPr>
    <w:rPr>
      <w:rFonts w:ascii="黑体" w:eastAsia="黑体" w:hAnsi="黑体" w:cs="Times New Roman"/>
      <w:kern w:val="2"/>
      <w:sz w:val="24"/>
      <w:szCs w:val="24"/>
      <w:lang w:val="en-US" w:eastAsia="zh-CN" w:bidi="ar-SA"/>
    </w:rPr>
  </w:style>
  <w:style w:type="character" w:customStyle="1" w:styleId="cscec8b0">
    <w:name w:val="cscec8 b 表头 字符"/>
    <w:basedOn w:val="DefaultParagraphFont"/>
    <w:link w:val="cscec8b"/>
    <w:qFormat/>
    <w:rPr>
      <w:rFonts w:ascii="黑体" w:eastAsia="黑体" w:hAnsi="黑体"/>
      <w:kern w:val="2"/>
      <w:sz w:val="24"/>
      <w:szCs w:val="24"/>
    </w:rPr>
  </w:style>
  <w:style w:type="paragraph" w:customStyle="1" w:styleId="cscec8s">
    <w:name w:val="cscec8 s 表内文字居中"/>
    <w:link w:val="cscec8s0"/>
    <w:autoRedefine/>
    <w:qFormat/>
    <w:pPr>
      <w:widowControl w:val="0"/>
      <w:adjustRightInd w:val="0"/>
      <w:snapToGrid w:val="0"/>
      <w:spacing w:line="360" w:lineRule="exact"/>
      <w:jc w:val="center"/>
    </w:pPr>
    <w:rPr>
      <w:rFonts w:ascii="宋体" w:eastAsia="宋体" w:hAnsi="宋体" w:cs="Times New Roman"/>
      <w:kern w:val="2"/>
      <w:sz w:val="24"/>
      <w:szCs w:val="24"/>
      <w:lang w:val="en-US" w:eastAsia="zh-CN" w:bidi="ar-SA"/>
    </w:rPr>
  </w:style>
  <w:style w:type="character" w:customStyle="1" w:styleId="cscec8s0">
    <w:name w:val="cscec8 s 表内文字居中 字符"/>
    <w:basedOn w:val="DefaultParagraphFont"/>
    <w:link w:val="cscec8s"/>
    <w:autoRedefine/>
    <w:qFormat/>
    <w:rPr>
      <w:rFonts w:ascii="宋体" w:hAnsi="宋体"/>
      <w:kern w:val="2"/>
      <w:sz w:val="24"/>
      <w:szCs w:val="24"/>
    </w:rPr>
  </w:style>
  <w:style w:type="paragraph" w:customStyle="1" w:styleId="cscec80">
    <w:name w:val="cscec8 0 页眉字体"/>
    <w:link w:val="cscec800"/>
    <w:autoRedefine/>
    <w:qFormat/>
    <w:pPr>
      <w:widowControl w:val="0"/>
      <w:pBdr>
        <w:bottom w:val="single" w:sz="4" w:space="1" w:color="auto"/>
      </w:pBdr>
      <w:tabs>
        <w:tab w:val="right" w:pos="9071"/>
      </w:tabs>
      <w:adjustRightInd w:val="0"/>
      <w:snapToGrid w:val="0"/>
    </w:pPr>
    <w:rPr>
      <w:rFonts w:ascii="宋体" w:eastAsia="宋体" w:hAnsi="宋体" w:cs="Times New Roman"/>
      <w:kern w:val="2"/>
      <w:sz w:val="18"/>
      <w:szCs w:val="18"/>
      <w:lang w:val="en-US" w:eastAsia="zh-CN" w:bidi="ar-SA"/>
    </w:rPr>
  </w:style>
  <w:style w:type="character" w:customStyle="1" w:styleId="cscec800">
    <w:name w:val="cscec8 0 页眉字体 字符"/>
    <w:basedOn w:val="DefaultParagraphFont"/>
    <w:link w:val="cscec80"/>
    <w:qFormat/>
    <w:rPr>
      <w:rFonts w:ascii="宋体" w:hAnsi="宋体"/>
      <w:kern w:val="2"/>
      <w:sz w:val="18"/>
      <w:szCs w:val="18"/>
    </w:rPr>
  </w:style>
  <w:style w:type="paragraph" w:customStyle="1" w:styleId="cscec801">
    <w:name w:val="cscec8 0 页脚字体"/>
    <w:basedOn w:val="Normal"/>
    <w:link w:val="cscec802"/>
    <w:qFormat/>
    <w:pPr>
      <w:tabs>
        <w:tab w:val="center" w:pos="4536"/>
        <w:tab w:val="right" w:pos="9071"/>
      </w:tabs>
      <w:spacing w:before="36" w:beforeLines="15" w:after="36" w:afterLines="15" w:line="240" w:lineRule="auto"/>
      <w:ind w:firstLine="0" w:firstLineChars="0"/>
      <w:jc w:val="center"/>
    </w:pPr>
    <w:rPr>
      <w:sz w:val="18"/>
    </w:rPr>
  </w:style>
  <w:style w:type="character" w:customStyle="1" w:styleId="cscec802">
    <w:name w:val="cscec8 0 页脚字体 字符"/>
    <w:basedOn w:val="a"/>
    <w:link w:val="cscec801"/>
    <w:qFormat/>
    <w:rPr>
      <w:rFonts w:ascii="宋体" w:eastAsia="宋体" w:hAnsi="宋体"/>
      <w:kern w:val="2"/>
      <w:sz w:val="18"/>
      <w:szCs w:val="21"/>
      <w:lang w:val="en-US" w:eastAsia="zh-CN" w:bidi="ar-SA"/>
    </w:rPr>
  </w:style>
  <w:style w:type="paragraph" w:styleId="ListParagraph">
    <w:name w:val="List Paragraph"/>
    <w:basedOn w:val="Normal"/>
    <w:next w:val="Normal"/>
    <w:autoRedefine/>
    <w:uiPriority w:val="34"/>
    <w:qFormat/>
    <w:locked/>
  </w:style>
  <w:style w:type="paragraph" w:customStyle="1" w:styleId="cscec85">
    <w:name w:val="cscec8 5 一级序号"/>
    <w:next w:val="cscec8z"/>
    <w:link w:val="cscec850"/>
    <w:autoRedefine/>
    <w:qFormat/>
    <w:pPr>
      <w:widowControl w:val="0"/>
      <w:numPr>
        <w:ilvl w:val="4"/>
        <w:numId w:val="2"/>
      </w:numPr>
      <w:adjustRightInd w:val="0"/>
      <w:snapToGrid w:val="0"/>
      <w:spacing w:line="360" w:lineRule="auto"/>
      <w:jc w:val="both"/>
    </w:pPr>
    <w:rPr>
      <w:rFonts w:ascii="宋体" w:eastAsia="宋体" w:hAnsi="宋体" w:cs="Times New Roman"/>
      <w:kern w:val="2"/>
      <w:sz w:val="24"/>
      <w:szCs w:val="24"/>
      <w:lang w:val="en-US" w:eastAsia="zh-CN" w:bidi="ar-SA"/>
    </w:rPr>
  </w:style>
  <w:style w:type="character" w:customStyle="1" w:styleId="cscec850">
    <w:name w:val="cscec8 5 一级序号 字符"/>
    <w:basedOn w:val="DefaultParagraphFont"/>
    <w:link w:val="cscec85"/>
    <w:autoRedefine/>
    <w:qFormat/>
    <w:rPr>
      <w:rFonts w:ascii="宋体" w:hAnsi="宋体"/>
      <w:kern w:val="2"/>
      <w:sz w:val="24"/>
      <w:szCs w:val="24"/>
    </w:rPr>
  </w:style>
  <w:style w:type="paragraph" w:customStyle="1" w:styleId="cscec86">
    <w:name w:val="cscec8 6 二级序号"/>
    <w:next w:val="cscec8z"/>
    <w:link w:val="cscec860"/>
    <w:autoRedefine/>
    <w:qFormat/>
    <w:pPr>
      <w:widowControl w:val="0"/>
      <w:numPr>
        <w:ilvl w:val="5"/>
        <w:numId w:val="2"/>
      </w:numPr>
      <w:adjustRightInd w:val="0"/>
      <w:snapToGrid w:val="0"/>
      <w:spacing w:line="360" w:lineRule="auto"/>
      <w:jc w:val="both"/>
    </w:pPr>
    <w:rPr>
      <w:rFonts w:ascii="宋体" w:eastAsia="宋体" w:hAnsi="宋体" w:cs="Times New Roman"/>
      <w:kern w:val="2"/>
      <w:sz w:val="24"/>
      <w:szCs w:val="24"/>
      <w:lang w:val="en-US" w:eastAsia="zh-CN" w:bidi="ar-SA"/>
    </w:rPr>
  </w:style>
  <w:style w:type="character" w:customStyle="1" w:styleId="cscec860">
    <w:name w:val="cscec8 6 二级序号 字符"/>
    <w:basedOn w:val="DefaultParagraphFont"/>
    <w:link w:val="cscec86"/>
    <w:autoRedefine/>
    <w:qFormat/>
    <w:rPr>
      <w:rFonts w:ascii="宋体" w:hAnsi="宋体"/>
      <w:kern w:val="2"/>
      <w:sz w:val="24"/>
      <w:szCs w:val="24"/>
    </w:rPr>
  </w:style>
  <w:style w:type="paragraph" w:customStyle="1" w:styleId="-cscec8">
    <w:name w:val="三级序号-cscec8"/>
    <w:link w:val="-cscec80"/>
    <w:autoRedefine/>
    <w:qFormat/>
    <w:pPr>
      <w:widowControl w:val="0"/>
      <w:adjustRightInd w:val="0"/>
      <w:snapToGrid w:val="0"/>
      <w:spacing w:line="360" w:lineRule="auto"/>
      <w:jc w:val="both"/>
    </w:pPr>
    <w:rPr>
      <w:rFonts w:ascii="宋体" w:eastAsia="宋体" w:hAnsi="宋体" w:cs="Times New Roman"/>
      <w:kern w:val="2"/>
      <w:sz w:val="21"/>
      <w:szCs w:val="21"/>
      <w:lang w:val="en-US" w:eastAsia="zh-CN" w:bidi="ar-SA"/>
    </w:rPr>
  </w:style>
  <w:style w:type="character" w:customStyle="1" w:styleId="-cscec80">
    <w:name w:val="三级序号-cscec8 字符"/>
    <w:basedOn w:val="DefaultParagraphFont"/>
    <w:link w:val="-cscec8"/>
    <w:autoRedefine/>
    <w:qFormat/>
    <w:rPr>
      <w:rFonts w:ascii="宋体" w:hAnsi="宋体"/>
      <w:kern w:val="2"/>
      <w:sz w:val="21"/>
      <w:szCs w:val="21"/>
    </w:rPr>
  </w:style>
  <w:style w:type="paragraph" w:customStyle="1" w:styleId="cscec8t">
    <w:name w:val="cscec8 t 图名"/>
    <w:next w:val="cscec8z"/>
    <w:link w:val="cscec8t0"/>
    <w:autoRedefine/>
    <w:qFormat/>
    <w:pPr>
      <w:widowControl w:val="0"/>
      <w:numPr>
        <w:ilvl w:val="6"/>
        <w:numId w:val="2"/>
      </w:numPr>
      <w:adjustRightInd w:val="0"/>
      <w:snapToGrid w:val="0"/>
      <w:spacing w:line="360" w:lineRule="auto"/>
      <w:jc w:val="center"/>
    </w:pPr>
    <w:rPr>
      <w:rFonts w:ascii="黑体" w:eastAsia="黑体" w:hAnsi="黑体" w:cs="Times New Roman"/>
      <w:kern w:val="2"/>
      <w:sz w:val="24"/>
      <w:szCs w:val="24"/>
      <w:lang w:val="en-US" w:eastAsia="zh-CN" w:bidi="ar-SA"/>
    </w:rPr>
  </w:style>
  <w:style w:type="character" w:customStyle="1" w:styleId="cscec8t0">
    <w:name w:val="cscec8 t 图名 字符"/>
    <w:basedOn w:val="cscec8b0"/>
    <w:link w:val="cscec8t"/>
    <w:autoRedefine/>
    <w:qFormat/>
    <w:rPr>
      <w:rFonts w:ascii="黑体" w:eastAsia="黑体" w:hAnsi="黑体"/>
      <w:kern w:val="2"/>
      <w:sz w:val="24"/>
      <w:szCs w:val="24"/>
    </w:rPr>
  </w:style>
  <w:style w:type="paragraph" w:customStyle="1" w:styleId="cscec8d">
    <w:name w:val="cscec8 d 表内文字成段"/>
    <w:link w:val="cscec8d0"/>
    <w:autoRedefine/>
    <w:qFormat/>
    <w:pPr>
      <w:widowControl w:val="0"/>
      <w:adjustRightInd w:val="0"/>
      <w:snapToGrid w:val="0"/>
      <w:spacing w:line="360" w:lineRule="exact"/>
      <w:ind w:firstLine="240" w:firstLineChars="100"/>
      <w:jc w:val="both"/>
    </w:pPr>
    <w:rPr>
      <w:rFonts w:ascii="宋体" w:eastAsia="宋体" w:hAnsi="宋体" w:cs="Times New Roman"/>
      <w:kern w:val="2"/>
      <w:sz w:val="24"/>
      <w:szCs w:val="24"/>
      <w:lang w:val="en-US" w:eastAsia="zh-CN" w:bidi="ar-SA"/>
    </w:rPr>
  </w:style>
  <w:style w:type="character" w:customStyle="1" w:styleId="cscec8d0">
    <w:name w:val="cscec8 d 表内文字成段 字符"/>
    <w:basedOn w:val="cscec8s0"/>
    <w:link w:val="cscec8d"/>
    <w:autoRedefine/>
    <w:qFormat/>
    <w:rPr>
      <w:rFonts w:ascii="宋体" w:hAnsi="宋体"/>
      <w:kern w:val="2"/>
      <w:sz w:val="24"/>
      <w:szCs w:val="24"/>
    </w:rPr>
  </w:style>
  <w:style w:type="paragraph" w:customStyle="1" w:styleId="cscec8a">
    <w:name w:val="cscec8 a 表内序号"/>
    <w:basedOn w:val="cscec8s"/>
    <w:link w:val="cscec8a0"/>
    <w:autoRedefine/>
    <w:qFormat/>
    <w:pPr>
      <w:numPr>
        <w:ilvl w:val="8"/>
        <w:numId w:val="2"/>
      </w:numPr>
    </w:pPr>
    <w:rPr>
      <w:sz w:val="21"/>
    </w:rPr>
  </w:style>
  <w:style w:type="character" w:customStyle="1" w:styleId="cscec8a0">
    <w:name w:val="cscec8 a 表内序号 字符"/>
    <w:basedOn w:val="cscec8s0"/>
    <w:link w:val="cscec8a"/>
    <w:autoRedefine/>
    <w:qFormat/>
    <w:rPr>
      <w:rFonts w:ascii="宋体" w:hAnsi="宋体"/>
      <w:kern w:val="2"/>
      <w:sz w:val="21"/>
      <w:szCs w:val="24"/>
    </w:rPr>
  </w:style>
  <w:style w:type="paragraph" w:customStyle="1" w:styleId="cscec8p">
    <w:name w:val="cscec8 p 图位置"/>
    <w:next w:val="cscec8z"/>
    <w:link w:val="cscec8p0"/>
    <w:autoRedefine/>
    <w:qFormat/>
    <w:pPr>
      <w:keepNext/>
      <w:widowControl w:val="0"/>
      <w:adjustRightInd w:val="0"/>
      <w:snapToGrid w:val="0"/>
      <w:spacing w:before="15" w:beforeLines="15" w:after="15" w:afterLines="15"/>
      <w:jc w:val="center"/>
    </w:pPr>
    <w:rPr>
      <w:rFonts w:ascii="宋体" w:eastAsia="宋体" w:hAnsi="宋体" w:cs="Times New Roman"/>
      <w:kern w:val="2"/>
      <w:sz w:val="21"/>
      <w:szCs w:val="21"/>
      <w:lang w:val="en-US" w:eastAsia="zh-CN" w:bidi="ar-SA"/>
    </w:rPr>
  </w:style>
  <w:style w:type="character" w:customStyle="1" w:styleId="cscec8p0">
    <w:name w:val="cscec8 p 图位置 字符"/>
    <w:basedOn w:val="DefaultParagraphFont"/>
    <w:link w:val="cscec8p"/>
    <w:autoRedefine/>
    <w:qFormat/>
    <w:rPr>
      <w:rFonts w:ascii="宋体" w:hAnsi="宋体"/>
      <w:kern w:val="2"/>
      <w:sz w:val="21"/>
      <w:szCs w:val="21"/>
    </w:rPr>
  </w:style>
  <w:style w:type="paragraph" w:customStyle="1" w:styleId="cscec81">
    <w:name w:val="cscec8 1 一级标题"/>
    <w:next w:val="cscec8z"/>
    <w:link w:val="cscec810"/>
    <w:autoRedefine/>
    <w:qFormat/>
    <w:pPr>
      <w:widowControl w:val="0"/>
      <w:numPr>
        <w:ilvl w:val="0"/>
        <w:numId w:val="2"/>
      </w:numPr>
      <w:adjustRightInd w:val="0"/>
      <w:snapToGrid w:val="0"/>
      <w:spacing w:before="50" w:beforeLines="50" w:line="360" w:lineRule="auto"/>
      <w:jc w:val="center"/>
      <w:outlineLvl w:val="0"/>
    </w:pPr>
    <w:rPr>
      <w:rFonts w:ascii="黑体" w:eastAsia="黑体" w:hAnsi="黑体" w:cs="Times New Roman"/>
      <w:kern w:val="2"/>
      <w:sz w:val="28"/>
      <w:szCs w:val="21"/>
      <w:lang w:val="en-US" w:eastAsia="zh-CN" w:bidi="ar-SA"/>
    </w:rPr>
  </w:style>
  <w:style w:type="character" w:customStyle="1" w:styleId="cscec810">
    <w:name w:val="cscec8 1 一级标题 字符"/>
    <w:basedOn w:val="1"/>
    <w:link w:val="cscec81"/>
    <w:autoRedefine/>
    <w:qFormat/>
    <w:rPr>
      <w:rFonts w:ascii="黑体" w:eastAsia="黑体" w:hAnsi="黑体"/>
      <w:kern w:val="2"/>
      <w:sz w:val="28"/>
      <w:szCs w:val="21"/>
    </w:rPr>
  </w:style>
  <w:style w:type="table" w:customStyle="1" w:styleId="PlainTable1">
    <w:name w:val="Plain Table 1"/>
    <w:basedOn w:val="TableNormal"/>
    <w:autoRedefine/>
    <w:uiPriority w:val="41"/>
    <w:qFormat/>
    <w:locked/>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character" w:customStyle="1" w:styleId="a1">
    <w:name w:val="批注框文本 字符"/>
    <w:basedOn w:val="DefaultParagraphFont"/>
    <w:link w:val="BalloonText"/>
    <w:autoRedefine/>
    <w:uiPriority w:val="99"/>
    <w:semiHidden/>
    <w:qFormat/>
    <w:rPr>
      <w:rFonts w:ascii="宋体" w:hAnsi="宋体"/>
      <w:kern w:val="2"/>
      <w:sz w:val="18"/>
      <w:szCs w:val="18"/>
    </w:rPr>
  </w:style>
  <w:style w:type="table" w:customStyle="1" w:styleId="cscec8e2">
    <w:name w:val="cscec8 e 中建八局表格样式2"/>
    <w:basedOn w:val="TableNormal"/>
    <w:autoRedefine/>
    <w:uiPriority w:val="99"/>
    <w:qFormat/>
    <w:pPr>
      <w:widowControl w:val="0"/>
      <w:adjustRightInd w:val="0"/>
      <w:snapToGrid w:val="0"/>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
    <w:trPr>
      <w:jc w:val="center"/>
    </w:trPr>
    <w:tcPr>
      <w:vAlign w:val="center"/>
    </w:tcPr>
    <w:tblStylePr w:type="firstRow">
      <w:tblPr/>
      <w:trPr>
        <w:tblHeader/>
      </w:trPr>
      <w:tcPr>
        <w:shd w:val="clear" w:color="auto" w:fill="BEBEBE" w:themeFill="background1" w:themeFillShade="BF"/>
      </w:tcPr>
    </w:tblStylePr>
    <w:tblStylePr w:type="band2Horz">
      <w:tblPr/>
      <w:tcPr>
        <w:shd w:val="clear" w:color="auto" w:fill="BEBEBE" w:themeFill="background1" w:themeFillShade="BF"/>
      </w:tcPr>
    </w:tblStylePr>
  </w:style>
  <w:style w:type="character" w:customStyle="1" w:styleId="a2">
    <w:name w:val="批注文字 字符"/>
    <w:basedOn w:val="DefaultParagraphFont"/>
    <w:link w:val="CommentText"/>
    <w:autoRedefine/>
    <w:uiPriority w:val="99"/>
    <w:semiHidden/>
    <w:qFormat/>
    <w:rPr>
      <w:rFonts w:ascii="宋体" w:hAnsi="宋体"/>
      <w:kern w:val="2"/>
      <w:sz w:val="21"/>
      <w:szCs w:val="21"/>
    </w:rPr>
  </w:style>
  <w:style w:type="character" w:customStyle="1" w:styleId="a3">
    <w:name w:val="批注主题 字符"/>
    <w:basedOn w:val="a2"/>
    <w:link w:val="CommentSubject"/>
    <w:autoRedefine/>
    <w:uiPriority w:val="99"/>
    <w:semiHidden/>
    <w:qFormat/>
    <w:rPr>
      <w:rFonts w:ascii="宋体" w:hAnsi="宋体"/>
      <w:b/>
      <w:bCs/>
      <w:kern w:val="2"/>
      <w:sz w:val="21"/>
      <w:szCs w:val="21"/>
    </w:rPr>
  </w:style>
  <w:style w:type="paragraph" w:customStyle="1" w:styleId="20">
    <w:name w:val="正文2"/>
    <w:autoRedefine/>
    <w:qFormat/>
    <w:pPr>
      <w:spacing w:line="360" w:lineRule="auto"/>
      <w:ind w:firstLine="200" w:firstLineChars="200"/>
    </w:pPr>
    <w:rPr>
      <w:rFonts w:ascii="Calibri" w:eastAsia="宋体" w:hAnsi="Calibri" w:cs="宋体"/>
      <w:sz w:val="24"/>
      <w:lang w:val="en-US" w:eastAsia="zh-CN" w:bidi="ar-SA"/>
    </w:rPr>
  </w:style>
  <w:style w:type="paragraph" w:customStyle="1" w:styleId="k">
    <w:name w:val="k 正文"/>
    <w:basedOn w:val="Normal"/>
    <w:autoRedefine/>
    <w:qFormat/>
  </w:style>
  <w:style w:type="paragraph" w:customStyle="1" w:styleId="k1">
    <w:name w:val="k 1级"/>
    <w:basedOn w:val="Normal"/>
    <w:next w:val="Normal"/>
    <w:autoRedefine/>
    <w:qFormat/>
    <w:pPr>
      <w:ind w:firstLine="0" w:firstLineChars="0"/>
      <w:jc w:val="center"/>
      <w:outlineLvl w:val="0"/>
    </w:pPr>
    <w:rPr>
      <w:rFonts w:ascii="宋体" w:hAnsi="宋体" w:cs="Times New Roman"/>
      <w:b/>
      <w:color w:val="0000FF"/>
      <w:sz w:val="28"/>
    </w:rPr>
  </w:style>
  <w:style w:type="paragraph" w:customStyle="1" w:styleId="k2">
    <w:name w:val="k 2级"/>
    <w:basedOn w:val="Normal"/>
    <w:next w:val="Normal"/>
    <w:autoRedefine/>
    <w:qFormat/>
    <w:pPr>
      <w:ind w:firstLine="0" w:firstLineChars="0"/>
      <w:jc w:val="both"/>
      <w:outlineLvl w:val="1"/>
    </w:pPr>
    <w:rPr>
      <w:rFonts w:cs="Times New Roman"/>
      <w:b/>
      <w:color w:val="0000FF"/>
    </w:rPr>
  </w:style>
  <w:style w:type="paragraph" w:customStyle="1" w:styleId="k3">
    <w:name w:val="k 3级"/>
    <w:basedOn w:val="Normal"/>
    <w:next w:val="Normal"/>
    <w:autoRedefine/>
    <w:qFormat/>
    <w:pPr>
      <w:ind w:firstLine="100" w:firstLineChars="100"/>
      <w:jc w:val="both"/>
      <w:outlineLvl w:val="2"/>
    </w:pPr>
    <w:rPr>
      <w:rFonts w:asciiTheme="minorHAnsi" w:eastAsiaTheme="minorEastAsia" w:hAnsiTheme="minorHAnsi" w:cstheme="minorBidi"/>
      <w:b/>
    </w:rPr>
  </w:style>
  <w:style w:type="paragraph" w:customStyle="1" w:styleId="k0">
    <w:name w:val="k 图表标题"/>
    <w:basedOn w:val="Normal"/>
    <w:next w:val="Normal"/>
    <w:autoRedefine/>
    <w:qFormat/>
    <w:pPr>
      <w:spacing w:beforeLines="25" w:line="240" w:lineRule="auto"/>
      <w:ind w:firstLine="0" w:firstLineChars="0"/>
      <w:jc w:val="center"/>
    </w:pPr>
    <w:rPr>
      <w:rFonts w:asciiTheme="minorHAnsi" w:eastAsiaTheme="minorEastAsia" w:hAnsiTheme="minorHAnsi" w:cstheme="minorBidi"/>
      <w:b/>
      <w:color w:val="0000FF"/>
    </w:rPr>
  </w:style>
  <w:style w:type="table" w:customStyle="1" w:styleId="k4">
    <w:name w:val="k 表格"/>
    <w:basedOn w:val="TableNormal"/>
    <w:autoRedefine/>
    <w:qFormat/>
    <w:pPr>
      <w:jc w:val="center"/>
    </w:pPr>
    <w:rPr>
      <w:rFonts w:ascii="Times New Roman" w:eastAsia="宋体" w:hAnsi="Times New Roman" w:cs="Times New Roman"/>
      <w:kern w:val="0"/>
      <w:sz w:val="20"/>
      <w:szCs w:val="20"/>
    </w:rPr>
    <w:tblPr>
      <w:jc w:val="center"/>
      <w:tblBorders>
        <w:top w:val="double" w:sz="6" w:space="0" w:color="0000FF"/>
        <w:left w:val="double" w:sz="6" w:space="0" w:color="0000FF"/>
        <w:bottom w:val="double" w:sz="6" w:space="0" w:color="0000FF"/>
        <w:right w:val="double" w:sz="6" w:space="0" w:color="0000FF"/>
        <w:insideH w:val="single" w:sz="6" w:space="0" w:color="0000FF"/>
        <w:insideV w:val="single" w:sz="6" w:space="0" w:color="0000FF"/>
      </w:tblBorders>
      <w:tblCellMar>
        <w:top w:w="0" w:type="dxa"/>
        <w:left w:w="57" w:type="dxa"/>
        <w:bottom w:w="0" w:type="dxa"/>
        <w:right w:w="57" w:type="dxa"/>
      </w:tblCellMar>
    </w:tblPr>
    <w:trPr>
      <w:jc w:val="center"/>
    </w:trPr>
    <w:tcPr>
      <w:tcMar>
        <w:left w:w="57" w:type="dxa"/>
        <w:right w:w="57" w:type="dxa"/>
      </w:tcMar>
      <w:vAlign w:val="center"/>
    </w:tcPr>
    <w:tblStylePr w:type="firstRow">
      <w:pPr>
        <w:jc w:val="center"/>
      </w:pPr>
      <w:rPr>
        <w:rFonts w:ascii="Times New Roman" w:eastAsia="宋体" w:hAnsi="Times New Roman"/>
        <w:b/>
        <w:sz w:val="21"/>
      </w:rPr>
    </w:tblStylePr>
  </w:style>
  <w:style w:type="paragraph" w:customStyle="1" w:styleId="a4">
    <w:name w:val="表格内容"/>
    <w:basedOn w:val="Normal"/>
    <w:autoRedefine/>
    <w:qFormat/>
    <w:pPr>
      <w:ind w:firstLine="0" w:firstLineChars="0"/>
      <w:jc w:val="center"/>
    </w:pPr>
    <w:rPr>
      <w:rFonts w:cs="Times New Roman"/>
      <w:szCs w:val="20"/>
    </w:rPr>
  </w:style>
  <w:style w:type="paragraph" w:customStyle="1" w:styleId="a5">
    <w:name w:val="正文格式"/>
    <w:basedOn w:val="Normal"/>
    <w:autoRedefine/>
    <w:qFormat/>
    <w:pPr>
      <w:spacing w:line="240" w:lineRule="auto"/>
      <w:jc w:val="both"/>
    </w:pPr>
    <w:rPr>
      <w:rFonts w:ascii="宋体" w:hAnsi="宋体" w:cs="Times New Roman"/>
      <w:sz w:val="28"/>
      <w:szCs w:val="24"/>
    </w:rPr>
  </w:style>
  <w:style w:type="paragraph" w:customStyle="1" w:styleId="Default">
    <w:name w:val="Default"/>
    <w:autoRedefine/>
    <w:qFormat/>
    <w:pPr>
      <w:widowControl w:val="0"/>
      <w:autoSpaceDE w:val="0"/>
      <w:autoSpaceDN w:val="0"/>
      <w:adjustRightInd w:val="0"/>
    </w:pPr>
    <w:rPr>
      <w:rFonts w:ascii="宋体" w:eastAsia="仿宋" w:hAnsi="Times New Roman" w:cs="宋体"/>
      <w:color w:val="000000"/>
      <w:sz w:val="24"/>
      <w:szCs w:val="24"/>
      <w:lang w:val="en-US" w:eastAsia="zh-CN" w:bidi="ar-SA"/>
    </w:rPr>
  </w:style>
  <w:style w:type="paragraph" w:customStyle="1" w:styleId="WPSOffice1">
    <w:name w:val="WPSOffice手动目录 1"/>
    <w:autoRedefine/>
    <w:qFormat/>
    <w:rPr>
      <w:rFonts w:ascii="Times New Roman" w:eastAsia="仿宋" w:hAnsi="Times New Roman" w:cs="Times New Roman"/>
      <w:lang w:val="en-US" w:eastAsia="zh-CN" w:bidi="ar-SA"/>
    </w:rPr>
  </w:style>
  <w:style w:type="paragraph" w:customStyle="1" w:styleId="a6">
    <w:name w:val="标题②"/>
    <w:next w:val="Normal"/>
    <w:autoRedefine/>
    <w:qFormat/>
    <w:pPr>
      <w:numPr>
        <w:ilvl w:val="1"/>
        <w:numId w:val="3"/>
      </w:numPr>
      <w:spacing w:before="60" w:line="360" w:lineRule="auto"/>
      <w:outlineLvl w:val="1"/>
    </w:pPr>
    <w:rPr>
      <w:rFonts w:ascii="Times New Roman" w:eastAsia="宋体" w:hAnsi="Times New Roman" w:cs="Times New Roman"/>
      <w:b/>
      <w:color w:val="0070C0"/>
      <w:kern w:val="2"/>
      <w:sz w:val="24"/>
      <w:szCs w:val="24"/>
      <w:lang w:val="en-US" w:eastAsia="zh-CN" w:bidi="ar-SA"/>
    </w:rPr>
  </w:style>
  <w:style w:type="paragraph" w:customStyle="1" w:styleId="TableParagraph">
    <w:name w:val="Table Paragraph"/>
    <w:basedOn w:val="Normal"/>
    <w:autoRedefine/>
    <w:uiPriority w:val="1"/>
    <w:qFormat/>
    <w:rPr>
      <w:rFonts w:asciiTheme="minorHAnsi" w:eastAsiaTheme="minorEastAsia" w:hAnsiTheme="minorHAnsi" w:cstheme="minorBidi"/>
      <w:kern w:val="0"/>
      <w:sz w:val="22"/>
      <w:szCs w:val="22"/>
      <w:lang w:eastAsia="en-US"/>
    </w:rPr>
  </w:style>
  <w:style w:type="paragraph" w:customStyle="1" w:styleId="a7">
    <w:name w:val="标题③"/>
    <w:next w:val="Normal"/>
    <w:autoRedefine/>
    <w:qFormat/>
    <w:pPr>
      <w:numPr>
        <w:ilvl w:val="2"/>
        <w:numId w:val="3"/>
      </w:numPr>
      <w:spacing w:before="120" w:line="360" w:lineRule="auto"/>
      <w:outlineLvl w:val="2"/>
    </w:pPr>
    <w:rPr>
      <w:rFonts w:ascii="Times New Roman" w:eastAsia="宋体" w:hAnsi="Times New Roman" w:cs="Times New Roman"/>
      <w:color w:val="7030A0"/>
      <w:kern w:val="2"/>
      <w:sz w:val="24"/>
      <w:szCs w:val="24"/>
      <w:lang w:val="en-US" w:eastAsia="zh-CN" w:bidi="ar-SA"/>
    </w:rPr>
  </w:style>
  <w:style w:type="character" w:customStyle="1" w:styleId="NormalCharacter">
    <w:name w:val="NormalCharacter"/>
    <w:autoRedefine/>
    <w:qFormat/>
    <w:rPr>
      <w:kern w:val="2"/>
      <w:sz w:val="21"/>
      <w:szCs w:val="24"/>
      <w:lang w:val="en-US" w:eastAsia="zh-CN" w:bidi="ar-SA"/>
    </w:rPr>
  </w:style>
  <w:style w:type="paragraph" w:customStyle="1" w:styleId="a8">
    <w:name w:val="表格居中"/>
    <w:basedOn w:val="a9"/>
    <w:next w:val="Normal"/>
    <w:autoRedefine/>
    <w:qFormat/>
    <w:pPr>
      <w:widowControl w:val="0"/>
      <w:jc w:val="center"/>
    </w:pPr>
    <w:rPr>
      <w:rFonts w:ascii="Calibri" w:eastAsia="宋体" w:hAnsi="Calibri" w:cs="MingLiU_HKSCS"/>
      <w:kern w:val="2"/>
      <w:sz w:val="21"/>
      <w:szCs w:val="21"/>
      <w:lang w:val="en-US" w:eastAsia="zh-CN" w:bidi="ar-SA"/>
    </w:rPr>
  </w:style>
  <w:style w:type="paragraph" w:customStyle="1" w:styleId="a9">
    <w:name w:val="插图"/>
    <w:basedOn w:val="a10"/>
    <w:autoRedefine/>
    <w:qFormat/>
    <w:pPr>
      <w:spacing w:line="240" w:lineRule="auto"/>
      <w:jc w:val="center"/>
    </w:pPr>
  </w:style>
  <w:style w:type="paragraph" w:customStyle="1" w:styleId="a10">
    <w:name w:val="方案正文"/>
    <w:basedOn w:val="Normal"/>
    <w:autoRedefine/>
    <w:qFormat/>
    <w:pPr>
      <w:adjustRightInd w:val="0"/>
      <w:spacing w:line="360" w:lineRule="auto"/>
      <w:ind w:firstLine="200" w:firstLineChars="200"/>
      <w:jc w:val="left"/>
    </w:pPr>
    <w:rPr>
      <w:rFonts w:ascii="宋体" w:eastAsia="仿宋_GB2312" w:hAnsi="Calibri" w:cs="宋体"/>
      <w:sz w:val="24"/>
    </w:rPr>
  </w:style>
  <w:style w:type="table" w:customStyle="1" w:styleId="11">
    <w:name w:val="无格式表格 11"/>
    <w:basedOn w:val="TableNormal"/>
    <w:autoRedefine/>
    <w:uiPriority w:val="41"/>
    <w:qFormat/>
    <w:tblPr>
      <w:tblBorders>
        <w:top w:val="single" w:sz="4" w:space="0" w:color="BEBEBE" w:themeColor="background1" w:themeShade="BF"/>
        <w:left w:val="single" w:sz="4" w:space="0" w:color="BEBEBE" w:themeColor="background1" w:themeShade="BF"/>
        <w:bottom w:val="single" w:sz="4" w:space="0" w:color="BEBEBE" w:themeColor="background1" w:themeShade="BF"/>
        <w:right w:val="single" w:sz="4" w:space="0" w:color="BEBEBE" w:themeColor="background1" w:themeShade="BF"/>
        <w:insideH w:val="single" w:sz="4" w:space="0" w:color="BEBEBE" w:themeColor="background1" w:themeShade="BF"/>
        <w:insideV w:val="single" w:sz="4" w:space="0" w:color="BEBEBE" w:themeColor="background1" w:themeShade="BF"/>
      </w:tblBorders>
    </w:tblPr>
    <w:tblStylePr w:type="firstRow">
      <w:rPr>
        <w:b/>
        <w:bCs/>
      </w:rPr>
    </w:tblStylePr>
    <w:tblStylePr w:type="lastRow">
      <w:rPr>
        <w:b/>
        <w:bCs/>
      </w:rPr>
      <w:tblPr/>
      <w:tcPr>
        <w:tcBorders>
          <w:top w:val="double" w:sz="4" w:space="0" w:color="BEBEBE" w:themeColor="background1" w:themeShade="BF"/>
        </w:tcBorders>
      </w:tcPr>
    </w:tblStylePr>
    <w:tblStylePr w:type="firstCol">
      <w:rPr>
        <w:b/>
        <w:bCs/>
      </w:rPr>
    </w:tblStylePr>
    <w:tblStylePr w:type="lastCol">
      <w:rPr>
        <w:b/>
        <w:bCs/>
      </w:rPr>
    </w:tblStylePr>
    <w:tblStylePr w:type="band1Vert">
      <w:tblPr/>
      <w:tcPr>
        <w:shd w:val="clear" w:color="auto" w:fill="F1F1F1" w:themeFill="background1" w:themeFillShade="F2"/>
      </w:tcPr>
    </w:tblStylePr>
    <w:tblStylePr w:type="band1Horz">
      <w:tblPr/>
      <w:tcPr>
        <w:shd w:val="clear" w:color="auto" w:fill="F1F1F1" w:themeFill="background1" w:themeFillShade="F2"/>
      </w:tcPr>
    </w:tblStylePr>
  </w:style>
  <w:style w:type="paragraph" w:customStyle="1" w:styleId="10">
    <w:name w:val="列出段落1"/>
    <w:basedOn w:val="Normal"/>
    <w:autoRedefine/>
    <w:uiPriority w:val="1"/>
    <w:qFormat/>
    <w:pPr>
      <w:autoSpaceDE w:val="0"/>
      <w:autoSpaceDN w:val="0"/>
      <w:ind w:left="656" w:hanging="421"/>
      <w:jc w:val="left"/>
    </w:pPr>
    <w:rPr>
      <w:rFonts w:ascii="仿宋" w:eastAsia="仿宋" w:hAnsi="仿宋" w:cs="仿宋"/>
      <w:kern w:val="0"/>
      <w:sz w:val="22"/>
      <w:lang w:val="zh-CN" w:bidi="zh-CN"/>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12">
    <w:name w:val="样式1"/>
    <w:basedOn w:val="a11"/>
    <w:autoRedefine/>
    <w:qFormat/>
    <w:pPr>
      <w:spacing w:line="360" w:lineRule="auto"/>
    </w:pPr>
    <w:rPr>
      <w:rFonts w:ascii="宋体" w:hAnsi="宋体"/>
      <w:sz w:val="24"/>
    </w:rPr>
  </w:style>
  <w:style w:type="paragraph" w:customStyle="1" w:styleId="a11">
    <w:name w:val="注意样式"/>
    <w:basedOn w:val="Normal"/>
    <w:qFormat/>
    <w:pPr>
      <w:ind w:firstLine="200" w:firstLineChars="200"/>
    </w:pPr>
    <w:rPr>
      <w:b/>
    </w:rPr>
  </w:style>
  <w:style w:type="paragraph" w:customStyle="1" w:styleId="Normal0">
    <w:name w:val="[Normal]"/>
    <w:autoRedefine/>
    <w:qFormat/>
    <w:pPr>
      <w:widowControl w:val="0"/>
      <w:autoSpaceDE w:val="0"/>
      <w:autoSpaceDN w:val="0"/>
      <w:adjustRightInd w:val="0"/>
    </w:pPr>
    <w:rPr>
      <w:rFonts w:ascii="宋体" w:eastAsia="宋体" w:hAnsi="等线" w:cs="宋体"/>
      <w:sz w:val="24"/>
      <w:szCs w:val="24"/>
      <w:lang w:val="en-US" w:eastAsia="zh-CN" w:bidi="ar-SA"/>
    </w:rPr>
  </w:style>
  <w:style w:type="paragraph" w:styleId="NoSpacing">
    <w:name w:val="No Spacing"/>
    <w:autoRedefine/>
    <w:uiPriority w:val="1"/>
    <w:qFormat/>
    <w:pPr>
      <w:widowControl w:val="0"/>
      <w:jc w:val="both"/>
    </w:pPr>
    <w:rPr>
      <w:rFonts w:ascii="Calibri" w:eastAsia="宋体" w:hAnsi="Calibri" w:cs="Times New Roman"/>
      <w:kern w:val="2"/>
      <w:sz w:val="21"/>
      <w:szCs w:val="24"/>
      <w:lang w:val="en-US" w:eastAsia="zh-CN" w:bidi="ar-SA"/>
    </w:rPr>
  </w:style>
  <w:style w:type="table" w:customStyle="1" w:styleId="k00">
    <w:name w:val="k 表格_0"/>
    <w:basedOn w:val="TableNormal"/>
    <w:autoRedefine/>
    <w:qFormat/>
    <w:pPr>
      <w:jc w:val="center"/>
    </w:pPr>
    <w:tblPr>
      <w:jc w:val="center"/>
      <w:tblBorders>
        <w:top w:val="double" w:sz="6" w:space="0" w:color="0000FF"/>
        <w:left w:val="double" w:sz="6" w:space="0" w:color="0000FF"/>
        <w:bottom w:val="double" w:sz="6" w:space="0" w:color="0000FF"/>
        <w:right w:val="double" w:sz="6" w:space="0" w:color="0000FF"/>
        <w:insideH w:val="single" w:sz="6" w:space="0" w:color="0000FF"/>
        <w:insideV w:val="single" w:sz="6" w:space="0" w:color="0000FF"/>
      </w:tblBorders>
      <w:tblCellMar>
        <w:left w:w="57" w:type="dxa"/>
        <w:right w:w="57" w:type="dxa"/>
      </w:tblCellMar>
    </w:tblPr>
    <w:trPr>
      <w:jc w:val="center"/>
    </w:trPr>
    <w:tcPr>
      <w:tcMar>
        <w:left w:w="57" w:type="dxa"/>
        <w:right w:w="57" w:type="dxa"/>
      </w:tcMar>
      <w:vAlign w:val="center"/>
    </w:tcPr>
    <w:tblStylePr w:type="firstRow">
      <w:pPr>
        <w:jc w:val="center"/>
      </w:pPr>
      <w:rPr>
        <w:rFonts w:ascii="Times New Roman" w:eastAsia="宋体" w:hAnsi="Times New Roman"/>
        <w:b/>
        <w:sz w:val="21"/>
      </w:rPr>
    </w:tblStylePr>
  </w:style>
  <w:style w:type="table" w:customStyle="1" w:styleId="TableGrid0">
    <w:name w:val="Table Grid_0"/>
    <w:basedOn w:val="TableNormal"/>
    <w:autoRedefine/>
    <w:uiPriority w:val="59"/>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image" Target="media/image2.png"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image" Target="media/image3.png"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endnotes" Target="endnote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4.jpeg" /><Relationship Id="rId24" Type="http://schemas.openxmlformats.org/officeDocument/2006/relationships/footer" Target="footer13.xml" /><Relationship Id="rId25" Type="http://schemas.openxmlformats.org/officeDocument/2006/relationships/image" Target="media/image5.png" /><Relationship Id="rId26" Type="http://schemas.openxmlformats.org/officeDocument/2006/relationships/footer" Target="footer14.xml" /><Relationship Id="rId27" Type="http://schemas.openxmlformats.org/officeDocument/2006/relationships/image" Target="media/image6.pn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settings" Target="settings.xml" /><Relationship Id="rId30" Type="http://schemas.openxmlformats.org/officeDocument/2006/relationships/image" Target="media/image7.jpeg" /><Relationship Id="rId31" Type="http://schemas.openxmlformats.org/officeDocument/2006/relationships/footer" Target="footer17.xml" /><Relationship Id="rId32" Type="http://schemas.openxmlformats.org/officeDocument/2006/relationships/image" Target="media/image8.png" /><Relationship Id="rId33" Type="http://schemas.openxmlformats.org/officeDocument/2006/relationships/image" Target="media/image9.jpeg" /><Relationship Id="rId34" Type="http://schemas.openxmlformats.org/officeDocument/2006/relationships/footer" Target="footer18.xml" /><Relationship Id="rId35" Type="http://schemas.openxmlformats.org/officeDocument/2006/relationships/image" Target="media/image10.jpeg" /><Relationship Id="rId36" Type="http://schemas.openxmlformats.org/officeDocument/2006/relationships/image" Target="media/image11.jpeg"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footer" Target="footer21.xml" /><Relationship Id="rId4" Type="http://schemas.openxmlformats.org/officeDocument/2006/relationships/webSettings" Target="webSettings.xml" /><Relationship Id="rId40" Type="http://schemas.openxmlformats.org/officeDocument/2006/relationships/hyperlink" Target="https://d.book118.com/267122150163006033" TargetMode="External" /><Relationship Id="rId41" Type="http://schemas.openxmlformats.org/officeDocument/2006/relationships/footer" Target="footer22.xml" /><Relationship Id="rId42" Type="http://schemas.microsoft.com/office/2006/relationships/keyMapCustomizations" Target="customizations.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footer" Target="footer1.xml" /><Relationship Id="rId9" Type="http://schemas.openxmlformats.org/officeDocument/2006/relationships/image" Target="media/image1.png" /></Relationships>
</file>

<file path=word/_rels/settings.xml.rels><?xml version="1.0" encoding="utf-8" standalone="yes"?><Relationships xmlns="http://schemas.openxmlformats.org/package/2006/relationships"><Relationship Id="rId1" Type="http://schemas.openxmlformats.org/officeDocument/2006/relationships/attachedTemplate" Target="file:///D:\360Icloud\&#20013;&#24314;&#20843;&#23616;&#22823;&#36830;&#20844;&#21496;\&#25216;&#26415;&#26631;&#26631;&#20934;\&#25216;&#26415;&#26631;&#26684;&#24335;\Normal.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F1FE12-31DC-4B19-98FF-B97FDD9B5987}">
  <ds:schemaRefs/>
</ds:datastoreItem>
</file>

<file path=docProps/app.xml><?xml version="1.0" encoding="utf-8"?>
<Properties xmlns="http://schemas.openxmlformats.org/officeDocument/2006/extended-properties" xmlns:vt="http://schemas.openxmlformats.org/officeDocument/2006/docPropsVTypes">
  <Template>Normal.dot</Template>
  <TotalTime>4</TotalTime>
  <Pages>28</Pages>
  <Words>2985</Words>
  <Characters>587</Characters>
  <Application>Microsoft Office Word</Application>
  <DocSecurity>0</DocSecurity>
  <Lines>4</Lines>
  <Paragraphs>7</Paragraphs>
  <ScaleCrop>false</ScaleCrop>
  <Company/>
  <LinksUpToDate>false</LinksUpToDate>
  <CharactersWithSpaces>3565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Shuai Zheng</dc:creator>
  <cp:lastModifiedBy>＊°谜︷.ミ</cp:lastModifiedBy>
  <cp:revision>3</cp:revision>
  <cp:lastPrinted>2016-04-02T06:36:00Z</cp:lastPrinted>
  <dcterms:created xsi:type="dcterms:W3CDTF">2019-10-12T07:27:00Z</dcterms:created>
  <dcterms:modified xsi:type="dcterms:W3CDTF">2024-01-05T07:51:09Z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87E72723B45648888C2AC52F0ACBE7A0_13</vt:lpwstr>
  </property>
  <property fmtid="{D5CDD505-2E9C-101B-9397-08002B2CF9AE}" pid="3" name="KSOProductBuildVer">
    <vt:lpwstr>2052-12.1.0.16120</vt:lpwstr>
  </property>
</Properties>
</file>