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1、[单选题]竹叶石膏汤的功效是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A.养阴清热生津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B.生津益气，清热降逆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C.益气生津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D.清热燥湿。E,辛寒清热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2、[题干]风湿小体形成多发生于下列哪个病理过程()。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A.变性渗出期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B.增生期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C.硬化期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D.变性渗出期和硬化期。E,恢复期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3、[单选题]相须、相使配伍的共同点是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A.协同作用，使疗效增强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B.拮抗作用，使疗效降低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C.减轻或消除毒副作用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D.产生毒副作用。E,以上都不是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4、[题干]某患者，47岁，12月20日初诊，症见恶寒重，发热轻，无汗，头痛，鼻塞声重，时流清涕，咳嗽吐白痰，口不渴，舌苔薄白，脉浮紧。本病例辨证为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A.暑温伤表证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B.气虚感冒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C.风寒束表证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D.风寒夹湿证。E,表寒里热证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5、[单选题]急性感染性喉炎患儿下列哪种情况适宜用肾上腺皮质激素()。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A.所有患儿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B.伴高热患儿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C.伴支气管炎者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D.伴Ⅱ度以上呼吸困难者。E,需气管插管者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6、[题干]低出生体重儿是指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A.初生1h内体重不足1000g的新生儿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https://d.book118.com/267201031022006043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26720103102200604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