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1"/>
        <w:ind w:left="4270" w:right="0" w:firstLine="0"/>
        <w:jc w:val="left"/>
        <w:rPr>
          <w:b/>
          <w:sz w:val="29"/>
        </w:rPr>
      </w:pPr>
      <w:r>
        <w:rPr>
          <w:b/>
          <w:w w:val="95"/>
          <w:sz w:val="29"/>
        </w:rPr>
        <w:t>方正科技投资价值分析报告</w:t>
      </w:r>
    </w:p>
    <w:p>
      <w:pPr>
        <w:pStyle w:val="Title"/>
      </w:pPr>
      <w:r>
        <w:rPr>
          <w:color w:val="0000FF"/>
        </w:rPr>
        <w:t>方正科技投资价值分析报告</w:t>
      </w:r>
    </w:p>
    <w:p>
      <w:pPr>
        <w:pStyle w:val="BodyText"/>
        <w:spacing w:before="3"/>
        <w:rPr>
          <w:rFonts w:ascii="黑体"/>
          <w:b/>
          <w:sz w:val="110"/>
        </w:rPr>
      </w:pPr>
    </w:p>
    <w:p>
      <w:pPr>
        <w:pStyle w:val="Heading2"/>
        <w:ind w:left="789"/>
        <w:jc w:val="center"/>
        <w:rPr>
          <w:rFonts w:ascii="黑体" w:eastAsia="黑体" w:hint="eastAsia"/>
        </w:rPr>
      </w:pPr>
      <w:r>
        <w:rPr>
          <w:rFonts w:ascii="黑体" w:eastAsia="黑体" w:hint="eastAsia"/>
          <w:w w:val="95"/>
        </w:rPr>
        <w:t>北京博星投资参谋公司</w:t>
      </w:r>
    </w:p>
    <w:p>
      <w:pPr>
        <w:pStyle w:val="BodyText"/>
        <w:rPr>
          <w:rFonts w:ascii="黑体"/>
          <w:b/>
          <w:sz w:val="42"/>
        </w:rPr>
      </w:pPr>
    </w:p>
    <w:p>
      <w:pPr>
        <w:pStyle w:val="BodyText"/>
        <w:rPr>
          <w:rFonts w:ascii="黑体"/>
          <w:b/>
          <w:sz w:val="42"/>
        </w:rPr>
      </w:pPr>
    </w:p>
    <w:p>
      <w:pPr>
        <w:pStyle w:val="BodyText"/>
        <w:spacing w:before="9"/>
        <w:rPr>
          <w:rFonts w:ascii="黑体"/>
          <w:b/>
          <w:sz w:val="56"/>
        </w:rPr>
      </w:pPr>
    </w:p>
    <w:p>
      <w:pPr>
        <w:spacing w:before="0"/>
        <w:ind w:left="1180" w:right="0" w:firstLine="0"/>
        <w:jc w:val="left"/>
        <w:rPr>
          <w:rFonts w:ascii="黑体" w:eastAsia="黑体" w:hint="eastAsia"/>
          <w:b/>
          <w:sz w:val="42"/>
        </w:rPr>
      </w:pPr>
      <w:r>
        <w:rPr>
          <w:rFonts w:ascii="黑体" w:eastAsia="黑体" w:hint="eastAsia"/>
          <w:b/>
          <w:w w:val="95"/>
          <w:sz w:val="42"/>
        </w:rPr>
        <w:t>重要提示:</w:t>
      </w:r>
    </w:p>
    <w:p>
      <w:pPr>
        <w:pStyle w:val="BodyText"/>
        <w:spacing w:before="373" w:line="364" w:lineRule="auto"/>
        <w:ind w:left="1180" w:right="116" w:firstLine="719"/>
      </w:pPr>
      <w:r>
        <w:t>本报告系依照方正科技集团股份〔以下简称公司或方正科技〕公布登载的资</w:t>
      </w:r>
      <w:r>
        <w:rPr>
          <w:spacing w:val="1"/>
        </w:rPr>
        <w:t xml:space="preserve"> </w:t>
      </w:r>
      <w:r>
        <w:t>料和公司供给的相关资料，在对公司充分调研的根底上撰写而成。本报告本着严</w:t>
      </w:r>
      <w:r>
        <w:rPr>
          <w:spacing w:val="1"/>
        </w:rPr>
        <w:t xml:space="preserve"> </w:t>
      </w:r>
      <w:r>
        <w:rPr>
          <w:spacing w:val="-1"/>
        </w:rPr>
        <w:t>谨的态度和客观公正的原则，从专业投资的角度，对该公司所处行业、竞争优势、</w:t>
      </w:r>
      <w:r>
        <w:t>进展战略及二级市场的投资价值进展分析。本报告内容不构成任何实质性的投资</w:t>
      </w:r>
      <w:r>
        <w:rPr>
          <w:spacing w:val="1"/>
        </w:rPr>
        <w:t xml:space="preserve"> </w:t>
      </w:r>
      <w:r>
        <w:t>建议，仅供投资者参考。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9"/>
        </w:rPr>
      </w:pPr>
    </w:p>
    <w:p>
      <w:pPr>
        <w:pStyle w:val="Heading2"/>
        <w:spacing w:before="1"/>
        <w:ind w:left="1180"/>
        <w:rPr>
          <w:rFonts w:ascii="黑体" w:eastAsia="黑体" w:hint="eastAsia"/>
        </w:rPr>
      </w:pPr>
      <w:r>
        <w:rPr>
          <w:rFonts w:ascii="黑体" w:eastAsia="黑体" w:hint="eastAsia"/>
          <w:w w:val="95"/>
        </w:rPr>
        <w:t>投资要点: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359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pacing w:val="6"/>
          <w:w w:val="95"/>
          <w:sz w:val="36"/>
        </w:rPr>
        <w:t xml:space="preserve">以后 </w:t>
      </w:r>
      <w:r>
        <w:rPr>
          <w:rFonts w:ascii="黑体" w:eastAsia="黑体" w:hAnsi="黑体" w:hint="eastAsia"/>
          <w:b/>
          <w:w w:val="95"/>
          <w:sz w:val="36"/>
        </w:rPr>
        <w:t>3-5</w:t>
      </w:r>
      <w:r>
        <w:rPr>
          <w:rFonts w:ascii="黑体" w:eastAsia="黑体" w:hAnsi="黑体" w:hint="eastAsia"/>
          <w:b/>
          <w:spacing w:val="35"/>
          <w:w w:val="95"/>
          <w:sz w:val="36"/>
        </w:rPr>
        <w:t xml:space="preserve"> </w:t>
      </w:r>
      <w:r>
        <w:rPr>
          <w:rFonts w:ascii="黑体" w:eastAsia="黑体" w:hAnsi="黑体" w:hint="eastAsia"/>
          <w:spacing w:val="4"/>
          <w:w w:val="95"/>
          <w:sz w:val="36"/>
        </w:rPr>
        <w:t xml:space="preserve">年，中国 </w:t>
      </w:r>
      <w:r>
        <w:rPr>
          <w:rFonts w:ascii="黑体" w:eastAsia="黑体" w:hAnsi="黑体" w:hint="eastAsia"/>
          <w:b/>
          <w:w w:val="95"/>
          <w:sz w:val="36"/>
        </w:rPr>
        <w:t>IT</w:t>
      </w:r>
      <w:r>
        <w:rPr>
          <w:rFonts w:ascii="黑体" w:eastAsia="黑体" w:hAnsi="黑体" w:hint="eastAsia"/>
          <w:b/>
          <w:spacing w:val="18"/>
          <w:w w:val="95"/>
          <w:sz w:val="36"/>
        </w:rPr>
        <w:t xml:space="preserve"> </w:t>
      </w:r>
      <w:r>
        <w:rPr>
          <w:rFonts w:ascii="黑体" w:eastAsia="黑体" w:hAnsi="黑体" w:hint="eastAsia"/>
          <w:spacing w:val="4"/>
          <w:w w:val="95"/>
          <w:sz w:val="36"/>
        </w:rPr>
        <w:t xml:space="preserve">业将保持 </w:t>
      </w:r>
      <w:r>
        <w:rPr>
          <w:rFonts w:ascii="黑体" w:eastAsia="黑体" w:hAnsi="黑体" w:hint="eastAsia"/>
          <w:w w:val="95"/>
          <w:sz w:val="36"/>
        </w:rPr>
        <w:t>20%左右的增长速度，行业前景宽阔。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241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>公司主营收入、净利润保持同步快速增长，显示出良好的成长性。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240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>品牌优势和快速适应市场变化力量确保了公司主营收入的连续增长。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241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>规模经营和高效的运营体系构筑了公司的低本钱竞争优势。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241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b/>
          <w:w w:val="95"/>
          <w:sz w:val="36"/>
        </w:rPr>
        <w:t>2023</w:t>
      </w:r>
      <w:r>
        <w:rPr>
          <w:rFonts w:ascii="黑体" w:eastAsia="黑体" w:hAnsi="黑体" w:hint="eastAsia"/>
          <w:b/>
          <w:spacing w:val="22"/>
          <w:w w:val="95"/>
          <w:sz w:val="36"/>
        </w:rPr>
        <w:t xml:space="preserve"> </w:t>
      </w:r>
      <w:r>
        <w:rPr>
          <w:rFonts w:ascii="黑体" w:eastAsia="黑体" w:hAnsi="黑体" w:hint="eastAsia"/>
          <w:w w:val="95"/>
          <w:sz w:val="36"/>
        </w:rPr>
        <w:t xml:space="preserve">年电路板业务对净利润奉献率将达 </w:t>
      </w:r>
      <w:r>
        <w:rPr>
          <w:rFonts w:ascii="黑体" w:eastAsia="黑体" w:hAnsi="黑体" w:hint="eastAsia"/>
          <w:b/>
          <w:w w:val="95"/>
          <w:sz w:val="36"/>
        </w:rPr>
        <w:t>26%,</w:t>
      </w:r>
      <w:r>
        <w:rPr>
          <w:rFonts w:ascii="黑体" w:eastAsia="黑体" w:hAnsi="黑体" w:hint="eastAsia"/>
          <w:w w:val="95"/>
          <w:sz w:val="36"/>
        </w:rPr>
        <w:t>成为的利润增长点。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241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pacing w:val="7"/>
          <w:w w:val="95"/>
          <w:sz w:val="36"/>
        </w:rPr>
        <w:t xml:space="preserve">通过品牌运营和产业链整合，打造公司 </w:t>
      </w:r>
      <w:r>
        <w:rPr>
          <w:rFonts w:ascii="黑体" w:eastAsia="黑体" w:hAnsi="黑体" w:hint="eastAsia"/>
          <w:b/>
          <w:w w:val="95"/>
          <w:sz w:val="36"/>
        </w:rPr>
        <w:t>IT</w:t>
      </w:r>
      <w:r>
        <w:rPr>
          <w:rFonts w:ascii="黑体" w:eastAsia="黑体" w:hAnsi="黑体" w:hint="eastAsia"/>
          <w:b/>
          <w:spacing w:val="157"/>
          <w:w w:val="95"/>
          <w:sz w:val="36"/>
        </w:rPr>
        <w:t xml:space="preserve"> </w:t>
      </w:r>
      <w:r>
        <w:rPr>
          <w:rFonts w:ascii="黑体" w:eastAsia="黑体" w:hAnsi="黑体" w:hint="eastAsia"/>
          <w:w w:val="95"/>
          <w:sz w:val="36"/>
        </w:rPr>
        <w:t>业领先者地位。</w:t>
      </w:r>
    </w:p>
    <w:p>
      <w:pPr>
        <w:pStyle w:val="ListParagraph"/>
        <w:numPr>
          <w:ilvl w:val="0"/>
          <w:numId w:val="4"/>
        </w:numPr>
        <w:tabs>
          <w:tab w:val="left" w:pos="2710"/>
          <w:tab w:val="left" w:pos="2711"/>
        </w:tabs>
        <w:spacing w:before="241" w:after="0" w:line="240" w:lineRule="auto"/>
        <w:ind w:left="2710" w:right="0" w:hanging="631"/>
        <w:jc w:val="left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pacing w:val="8"/>
          <w:w w:val="95"/>
          <w:sz w:val="36"/>
        </w:rPr>
        <w:t xml:space="preserve">以后一年公司股票定价区间在 </w:t>
      </w:r>
      <w:r>
        <w:rPr>
          <w:rFonts w:ascii="黑体" w:eastAsia="黑体" w:hAnsi="黑体" w:hint="eastAsia"/>
          <w:b/>
          <w:w w:val="95"/>
          <w:sz w:val="36"/>
        </w:rPr>
        <w:t>16.70——16.73</w:t>
      </w:r>
      <w:r>
        <w:rPr>
          <w:rFonts w:ascii="黑体" w:eastAsia="黑体" w:hAnsi="黑体" w:hint="eastAsia"/>
          <w:b/>
          <w:spacing w:val="138"/>
          <w:w w:val="95"/>
          <w:sz w:val="36"/>
        </w:rPr>
        <w:t xml:space="preserve"> </w:t>
      </w:r>
      <w:r>
        <w:rPr>
          <w:rFonts w:ascii="黑体" w:eastAsia="黑体" w:hAnsi="黑体" w:hint="eastAsia"/>
          <w:w w:val="95"/>
          <w:sz w:val="36"/>
        </w:rPr>
        <w:t>元/股。</w:t>
      </w:r>
    </w:p>
    <w:p>
      <w:pPr>
        <w:spacing w:after="0" w:line="240" w:lineRule="auto"/>
        <w:jc w:val="left"/>
        <w:rPr>
          <w:rFonts w:ascii="黑体" w:eastAsia="黑体" w:hAnsi="黑体" w:hint="eastAsia"/>
          <w:sz w:val="36"/>
        </w:rPr>
        <w:sectPr>
          <w:type w:val="continuous"/>
          <w:pgSz w:w="17860" w:h="25260"/>
          <w:pgMar w:top="2020" w:right="2080" w:bottom="280" w:left="1520" w:header="708" w:footer="708"/>
          <w:cols w:space="708"/>
        </w:sectPr>
      </w:pPr>
    </w:p>
    <w:p>
      <w:pPr>
        <w:pStyle w:val="Heading1"/>
        <w:spacing w:line="573" w:lineRule="exact"/>
        <w:ind w:left="759"/>
        <w:jc w:val="center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行业篇：保持稳步增长的中国运算机行业</w:t>
      </w:r>
    </w:p>
    <w:p>
      <w:pPr>
        <w:pStyle w:val="BodyText"/>
        <w:rPr>
          <w:rFonts w:ascii="幼圆"/>
          <w:b/>
          <w:sz w:val="44"/>
        </w:rPr>
      </w:pPr>
    </w:p>
    <w:p>
      <w:pPr>
        <w:pStyle w:val="BodyText"/>
        <w:spacing w:before="8"/>
        <w:rPr>
          <w:rFonts w:ascii="幼圆"/>
          <w:b/>
          <w:sz w:val="58"/>
        </w:rPr>
      </w:pPr>
    </w:p>
    <w:p>
      <w:pPr>
        <w:pStyle w:val="BodyText"/>
        <w:spacing w:line="364" w:lineRule="auto"/>
        <w:ind w:left="1180" w:right="116" w:firstLine="719"/>
      </w:pPr>
      <w:r>
        <w:t>2023</w:t>
      </w:r>
      <w:r>
        <w:rPr>
          <w:spacing w:val="-10"/>
        </w:rPr>
        <w:t xml:space="preserve"> 年，运算机类产品的国内市场需求进一步增加，产业规模快速扩大，产</w:t>
      </w:r>
      <w:r>
        <w:rPr>
          <w:spacing w:val="-1"/>
        </w:rPr>
        <w:t>销量大幅度上升。由于“非典”疫情的突发，加速了我国办公网络化的进展步伐，</w:t>
      </w:r>
      <w:r>
        <w:rPr>
          <w:spacing w:val="-177"/>
        </w:rPr>
        <w:t xml:space="preserve"> </w:t>
      </w:r>
      <w:r>
        <w:t>电子商务、网上教学、电子政务等快速开放，进一步拉动了运算机产品市场的需</w:t>
      </w:r>
      <w:r>
        <w:rPr>
          <w:spacing w:val="1"/>
        </w:rPr>
        <w:t xml:space="preserve"> </w:t>
      </w:r>
      <w:r>
        <w:rPr>
          <w:w w:val="95"/>
        </w:rPr>
        <w:t>求。2023</w:t>
      </w:r>
      <w:r>
        <w:rPr>
          <w:spacing w:val="1"/>
          <w:w w:val="95"/>
        </w:rPr>
        <w:t xml:space="preserve"> 年中国运算机市场实现销售额 </w:t>
      </w:r>
      <w:r>
        <w:rPr>
          <w:w w:val="95"/>
        </w:rPr>
        <w:t>3326.9</w:t>
      </w:r>
      <w:r>
        <w:rPr>
          <w:spacing w:val="5"/>
          <w:w w:val="95"/>
        </w:rPr>
        <w:t xml:space="preserve"> 亿元，比 </w:t>
      </w:r>
      <w:r>
        <w:rPr>
          <w:w w:val="95"/>
        </w:rPr>
        <w:t>2023</w:t>
      </w:r>
      <w:r>
        <w:rPr>
          <w:spacing w:val="8"/>
          <w:w w:val="95"/>
        </w:rPr>
        <w:t xml:space="preserve"> 年增长 </w:t>
      </w:r>
      <w:r>
        <w:rPr>
          <w:w w:val="95"/>
        </w:rPr>
        <w:t>15.4%。在</w:t>
      </w:r>
      <w:r>
        <w:t>加快国民经济和社会信息化进程中，运算机行业正在从单一的制造业转变为物质</w:t>
      </w:r>
      <w:r>
        <w:rPr>
          <w:spacing w:val="1"/>
        </w:rPr>
        <w:t xml:space="preserve"> </w:t>
      </w:r>
      <w:r>
        <w:t>生产与学问生产、装备制造与系统集成相结合的现代电子信息产品制造业，在整</w:t>
      </w:r>
      <w:r>
        <w:rPr>
          <w:spacing w:val="1"/>
        </w:rPr>
        <w:t xml:space="preserve"> </w:t>
      </w:r>
      <w:r>
        <w:t>个制造业中的地位越来越突出。</w:t>
      </w:r>
    </w:p>
    <w:p>
      <w:pPr>
        <w:pStyle w:val="BodyText"/>
      </w:pPr>
    </w:p>
    <w:p>
      <w:pPr>
        <w:pStyle w:val="Heading2"/>
        <w:spacing w:before="290"/>
        <w:ind w:left="309"/>
        <w:jc w:val="center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一、运算机硬件市场平稳增长，笔记本电脑成为其中亮点</w:t>
      </w:r>
    </w:p>
    <w:p>
      <w:pPr>
        <w:pStyle w:val="BodyText"/>
        <w:spacing w:before="356" w:line="364" w:lineRule="auto"/>
        <w:ind w:left="1180" w:right="204" w:firstLine="719"/>
        <w:rPr>
          <w:rFonts w:ascii="Cambria" w:eastAsia="Cambria"/>
        </w:rPr>
      </w:pPr>
      <w:r>
        <w:rPr>
          <w:rFonts w:ascii="Cambria" w:eastAsia="Cambria"/>
          <w:w w:val="95"/>
        </w:rPr>
        <w:t>2023</w:t>
      </w:r>
      <w:r>
        <w:rPr>
          <w:rFonts w:ascii="Cambria" w:eastAsia="Cambria"/>
          <w:spacing w:val="67"/>
          <w:w w:val="95"/>
        </w:rPr>
        <w:t xml:space="preserve"> </w:t>
      </w:r>
      <w:r>
        <w:rPr>
          <w:spacing w:val="-2"/>
          <w:w w:val="95"/>
        </w:rPr>
        <w:t xml:space="preserve">年中国国内电脑市场销售量为 </w:t>
      </w:r>
      <w:r>
        <w:rPr>
          <w:rFonts w:ascii="Cambria" w:eastAsia="Cambria"/>
          <w:w w:val="95"/>
        </w:rPr>
        <w:t>1325.8</w:t>
      </w:r>
      <w:r>
        <w:rPr>
          <w:rFonts w:ascii="Cambria" w:eastAsia="Cambria"/>
          <w:spacing w:val="70"/>
          <w:w w:val="95"/>
        </w:rPr>
        <w:t xml:space="preserve"> </w:t>
      </w:r>
      <w:r>
        <w:rPr>
          <w:spacing w:val="15"/>
          <w:w w:val="95"/>
        </w:rPr>
        <w:t>万台，比</w:t>
      </w:r>
      <w:r>
        <w:rPr>
          <w:rFonts w:ascii="Cambria" w:eastAsia="Cambria"/>
          <w:w w:val="95"/>
        </w:rPr>
        <w:t>2023</w:t>
      </w:r>
      <w:r>
        <w:rPr>
          <w:rFonts w:ascii="Cambria" w:eastAsia="Cambria"/>
          <w:spacing w:val="68"/>
          <w:w w:val="95"/>
        </w:rPr>
        <w:t xml:space="preserve"> </w:t>
      </w:r>
      <w:r>
        <w:rPr>
          <w:w w:val="95"/>
        </w:rPr>
        <w:t xml:space="preserve">年同期增长 </w:t>
      </w:r>
      <w:r>
        <w:rPr>
          <w:rFonts w:ascii="Cambria" w:eastAsia="Cambria"/>
          <w:w w:val="95"/>
        </w:rPr>
        <w:t>17.6%</w:t>
      </w:r>
      <w:r>
        <w:rPr>
          <w:w w:val="95"/>
        </w:rPr>
        <w:t>；</w:t>
      </w:r>
      <w:r>
        <w:rPr>
          <w:spacing w:val="-168"/>
          <w:w w:val="95"/>
        </w:rPr>
        <w:t xml:space="preserve"> </w:t>
      </w:r>
      <w:r>
        <w:rPr>
          <w:spacing w:val="-2"/>
        </w:rPr>
        <w:t xml:space="preserve">销售额为 </w:t>
      </w:r>
      <w:r>
        <w:rPr>
          <w:rFonts w:ascii="Cambria" w:eastAsia="Cambria"/>
        </w:rPr>
        <w:t>867.2</w:t>
      </w:r>
      <w:r>
        <w:rPr>
          <w:rFonts w:ascii="Cambria" w:eastAsia="Cambria"/>
          <w:spacing w:val="6"/>
        </w:rPr>
        <w:t xml:space="preserve"> </w:t>
      </w:r>
      <w:r>
        <w:rPr>
          <w:spacing w:val="2"/>
        </w:rPr>
        <w:t xml:space="preserve">亿元，比上一年同期增长 </w:t>
      </w:r>
      <w:r>
        <w:rPr>
          <w:rFonts w:ascii="Cambria" w:eastAsia="Cambria"/>
        </w:rPr>
        <w:t>5.0%</w:t>
      </w:r>
      <w:r>
        <w:t>。其中台式电脑市场销售量到达</w:t>
      </w:r>
      <w:r>
        <w:rPr>
          <w:w w:val="95"/>
        </w:rPr>
        <w:t>1121.1</w:t>
      </w:r>
      <w:r>
        <w:rPr>
          <w:spacing w:val="23"/>
          <w:w w:val="95"/>
        </w:rPr>
        <w:t xml:space="preserve"> 万台,增长速度约 </w:t>
      </w:r>
      <w:r>
        <w:rPr>
          <w:w w:val="95"/>
        </w:rPr>
        <w:t>11.5%；而笔记本电脑，由于体积小、携带便利、上网敏捷，销量增长较快，</w:t>
      </w:r>
      <w:r>
        <w:rPr>
          <w:rFonts w:ascii="Cambria" w:eastAsia="Cambria"/>
          <w:w w:val="95"/>
        </w:rPr>
        <w:t>2023</w:t>
      </w:r>
      <w:r>
        <w:rPr>
          <w:rFonts w:ascii="Cambria" w:eastAsia="Cambria"/>
          <w:spacing w:val="121"/>
        </w:rPr>
        <w:t xml:space="preserve"> </w:t>
      </w:r>
      <w:r>
        <w:rPr>
          <w:spacing w:val="3"/>
          <w:w w:val="95"/>
        </w:rPr>
        <w:t xml:space="preserve">年的销售量同比增长 </w:t>
      </w:r>
      <w:r>
        <w:rPr>
          <w:rFonts w:ascii="Cambria" w:eastAsia="Cambria"/>
          <w:w w:val="95"/>
        </w:rPr>
        <w:t>79.7%</w:t>
      </w:r>
      <w:r>
        <w:rPr>
          <w:spacing w:val="7"/>
          <w:w w:val="95"/>
        </w:rPr>
        <w:t xml:space="preserve">，到达 </w:t>
      </w:r>
      <w:r>
        <w:rPr>
          <w:rFonts w:ascii="Cambria" w:eastAsia="Cambria"/>
          <w:w w:val="95"/>
        </w:rPr>
        <w:t>174.8</w:t>
      </w:r>
      <w:r>
        <w:rPr>
          <w:rFonts w:ascii="Cambria" w:eastAsia="Cambria"/>
          <w:spacing w:val="134"/>
        </w:rPr>
        <w:t xml:space="preserve"> </w:t>
      </w:r>
      <w:r>
        <w:rPr>
          <w:w w:val="95"/>
        </w:rPr>
        <w:t>万台，成为运</w:t>
      </w:r>
      <w:r>
        <w:rPr>
          <w:spacing w:val="2"/>
          <w:w w:val="95"/>
        </w:rPr>
        <w:t xml:space="preserve">算机行业的亮点。效劳器市场销量到达 </w:t>
      </w:r>
      <w:r>
        <w:rPr>
          <w:rFonts w:ascii="Cambria" w:eastAsia="Cambria"/>
          <w:w w:val="95"/>
        </w:rPr>
        <w:t>29.8</w:t>
      </w:r>
      <w:r>
        <w:rPr>
          <w:rFonts w:ascii="Cambria" w:eastAsia="Cambria"/>
          <w:spacing w:val="72"/>
          <w:w w:val="95"/>
        </w:rPr>
        <w:t xml:space="preserve"> </w:t>
      </w:r>
      <w:r>
        <w:rPr>
          <w:spacing w:val="5"/>
          <w:w w:val="95"/>
        </w:rPr>
        <w:t xml:space="preserve">万台，同比增长 </w:t>
      </w:r>
      <w:r>
        <w:rPr>
          <w:rFonts w:ascii="Cambria" w:eastAsia="Cambria"/>
          <w:w w:val="95"/>
        </w:rPr>
        <w:t>21.1%</w:t>
      </w:r>
      <w:r>
        <w:rPr>
          <w:spacing w:val="7"/>
          <w:w w:val="95"/>
        </w:rPr>
        <w:t xml:space="preserve">。估量以后 </w:t>
      </w:r>
      <w:r>
        <w:rPr>
          <w:rFonts w:ascii="Cambria" w:eastAsia="Cambria"/>
          <w:w w:val="95"/>
        </w:rPr>
        <w:t>5</w:t>
      </w:r>
    </w:p>
    <w:p>
      <w:pPr>
        <w:pStyle w:val="BodyText"/>
        <w:spacing w:before="5" w:line="364" w:lineRule="auto"/>
        <w:ind w:left="1180" w:right="382"/>
        <w:jc w:val="both"/>
      </w:pPr>
      <w:r>
        <w:rPr>
          <w:w w:val="95"/>
        </w:rPr>
        <w:t>年内中国台式电脑和效劳器市场增长速度趋缓，而笔记本电脑市场在以后</w:t>
      </w:r>
      <w:r>
        <w:rPr>
          <w:spacing w:val="233"/>
        </w:rPr>
        <w:t xml:space="preserve"> </w:t>
      </w:r>
      <w:r>
        <w:rPr>
          <w:rFonts w:ascii="Cambria" w:eastAsia="Cambria"/>
          <w:w w:val="95"/>
        </w:rPr>
        <w:t>5</w:t>
      </w:r>
      <w:r>
        <w:rPr>
          <w:rFonts w:ascii="Cambria" w:eastAsia="Cambria"/>
          <w:spacing w:val="102"/>
        </w:rPr>
        <w:t xml:space="preserve"> </w:t>
      </w:r>
      <w:r>
        <w:rPr>
          <w:w w:val="95"/>
        </w:rPr>
        <w:t>年内</w:t>
      </w:r>
      <w:r>
        <w:rPr>
          <w:spacing w:val="-17"/>
        </w:rPr>
        <w:t>仍将连续保持快速增长，</w:t>
      </w:r>
      <w:r>
        <w:rPr>
          <w:rFonts w:ascii="Cambria" w:eastAsia="Cambria"/>
          <w:w w:val="90"/>
        </w:rPr>
        <w:t>2023</w:t>
      </w:r>
      <w:r>
        <w:rPr>
          <w:rFonts w:ascii="Cambria" w:eastAsia="Cambria"/>
          <w:spacing w:val="10"/>
        </w:rPr>
        <w:t xml:space="preserve"> </w:t>
      </w:r>
      <w:r>
        <w:rPr>
          <w:spacing w:val="-45"/>
        </w:rPr>
        <w:t xml:space="preserve">至 </w:t>
      </w:r>
      <w:r>
        <w:rPr>
          <w:rFonts w:ascii="Cambria" w:eastAsia="Cambria"/>
          <w:w w:val="90"/>
        </w:rPr>
        <w:t>2023</w:t>
      </w:r>
      <w:r>
        <w:rPr>
          <w:rFonts w:ascii="Cambria" w:eastAsia="Cambria"/>
          <w:spacing w:val="10"/>
        </w:rPr>
        <w:t xml:space="preserve"> </w:t>
      </w:r>
      <w:r>
        <w:rPr>
          <w:spacing w:val="-1"/>
        </w:rPr>
        <w:t>年笔记本电脑销量和销售额的增长速度均会</w:t>
      </w:r>
      <w:r>
        <w:rPr>
          <w:spacing w:val="-23"/>
        </w:rPr>
        <w:t xml:space="preserve">保持在 </w:t>
      </w:r>
      <w:r>
        <w:rPr>
          <w:rFonts w:ascii="Cambria" w:eastAsia="Cambria"/>
        </w:rPr>
        <w:t>20%</w:t>
      </w:r>
      <w:r>
        <w:t>以上。</w:t>
      </w:r>
    </w:p>
    <w:p>
      <w:pPr>
        <w:pStyle w:val="BodyText"/>
        <w:spacing w:before="3" w:line="364" w:lineRule="auto"/>
        <w:ind w:left="1180" w:right="382" w:firstLine="719"/>
        <w:jc w:val="both"/>
      </w:pPr>
      <w:r>
        <w:rPr>
          <w:rFonts w:ascii="Cambria" w:eastAsia="Cambria"/>
          <w:w w:val="95"/>
        </w:rPr>
        <w:t>2023</w:t>
      </w:r>
      <w:r>
        <w:rPr>
          <w:rFonts w:ascii="Cambria" w:eastAsia="Cambria"/>
          <w:spacing w:val="37"/>
          <w:w w:val="95"/>
        </w:rPr>
        <w:t xml:space="preserve"> </w:t>
      </w:r>
      <w:r>
        <w:rPr>
          <w:spacing w:val="3"/>
          <w:w w:val="95"/>
        </w:rPr>
        <w:t xml:space="preserve">年，数码产品成为中国运算机市场中的星，销售额实现 </w:t>
      </w:r>
      <w:r>
        <w:rPr>
          <w:rFonts w:ascii="Cambria" w:eastAsia="Cambria"/>
          <w:w w:val="95"/>
        </w:rPr>
        <w:t>122.3</w:t>
      </w:r>
      <w:r>
        <w:rPr>
          <w:rFonts w:ascii="Cambria" w:eastAsia="Cambria"/>
          <w:spacing w:val="37"/>
          <w:w w:val="95"/>
        </w:rPr>
        <w:t xml:space="preserve"> </w:t>
      </w:r>
      <w:r>
        <w:rPr>
          <w:w w:val="95"/>
        </w:rPr>
        <w:t>亿元，</w:t>
      </w:r>
      <w:r>
        <w:rPr>
          <w:spacing w:val="-169"/>
          <w:w w:val="95"/>
        </w:rPr>
        <w:t xml:space="preserve"> </w:t>
      </w:r>
      <w:r>
        <w:rPr>
          <w:spacing w:val="16"/>
          <w:w w:val="95"/>
        </w:rPr>
        <w:t xml:space="preserve">同比增长 </w:t>
      </w:r>
      <w:r>
        <w:rPr>
          <w:rFonts w:ascii="Cambria" w:eastAsia="Cambria"/>
          <w:w w:val="95"/>
        </w:rPr>
        <w:t>77.4%</w:t>
      </w:r>
      <w:r>
        <w:rPr>
          <w:spacing w:val="3"/>
          <w:w w:val="95"/>
        </w:rPr>
        <w:t xml:space="preserve">；而运算机系统和外围设备增长相对缓慢，实现销售额 </w:t>
      </w:r>
      <w:r>
        <w:rPr>
          <w:rFonts w:ascii="Cambria" w:eastAsia="Cambria"/>
          <w:w w:val="95"/>
        </w:rPr>
        <w:t>1036.8</w:t>
      </w:r>
      <w:r>
        <w:rPr>
          <w:rFonts w:ascii="Cambria" w:eastAsia="Cambria"/>
          <w:spacing w:val="31"/>
          <w:w w:val="95"/>
        </w:rPr>
        <w:t xml:space="preserve"> </w:t>
      </w:r>
      <w:r>
        <w:rPr>
          <w:w w:val="95"/>
        </w:rPr>
        <w:t>亿</w:t>
      </w:r>
      <w:r>
        <w:rPr>
          <w:spacing w:val="-27"/>
          <w:w w:val="95"/>
        </w:rPr>
        <w:t xml:space="preserve">元和 </w:t>
      </w:r>
      <w:r>
        <w:rPr>
          <w:rFonts w:ascii="Cambria" w:eastAsia="Cambria"/>
          <w:w w:val="95"/>
        </w:rPr>
        <w:t>443.4</w:t>
      </w:r>
      <w:r>
        <w:rPr>
          <w:rFonts w:ascii="Cambria" w:eastAsia="Cambria"/>
          <w:spacing w:val="17"/>
          <w:w w:val="95"/>
        </w:rPr>
        <w:t xml:space="preserve"> </w:t>
      </w:r>
      <w:r>
        <w:rPr>
          <w:spacing w:val="-8"/>
          <w:w w:val="95"/>
        </w:rPr>
        <w:t xml:space="preserve">亿元，同比分别增长 </w:t>
      </w:r>
      <w:r>
        <w:rPr>
          <w:rFonts w:ascii="Cambria" w:eastAsia="Cambria"/>
          <w:w w:val="95"/>
        </w:rPr>
        <w:t>9.2%</w:t>
      </w:r>
      <w:r>
        <w:rPr>
          <w:spacing w:val="-39"/>
          <w:w w:val="95"/>
        </w:rPr>
        <w:t xml:space="preserve">和 </w:t>
      </w:r>
      <w:r>
        <w:rPr>
          <w:rFonts w:ascii="Cambria" w:eastAsia="Cambria"/>
          <w:w w:val="95"/>
        </w:rPr>
        <w:t>8.8%</w:t>
      </w:r>
      <w:r>
        <w:rPr>
          <w:w w:val="95"/>
        </w:rPr>
        <w:t>。</w:t>
      </w:r>
    </w:p>
    <w:p>
      <w:pPr>
        <w:pStyle w:val="BodyText"/>
        <w:spacing w:before="3"/>
        <w:ind w:left="1900"/>
        <w:jc w:val="both"/>
      </w:pPr>
      <w:r>
        <w:pict>
          <v:group id="_x0000_s1025" style="width:646pt;height:171pt;margin-top:29.04pt;margin-left:126pt;mso-position-horizontal-relative:page;position:absolute;z-index:-251658240" coordorigin="2520,581" coordsize="12920,34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920;height:3420;left:2520;position:absolute;top:580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8;height:317;left:3067;position:absolute;top:89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要紧产品</w:t>
                    </w:r>
                  </w:p>
                </w:txbxContent>
              </v:textbox>
            </v:shape>
            <v:shape id="_x0000_s1028" type="#_x0000_t202" style="width:1820;height:1710;left:2700;position:absolute;top:2152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台式电脑</w:t>
                    </w:r>
                  </w:p>
                  <w:p>
                    <w:pPr>
                      <w:spacing w:before="212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笔记本电脑</w:t>
                    </w:r>
                  </w:p>
                  <w:p>
                    <w:pPr>
                      <w:spacing w:before="215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mbria" w:eastAsia="Cambria"/>
                        <w:sz w:val="36"/>
                      </w:rPr>
                      <w:t>X86</w:t>
                    </w:r>
                    <w:r>
                      <w:rPr>
                        <w:rFonts w:ascii="Cambria" w:eastAsia="Cambria"/>
                        <w:spacing w:val="2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效劳器</w:t>
                    </w:r>
                  </w:p>
                </w:txbxContent>
              </v:textbox>
            </v:shape>
          </v:group>
        </w:pict>
      </w:r>
      <w:r>
        <w:rPr>
          <w:spacing w:val="-29"/>
          <w:w w:val="95"/>
        </w:rPr>
        <w:t xml:space="preserve">表 </w:t>
      </w:r>
      <w:r>
        <w:rPr>
          <w:rFonts w:ascii="Cambria" w:eastAsia="Cambria"/>
          <w:w w:val="95"/>
        </w:rPr>
        <w:t>1</w:t>
      </w:r>
      <w:r>
        <w:rPr>
          <w:rFonts w:ascii="Cambria" w:eastAsia="Cambria"/>
          <w:spacing w:val="146"/>
        </w:rPr>
        <w:t xml:space="preserve">  </w:t>
      </w:r>
      <w:r>
        <w:rPr>
          <w:rFonts w:ascii="Cambria" w:eastAsia="Cambria"/>
          <w:w w:val="95"/>
        </w:rPr>
        <w:t>2023</w:t>
      </w:r>
      <w:r>
        <w:rPr>
          <w:rFonts w:ascii="Cambria" w:eastAsia="Cambria"/>
          <w:spacing w:val="38"/>
          <w:w w:val="95"/>
        </w:rPr>
        <w:t xml:space="preserve"> </w:t>
      </w:r>
      <w:r>
        <w:rPr>
          <w:w w:val="95"/>
        </w:rPr>
        <w:t>年方正科技要紧产品销量与行业比照表</w:t>
      </w:r>
    </w:p>
    <w:p>
      <w:pPr>
        <w:pStyle w:val="BodyText"/>
        <w:spacing w:before="7"/>
        <w:rPr>
          <w:sz w:val="27"/>
        </w:rPr>
      </w:pPr>
    </w:p>
    <w:tbl>
      <w:tblPr>
        <w:tblStyle w:val="TableNormal"/>
        <w:tblW w:w="0" w:type="auto"/>
        <w:jc w:val="left"/>
        <w:tblInd w:w="3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2902"/>
        <w:gridCol w:w="2259"/>
        <w:gridCol w:w="2503"/>
      </w:tblGrid>
      <w:tr>
        <w:tblPrEx>
          <w:tblW w:w="0" w:type="auto"/>
          <w:jc w:val="left"/>
          <w:tblInd w:w="356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5"/>
          <w:jc w:val="left"/>
        </w:trPr>
        <w:tc>
          <w:tcPr>
            <w:tcW w:w="2426" w:type="dxa"/>
          </w:tcPr>
          <w:p>
            <w:pPr>
              <w:pStyle w:val="TableParagraph"/>
              <w:spacing w:before="0" w:line="411" w:lineRule="exact"/>
              <w:ind w:left="30" w:right="195"/>
              <w:jc w:val="center"/>
              <w:rPr>
                <w:sz w:val="36"/>
              </w:rPr>
            </w:pPr>
            <w:r>
              <w:rPr>
                <w:sz w:val="36"/>
              </w:rPr>
              <w:t>行业销量同比</w:t>
            </w:r>
          </w:p>
          <w:p>
            <w:pPr>
              <w:pStyle w:val="TableParagraph"/>
              <w:spacing w:before="197"/>
              <w:ind w:left="30" w:right="195"/>
              <w:jc w:val="center"/>
              <w:rPr>
                <w:sz w:val="36"/>
              </w:rPr>
            </w:pPr>
            <w:r>
              <w:rPr>
                <w:sz w:val="36"/>
              </w:rPr>
              <w:t>增幅〔％〕</w:t>
            </w:r>
          </w:p>
        </w:tc>
        <w:tc>
          <w:tcPr>
            <w:tcW w:w="2902" w:type="dxa"/>
          </w:tcPr>
          <w:p>
            <w:pPr>
              <w:pStyle w:val="TableParagraph"/>
              <w:spacing w:before="0" w:line="411" w:lineRule="exact"/>
              <w:ind w:left="325"/>
              <w:rPr>
                <w:sz w:val="36"/>
              </w:rPr>
            </w:pPr>
            <w:r>
              <w:rPr>
                <w:sz w:val="36"/>
              </w:rPr>
              <w:t>方正科技销量</w:t>
            </w:r>
          </w:p>
          <w:p>
            <w:pPr>
              <w:pStyle w:val="TableParagraph"/>
              <w:spacing w:before="197"/>
              <w:ind w:left="216"/>
              <w:rPr>
                <w:sz w:val="36"/>
              </w:rPr>
            </w:pPr>
            <w:r>
              <w:rPr>
                <w:sz w:val="36"/>
              </w:rPr>
              <w:t>同比增幅〔％〕</w:t>
            </w:r>
          </w:p>
        </w:tc>
        <w:tc>
          <w:tcPr>
            <w:tcW w:w="2259" w:type="dxa"/>
          </w:tcPr>
          <w:p>
            <w:pPr>
              <w:pStyle w:val="TableParagraph"/>
              <w:spacing w:before="0" w:line="411" w:lineRule="exact"/>
              <w:ind w:left="166"/>
              <w:rPr>
                <w:sz w:val="36"/>
              </w:rPr>
            </w:pPr>
            <w:r>
              <w:rPr>
                <w:sz w:val="36"/>
              </w:rPr>
              <w:t>国内市场占</w:t>
            </w:r>
          </w:p>
          <w:p>
            <w:pPr>
              <w:pStyle w:val="TableParagraph"/>
              <w:spacing w:before="197"/>
              <w:ind w:left="166"/>
              <w:rPr>
                <w:sz w:val="36"/>
              </w:rPr>
            </w:pPr>
            <w:r>
              <w:rPr>
                <w:sz w:val="36"/>
              </w:rPr>
              <w:t>有率〔％〕</w:t>
            </w:r>
          </w:p>
        </w:tc>
        <w:tc>
          <w:tcPr>
            <w:tcW w:w="2503" w:type="dxa"/>
          </w:tcPr>
          <w:p>
            <w:pPr>
              <w:pStyle w:val="TableParagraph"/>
              <w:spacing w:before="0" w:line="411" w:lineRule="exact"/>
              <w:ind w:left="274" w:right="29"/>
              <w:jc w:val="center"/>
              <w:rPr>
                <w:sz w:val="36"/>
              </w:rPr>
            </w:pPr>
            <w:r>
              <w:rPr>
                <w:sz w:val="36"/>
              </w:rPr>
              <w:t>方正科技的市</w:t>
            </w:r>
          </w:p>
          <w:p>
            <w:pPr>
              <w:pStyle w:val="TableParagraph"/>
              <w:spacing w:before="197"/>
              <w:ind w:left="274" w:right="29"/>
              <w:jc w:val="center"/>
              <w:rPr>
                <w:sz w:val="36"/>
              </w:rPr>
            </w:pPr>
            <w:r>
              <w:rPr>
                <w:sz w:val="36"/>
              </w:rPr>
              <w:t>场份额排名</w:t>
            </w:r>
          </w:p>
        </w:tc>
      </w:tr>
      <w:tr>
        <w:tblPrEx>
          <w:tblW w:w="0" w:type="auto"/>
          <w:jc w:val="left"/>
          <w:tblInd w:w="35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2"/>
          <w:jc w:val="left"/>
        </w:trPr>
        <w:tc>
          <w:tcPr>
            <w:tcW w:w="2426" w:type="dxa"/>
          </w:tcPr>
          <w:p>
            <w:pPr>
              <w:pStyle w:val="TableParagraph"/>
              <w:spacing w:before="191"/>
              <w:ind w:left="861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11.5</w:t>
            </w:r>
          </w:p>
        </w:tc>
        <w:tc>
          <w:tcPr>
            <w:tcW w:w="2902" w:type="dxa"/>
          </w:tcPr>
          <w:p>
            <w:pPr>
              <w:pStyle w:val="TableParagraph"/>
              <w:spacing w:before="191"/>
              <w:ind w:left="1127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36.9</w:t>
            </w:r>
          </w:p>
        </w:tc>
        <w:tc>
          <w:tcPr>
            <w:tcW w:w="2259" w:type="dxa"/>
          </w:tcPr>
          <w:p>
            <w:pPr>
              <w:pStyle w:val="TableParagraph"/>
              <w:spacing w:before="191"/>
              <w:ind w:left="765" w:right="875"/>
              <w:jc w:val="center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11.8</w:t>
            </w:r>
          </w:p>
        </w:tc>
        <w:tc>
          <w:tcPr>
            <w:tcW w:w="2503" w:type="dxa"/>
          </w:tcPr>
          <w:p>
            <w:pPr>
              <w:pStyle w:val="TableParagraph"/>
              <w:spacing w:before="191"/>
              <w:ind w:right="1046"/>
              <w:jc w:val="right"/>
              <w:rPr>
                <w:rFonts w:ascii="Cambria"/>
                <w:sz w:val="31"/>
              </w:rPr>
            </w:pPr>
            <w:r>
              <w:rPr>
                <w:rFonts w:ascii="Cambria"/>
                <w:w w:val="92"/>
                <w:sz w:val="31"/>
              </w:rPr>
              <w:t>2</w:t>
            </w:r>
          </w:p>
        </w:tc>
      </w:tr>
      <w:tr>
        <w:tblPrEx>
          <w:tblW w:w="0" w:type="auto"/>
          <w:jc w:val="left"/>
          <w:tblInd w:w="35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2426" w:type="dxa"/>
          </w:tcPr>
          <w:p>
            <w:pPr>
              <w:pStyle w:val="TableParagraph"/>
              <w:spacing w:before="192"/>
              <w:ind w:left="853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79.7</w:t>
            </w:r>
          </w:p>
        </w:tc>
        <w:tc>
          <w:tcPr>
            <w:tcW w:w="2902" w:type="dxa"/>
          </w:tcPr>
          <w:p>
            <w:pPr>
              <w:pStyle w:val="TableParagraph"/>
              <w:spacing w:before="192"/>
              <w:ind w:left="1127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68.4</w:t>
            </w:r>
          </w:p>
        </w:tc>
        <w:tc>
          <w:tcPr>
            <w:tcW w:w="2259" w:type="dxa"/>
          </w:tcPr>
          <w:p>
            <w:pPr>
              <w:pStyle w:val="TableParagraph"/>
              <w:spacing w:before="192"/>
              <w:ind w:left="759" w:right="875"/>
              <w:jc w:val="center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5.3</w:t>
            </w:r>
          </w:p>
        </w:tc>
        <w:tc>
          <w:tcPr>
            <w:tcW w:w="2503" w:type="dxa"/>
          </w:tcPr>
          <w:p>
            <w:pPr>
              <w:pStyle w:val="TableParagraph"/>
              <w:spacing w:before="192"/>
              <w:ind w:right="1046"/>
              <w:jc w:val="right"/>
              <w:rPr>
                <w:rFonts w:ascii="Cambria"/>
                <w:sz w:val="31"/>
              </w:rPr>
            </w:pPr>
            <w:r>
              <w:rPr>
                <w:rFonts w:ascii="Cambria"/>
                <w:w w:val="92"/>
                <w:sz w:val="31"/>
              </w:rPr>
              <w:t>7</w:t>
            </w:r>
          </w:p>
        </w:tc>
      </w:tr>
      <w:tr>
        <w:tblPrEx>
          <w:tblW w:w="0" w:type="auto"/>
          <w:jc w:val="left"/>
          <w:tblInd w:w="35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2426" w:type="dxa"/>
          </w:tcPr>
          <w:p>
            <w:pPr>
              <w:pStyle w:val="TableParagraph"/>
              <w:spacing w:before="194" w:line="282" w:lineRule="exact"/>
              <w:ind w:left="853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21.1</w:t>
            </w:r>
          </w:p>
        </w:tc>
        <w:tc>
          <w:tcPr>
            <w:tcW w:w="2902" w:type="dxa"/>
          </w:tcPr>
          <w:p>
            <w:pPr>
              <w:pStyle w:val="TableParagraph"/>
              <w:spacing w:before="194" w:line="282" w:lineRule="exact"/>
              <w:ind w:left="1127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55.3</w:t>
            </w:r>
          </w:p>
        </w:tc>
        <w:tc>
          <w:tcPr>
            <w:tcW w:w="2259" w:type="dxa"/>
          </w:tcPr>
          <w:p>
            <w:pPr>
              <w:pStyle w:val="TableParagraph"/>
              <w:spacing w:before="194" w:line="282" w:lineRule="exact"/>
              <w:ind w:left="759" w:right="875"/>
              <w:jc w:val="center"/>
              <w:rPr>
                <w:rFonts w:ascii="Cambria"/>
                <w:sz w:val="31"/>
              </w:rPr>
            </w:pPr>
            <w:r>
              <w:rPr>
                <w:rFonts w:ascii="Cambria"/>
                <w:sz w:val="31"/>
              </w:rPr>
              <w:t>4.4</w:t>
            </w:r>
          </w:p>
        </w:tc>
        <w:tc>
          <w:tcPr>
            <w:tcW w:w="2503" w:type="dxa"/>
          </w:tcPr>
          <w:p>
            <w:pPr>
              <w:pStyle w:val="TableParagraph"/>
              <w:spacing w:before="194" w:line="282" w:lineRule="exact"/>
              <w:ind w:right="1046"/>
              <w:jc w:val="right"/>
              <w:rPr>
                <w:rFonts w:ascii="Cambria"/>
                <w:sz w:val="31"/>
              </w:rPr>
            </w:pPr>
            <w:r>
              <w:rPr>
                <w:rFonts w:ascii="Cambria"/>
                <w:w w:val="92"/>
                <w:sz w:val="31"/>
              </w:rPr>
              <w:t>6</w:t>
            </w:r>
          </w:p>
        </w:tc>
      </w:tr>
    </w:tbl>
    <w:p>
      <w:pPr>
        <w:pStyle w:val="BodyText"/>
        <w:spacing w:before="12"/>
        <w:rPr>
          <w:sz w:val="14"/>
        </w:rPr>
      </w:pPr>
    </w:p>
    <w:p>
      <w:pPr>
        <w:spacing w:before="99"/>
        <w:ind w:left="1180" w:right="0" w:firstLine="0"/>
        <w:jc w:val="left"/>
        <w:rPr>
          <w:rFonts w:ascii="Cambria" w:eastAsia="Cambria"/>
          <w:sz w:val="31"/>
        </w:rPr>
      </w:pPr>
      <w:r>
        <w:rPr>
          <w:sz w:val="31"/>
        </w:rPr>
        <w:t>数据来源：</w:t>
      </w:r>
      <w:r>
        <w:rPr>
          <w:rFonts w:ascii="Cambria" w:eastAsia="Cambria"/>
          <w:sz w:val="31"/>
        </w:rPr>
        <w:t>IDC</w:t>
      </w:r>
    </w:p>
    <w:p>
      <w:pPr>
        <w:spacing w:after="0"/>
        <w:jc w:val="left"/>
        <w:rPr>
          <w:rFonts w:ascii="Cambria" w:eastAsia="Cambria"/>
          <w:sz w:val="31"/>
        </w:rPr>
      </w:pPr>
      <w:r>
        <w:rPr>
          <w:rFonts w:ascii="Cambria" w:eastAsia="Cambria"/>
          <w:sz w:val="31"/>
        </w:rPr>
        <w:br/>
      </w:r>
      <w:r>
        <w:rPr>
          <w:rFonts w:ascii="Cambria" w:eastAsia="Cambria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https://d.book118.com/268026121011006023</w:t>
        </w:r>
      </w:hyperlink>
    </w:p>
    <w:p>
      <w:pPr>
        <w:spacing w:after="0"/>
        <w:jc w:val="left"/>
        <w:rPr>
          <w:rFonts w:ascii="Cambria" w:eastAsia="Cambria"/>
          <w:sz w:val="31"/>
        </w:rPr>
      </w:pPr>
    </w:p>
    <w:sectPr>
      <w:pgSz w:w="17860" w:h="25260"/>
      <w:pgMar w:top="1940" w:right="208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2DFD"/>
    <w:multiLevelType w:val="hybridMultilevel"/>
    <w:tmpl w:val="00000000"/>
    <w:lvl w:ilvl="0">
      <w:start w:val="1"/>
      <w:numFmt w:val="decimal"/>
      <w:lvlText w:val="%1."/>
      <w:lvlJc w:val="left"/>
      <w:pPr>
        <w:ind w:left="2440" w:hanging="630"/>
        <w:jc w:val="left"/>
      </w:pPr>
      <w:rPr>
        <w:rFonts w:hint="default"/>
        <w:w w:val="98"/>
      </w:rPr>
    </w:lvl>
    <w:lvl w:ilvl="1">
      <w:start w:val="0"/>
      <w:numFmt w:val="bullet"/>
      <w:lvlText w:val="•"/>
      <w:lvlJc w:val="left"/>
      <w:pPr>
        <w:ind w:left="3621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0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6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4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3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1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630"/>
      </w:pPr>
      <w:rPr>
        <w:rFonts w:hint="default"/>
      </w:rPr>
    </w:lvl>
  </w:abstractNum>
  <w:abstractNum w:abstractNumId="1">
    <w:nsid w:val="639764CD"/>
    <w:multiLevelType w:val="hybridMultilevel"/>
    <w:tmpl w:val="00000000"/>
    <w:lvl w:ilvl="0">
      <w:start w:val="1"/>
      <w:numFmt w:val="decimal"/>
      <w:lvlText w:val="（%1）"/>
      <w:lvlJc w:val="left"/>
      <w:pPr>
        <w:ind w:left="3520" w:hanging="108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59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6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4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1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6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11" w:hanging="1080"/>
      </w:pPr>
      <w:rPr>
        <w:rFonts w:hint="default"/>
      </w:rPr>
    </w:lvl>
  </w:abstractNum>
  <w:abstractNum w:abstractNumId="2">
    <w:nsid w:val="71DCC545"/>
    <w:multiLevelType w:val="hybridMultilevel"/>
    <w:tmpl w:val="00000000"/>
    <w:lvl w:ilvl="0">
      <w:start w:val="4"/>
      <w:numFmt w:val="decimal"/>
      <w:lvlText w:val="%1"/>
      <w:lvlJc w:val="left"/>
      <w:pPr>
        <w:ind w:left="1556" w:hanging="424"/>
        <w:jc w:val="left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1556" w:hanging="424"/>
        <w:jc w:val="left"/>
      </w:pPr>
      <w:rPr>
        <w:rFonts w:ascii="Times New Roman" w:eastAsia="Times New Roman" w:hAnsi="Times New Roman" w:cs="Times New Roman" w:hint="default"/>
        <w:spacing w:val="-5"/>
        <w:w w:val="102"/>
        <w:sz w:val="29"/>
        <w:szCs w:val="29"/>
      </w:rPr>
    </w:lvl>
    <w:lvl w:ilvl="2">
      <w:start w:val="1"/>
      <w:numFmt w:val="decimal"/>
      <w:lvlText w:val="%3."/>
      <w:lvlJc w:val="left"/>
      <w:pPr>
        <w:ind w:left="244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1"/>
      <w:numFmt w:val="decimal"/>
      <w:lvlText w:val="(%4)"/>
      <w:lvlJc w:val="left"/>
      <w:pPr>
        <w:ind w:left="2801" w:hanging="541"/>
        <w:jc w:val="righ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4">
      <w:start w:val="1"/>
      <w:numFmt w:val="decimal"/>
      <w:lvlText w:val="（%5）"/>
      <w:lvlJc w:val="left"/>
      <w:pPr>
        <w:ind w:left="35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5">
      <w:start w:val="0"/>
      <w:numFmt w:val="bullet"/>
      <w:lvlText w:val="•"/>
      <w:lvlJc w:val="left"/>
      <w:pPr>
        <w:ind w:left="4691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7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62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48" w:hanging="901"/>
      </w:pPr>
      <w:rPr>
        <w:rFonts w:hint="default"/>
      </w:rPr>
    </w:lvl>
  </w:abstractNum>
  <w:abstractNum w:abstractNumId="3">
    <w:nsid w:val="7B24E798"/>
    <w:multiLevelType w:val="hybridMultilevel"/>
    <w:tmpl w:val="00000000"/>
    <w:lvl w:ilvl="0">
      <w:start w:val="0"/>
      <w:numFmt w:val="bullet"/>
      <w:lvlText w:val=""/>
      <w:lvlJc w:val="left"/>
      <w:pPr>
        <w:ind w:left="2710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73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2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8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4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9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1" w:hanging="63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5"/>
      <w:szCs w:val="45"/>
    </w:rPr>
  </w:style>
  <w:style w:type="paragraph" w:customStyle="1" w:styleId="Heading2">
    <w:name w:val="Heading 2"/>
    <w:basedOn w:val="Normal"/>
    <w:uiPriority w:val="1"/>
    <w:qFormat/>
    <w:pPr>
      <w:ind w:left="2019"/>
      <w:outlineLvl w:val="2"/>
    </w:pPr>
    <w:rPr>
      <w:rFonts w:ascii="Arial Unicode MS" w:eastAsia="Arial Unicode MS" w:hAnsi="Arial Unicode MS" w:cs="Arial Unicode MS"/>
      <w:b/>
      <w:bCs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ind w:left="1904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188"/>
      <w:ind w:left="789"/>
      <w:jc w:val="center"/>
    </w:pPr>
    <w:rPr>
      <w:rFonts w:ascii="黑体" w:eastAsia="黑体" w:hAnsi="黑体" w:cs="黑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241"/>
      <w:ind w:left="2440" w:hanging="63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131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26802612101100602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2023-10-27T14:55:05Z</dcterms:created>
  <dcterms:modified xsi:type="dcterms:W3CDTF">2023-10-27T14:55:05Z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LastSaved">
    <vt:filetime>2023-10-27T00:00:00Z</vt:filetime>
  </property>
</Properties>
</file>