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异丙醇项目建设方案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_Toc18346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_Toc21963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9" w:history="1">
        <w:r>
          <w:rPr>
            <w:rFonts w:ascii="仿宋" w:eastAsia="仿宋" w:hAnsi="仿宋" w:cs="仿宋" w:hint="eastAsia"/>
            <w:lang w:eastAsia="zh-CN"/>
          </w:rPr>
          <w:t>三、异丙醇项目概论</w:t>
        </w:r>
        <w:r>
          <w:tab/>
        </w:r>
        <w:r>
          <w:fldChar w:fldCharType="begin"/>
        </w:r>
        <w:r>
          <w:instrText xml:space="preserve"> PAGEREF _Toc22399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_Toc16333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_Toc22797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_Toc19789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_Toc29561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_Toc17730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_Toc18655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8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异丙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3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异丙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异丙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异丙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34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在异丙醇项目启动前，将进行一系列深入的地质调查，包括钻探和土壤取样，以深入了解项目区域的地层结构和土壤组成。特别是对于土壤的承载能力和地下水位的深度进行详细评估。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异丙醇项目还将考虑建设排水系统，以减少地表水对土壤稳定性的影响。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完成初始的地质风险评估后，异丙醇项目将安装长期地质监测设备，如倾斜仪、裂缝计和地下水位计，以持续监测地质条件的变化。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32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071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96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异丙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9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https://d.book118.com/268034012122006035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A86E68"/>
    <w:rsid w:val="4FA86E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68034012122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2024-02-01T15:29:00Z</dcterms:created>
  <dcterms:modified xsi:type="dcterms:W3CDTF">2024-02-01T15:29:35Z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6EB97423B0B04F579A9EFFA03CAFE209_11</vt:lpwstr>
  </property>
  <property fmtid="{D5CDD505-2E9C-101B-9397-08002B2CF9AE}" pid="3" name="KSOProductBuildVer">
    <vt:lpwstr>2052-12.1.0.16250</vt:lpwstr>
  </property>
</Properties>
</file>