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2018-2023年山东轻工职业学院高职单招（数学／语文／英语）历年常考试题库含答案解析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《短歌行》中引用《诗经》成句“青青子衿，悠悠我心”，所表达的心情是（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A.思慕贤才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B.礼遇贤才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C.对贤才无所依托的思虑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D.与贤才久别重逢的欣慰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《红楼梦》的线索是（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A.贾、史、王、薜四大家庭的衰亡过程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B.贾家由盛到衰的变化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C.宝玉和宝钗的爱情故事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D.宝玉和黛玉的爱情悲剧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说“今日一天，当明日两天”的哲人是（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A.亚里士多德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B.培根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C.爱默生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D.斯宾诺莎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《陌上桑》第三段的内容是写（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A.罗敷美貌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B.刺史调戏罗敷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C.罗敷严词拒绝刺史的调戏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D.罗敷夸夫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徐志摩以康桥为题写的诗作有（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A.《死水》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B.《沙扬娜拉》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C.《雪花的快乐》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D.《再别康桥》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《红楼梦》的体裁是（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A.长篇章回白话小说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B.长篇文言文小说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C.诗体韵文小说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D.现实主义小说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下列作品属于郭沫若所创作的一组是（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A.《北方》《红烛》《屈原》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B.《女神》《死水》《屈原》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C.《女神》《云游集》《猛虎集》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D.《屈原》《王昭君》《蔡文姬》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《短歌行》中引用《诗经》成句“呦呦鹿鸣，食野之苹。我有嘉宾，鼓瑟吹笙”，所表达的心情是（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A.思慕贤才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B.优礼贤才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C.对贤才无所依托的焦虑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D.与贤才久别重逢的欣慰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宋代作家中，文艺成就最为全面的一位作家是（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A.欧阳修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B.王安石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C.辛弃疾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“瀚海阑干百丈冰，愁云惨淡万里凝”，诗句中所用的修辞格是（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B.夸张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C.比拟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D.排比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下列各句中，“服”字作“佩带”解的是（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A.垂明月之珠，服太阿之剑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B.故远人不服，则修文德以来之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C.石崇与王恺争豪，并穷绮丽，以饰舆服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D.军中自是服其勇也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李斯的《谏逐客书》选自（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A.《左传》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B.《史记》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C.《战国策》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D.《国语》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被誉为“世界短篇小说之王”的法国小说家是（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A.莫泊桑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B.欧·亨利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C.巴尔扎克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《报刘一丈书》中“权者”的形象特征是（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A.狐假虎威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B.贪婪虚伪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https://d.book118.com/268034076132006040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9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hyperlink" Target="https://d.book118.com/268034076132006040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