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19" w:line="222" w:lineRule="auto"/>
        <w:ind w:left="2163"/>
        <w:outlineLvl w:val="0"/>
      </w:pPr>
      <w:r>
        <w:rPr>
          <w:spacing w:val="23"/>
        </w:rPr>
        <w:t>中国血脂管理指南(2023年)要点</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5" w:line="222" w:lineRule="auto"/>
        <w:ind w:left="87"/>
      </w:pPr>
      <w:r>
        <w:rPr>
          <w:b/>
          <w:bCs/>
          <w:spacing w:val="3"/>
        </w:rPr>
        <w:t>摘要</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84" w:line="440" w:lineRule="auto"/>
        <w:ind w:left="13" w:right="13"/>
        <w:jc w:val="both"/>
      </w:pPr>
      <w:r>
        <w:rPr>
          <w:spacing w:val="4"/>
        </w:rPr>
        <w:t>以动脉粥样硬化性心血管疾病</w:t>
      </w:r>
      <w:r>
        <w:rPr>
          <w:rFonts w:ascii="SimSun" w:eastAsia="SimSun" w:hAnsi="SimSun" w:cs="SimSun"/>
          <w:spacing w:val="4"/>
        </w:rPr>
        <w:t>(</w:t>
      </w:r>
      <w:r>
        <w:rPr>
          <w:rFonts w:ascii="SimSun" w:eastAsia="SimSun" w:hAnsi="SimSun" w:cs="SimSun"/>
        </w:rPr>
        <w:t>ASCVD</w:t>
      </w:r>
      <w:r>
        <w:rPr>
          <w:rFonts w:ascii="SimSun" w:eastAsia="SimSun" w:hAnsi="SimSun" w:cs="SimSun"/>
          <w:spacing w:val="4"/>
        </w:rPr>
        <w:t>)</w:t>
      </w:r>
      <w:r>
        <w:rPr>
          <w:rFonts w:ascii="SimSun" w:eastAsia="SimSun" w:hAnsi="SimSun" w:cs="SimSun"/>
          <w:spacing w:val="31"/>
        </w:rPr>
        <w:t xml:space="preserve">   </w:t>
      </w:r>
      <w:r>
        <w:rPr>
          <w:spacing w:val="4"/>
        </w:rPr>
        <w:t>为主的心血管疾病</w:t>
      </w:r>
      <w:r>
        <w:rPr>
          <w:rFonts w:ascii="SimSun" w:eastAsia="SimSun" w:hAnsi="SimSun" w:cs="SimSun"/>
          <w:spacing w:val="4"/>
        </w:rPr>
        <w:t>(</w:t>
      </w:r>
      <w:r>
        <w:rPr>
          <w:rFonts w:ascii="SimSun" w:eastAsia="SimSun" w:hAnsi="SimSun" w:cs="SimSun"/>
        </w:rPr>
        <w:t>CVD</w:t>
      </w:r>
      <w:r>
        <w:rPr>
          <w:rFonts w:ascii="SimSun" w:eastAsia="SimSun" w:hAnsi="SimSun" w:cs="SimSun"/>
          <w:spacing w:val="4"/>
        </w:rPr>
        <w:t>)</w:t>
      </w:r>
      <w:r>
        <w:rPr>
          <w:rFonts w:ascii="SimSun" w:eastAsia="SimSun" w:hAnsi="SimSun" w:cs="SimSun"/>
          <w:spacing w:val="2"/>
        </w:rPr>
        <w:t xml:space="preserve">   </w:t>
      </w:r>
      <w:r>
        <w:rPr>
          <w:spacing w:val="4"/>
        </w:rPr>
        <w:t>是</w:t>
      </w:r>
      <w:r>
        <w:t xml:space="preserve"> </w:t>
      </w:r>
      <w:r>
        <w:rPr>
          <w:spacing w:val="1"/>
        </w:rPr>
        <w:t>我国城乡居民第一位死因，低密度脂蛋白胆固醇</w:t>
      </w:r>
      <w:r>
        <w:rPr>
          <w:rFonts w:ascii="SimSun" w:eastAsia="SimSun" w:hAnsi="SimSun" w:cs="SimSun"/>
          <w:spacing w:val="1"/>
        </w:rPr>
        <w:t>(</w:t>
      </w:r>
      <w:r>
        <w:rPr>
          <w:rFonts w:ascii="SimSun" w:eastAsia="SimSun" w:hAnsi="SimSun" w:cs="SimSun"/>
        </w:rPr>
        <w:t>LDL</w:t>
      </w:r>
      <w:r>
        <w:rPr>
          <w:rFonts w:ascii="SimSun" w:eastAsia="SimSun" w:hAnsi="SimSun" w:cs="SimSun"/>
          <w:spacing w:val="1"/>
        </w:rPr>
        <w:t xml:space="preserve">-C)  </w:t>
      </w:r>
      <w:r>
        <w:rPr>
          <w:spacing w:val="1"/>
        </w:rPr>
        <w:t>是</w:t>
      </w:r>
      <w:r>
        <w:rPr>
          <w:spacing w:val="1"/>
        </w:rPr>
        <w:t xml:space="preserve"> </w:t>
      </w:r>
      <w:r>
        <w:rPr>
          <w:rFonts w:ascii="SimSun" w:eastAsia="SimSun" w:hAnsi="SimSun" w:cs="SimSun"/>
        </w:rPr>
        <w:t>ASCVD</w:t>
      </w:r>
      <w:r>
        <w:rPr>
          <w:rFonts w:ascii="SimSun" w:eastAsia="SimSun" w:hAnsi="SimSun" w:cs="SimSun"/>
          <w:spacing w:val="27"/>
        </w:rPr>
        <w:t xml:space="preserve">  </w:t>
      </w:r>
      <w:r>
        <w:rPr>
          <w:spacing w:val="1"/>
        </w:rPr>
        <w:t>的</w:t>
      </w:r>
      <w:r>
        <w:t xml:space="preserve"> </w:t>
      </w:r>
      <w:r>
        <w:t>致病性危险因素。面对我国</w:t>
      </w:r>
      <w:r>
        <w:rPr>
          <w:spacing w:val="-40"/>
        </w:rPr>
        <w:t xml:space="preserve"> </w:t>
      </w:r>
      <w:r>
        <w:rPr>
          <w:rFonts w:ascii="SimSun" w:eastAsia="SimSun" w:hAnsi="SimSun" w:cs="SimSun"/>
        </w:rPr>
        <w:t xml:space="preserve">ASCVD  </w:t>
      </w:r>
      <w:r>
        <w:t>疾病负担不断上升的趋势，血脂管理</w:t>
      </w:r>
      <w:r>
        <w:t xml:space="preserve"> </w:t>
      </w:r>
      <w:r>
        <w:rPr>
          <w:spacing w:val="-1"/>
        </w:rPr>
        <w:t>刻不容缓。近几年世界范围内血脂领域的研究取得了突破性进展，我国血</w:t>
      </w:r>
      <w:r>
        <w:t xml:space="preserve"> </w:t>
      </w:r>
      <w:r>
        <w:rPr>
          <w:spacing w:val="-1"/>
        </w:rPr>
        <w:t>脂指南的修订势在必行。由于人群血脂合适水平随</w:t>
      </w:r>
      <w:r>
        <w:rPr>
          <w:spacing w:val="-59"/>
        </w:rPr>
        <w:t xml:space="preserve"> </w:t>
      </w:r>
      <w:r>
        <w:rPr>
          <w:rFonts w:ascii="SimSun" w:eastAsia="SimSun" w:hAnsi="SimSun" w:cs="SimSun"/>
          <w:spacing w:val="-1"/>
        </w:rPr>
        <w:t>ASCVD</w:t>
      </w:r>
      <w:r>
        <w:rPr>
          <w:rFonts w:ascii="SimSun" w:eastAsia="SimSun" w:hAnsi="SimSun" w:cs="SimSun"/>
          <w:spacing w:val="36"/>
        </w:rPr>
        <w:t xml:space="preserve">  </w:t>
      </w:r>
      <w:r>
        <w:rPr>
          <w:spacing w:val="-1"/>
        </w:rPr>
        <w:t>危险分层的级</w:t>
      </w:r>
      <w:r>
        <w:t xml:space="preserve"> </w:t>
      </w:r>
      <w:r>
        <w:rPr>
          <w:spacing w:val="-2"/>
        </w:rPr>
        <w:t>别不同而异，在没有危险因素的人群中，所谓“正常“的</w:t>
      </w:r>
      <w:r>
        <w:rPr>
          <w:spacing w:val="56"/>
        </w:rPr>
        <w:t xml:space="preserve"> </w:t>
      </w:r>
      <w:r>
        <w:rPr>
          <w:rFonts w:ascii="Arial" w:eastAsia="Arial" w:hAnsi="Arial" w:cs="Arial"/>
          <w:spacing w:val="-2"/>
        </w:rPr>
        <w:t>LDL-C</w:t>
      </w:r>
      <w:r>
        <w:rPr>
          <w:rFonts w:ascii="Arial" w:eastAsia="Arial" w:hAnsi="Arial" w:cs="Arial"/>
          <w:spacing w:val="65"/>
        </w:rPr>
        <w:t xml:space="preserve"> </w:t>
      </w:r>
      <w:r>
        <w:rPr>
          <w:spacing w:val="-2"/>
        </w:rPr>
        <w:t>水平对</w:t>
      </w:r>
      <w:r>
        <w:t xml:space="preserve"> </w:t>
      </w:r>
      <w:r>
        <w:rPr>
          <w:rFonts w:ascii="Arial" w:eastAsia="Arial" w:hAnsi="Arial" w:cs="Arial"/>
        </w:rPr>
        <w:t>ASCVD</w:t>
      </w:r>
      <w:r>
        <w:rPr>
          <w:rFonts w:ascii="Arial" w:eastAsia="Arial" w:hAnsi="Arial" w:cs="Arial"/>
          <w:spacing w:val="81"/>
        </w:rPr>
        <w:t xml:space="preserve"> </w:t>
      </w:r>
      <w:r>
        <w:rPr>
          <w:spacing w:val="8"/>
        </w:rPr>
        <w:t>超(极)高危患者而言则属明显升高。因此，指南修订专家委员</w:t>
      </w:r>
      <w:r>
        <w:t xml:space="preserve"> </w:t>
      </w:r>
      <w:r>
        <w:rPr>
          <w:spacing w:val="-12"/>
        </w:rPr>
        <w:t>会经认真讨论后，决定将“血脂异常防治指南“修改</w:t>
      </w:r>
      <w:r>
        <w:rPr>
          <w:spacing w:val="-13"/>
        </w:rPr>
        <w:t>为“血脂管理指南”(以</w:t>
      </w:r>
      <w:r>
        <w:t xml:space="preserve"> </w:t>
      </w:r>
      <w:r>
        <w:t>下简称新指南)。新指南仍推荐</w:t>
      </w:r>
      <w:r>
        <w:rPr>
          <w:spacing w:val="-34"/>
        </w:rPr>
        <w:t xml:space="preserve"> </w:t>
      </w:r>
      <w:r>
        <w:rPr>
          <w:rFonts w:ascii="SimSun" w:eastAsia="SimSun" w:hAnsi="SimSun" w:cs="SimSun"/>
        </w:rPr>
        <w:t>LDL-C</w:t>
      </w:r>
      <w:r>
        <w:rPr>
          <w:rFonts w:ascii="SimSun" w:eastAsia="SimSun" w:hAnsi="SimSun" w:cs="SimSun"/>
          <w:spacing w:val="-1"/>
        </w:rPr>
        <w:t xml:space="preserve"> </w:t>
      </w:r>
      <w:r>
        <w:rPr>
          <w:spacing w:val="-1"/>
        </w:rPr>
        <w:t>作为血脂干预的首要靶点，以危险</w:t>
      </w:r>
      <w:r>
        <w:t xml:space="preserve"> </w:t>
      </w:r>
      <w:r>
        <w:rPr>
          <w:spacing w:val="-1"/>
        </w:rPr>
        <w:t>分层确定其目标值。推荐在生活方式干预的基础上，以中等强度他汀类药</w:t>
      </w:r>
      <w:r>
        <w:rPr>
          <w:spacing w:val="14"/>
        </w:rPr>
        <w:t xml:space="preserve"> </w:t>
      </w:r>
      <w:r>
        <w:rPr>
          <w:spacing w:val="7"/>
        </w:rPr>
        <w:t>物作为起始药物治疗，必要时联用胆固醇吸收抑制剂或(和)前蛋白转化</w:t>
      </w:r>
      <w:r>
        <w:rPr>
          <w:spacing w:val="5"/>
        </w:rPr>
        <w:t xml:space="preserve"> </w:t>
      </w:r>
      <w:r>
        <w:rPr>
          <w:spacing w:val="4"/>
        </w:rPr>
        <w:t>酶枯草溶菌素9抑制剂的达标策略。新指南涵盖了从儿童</w:t>
      </w:r>
      <w:r>
        <w:rPr>
          <w:spacing w:val="3"/>
        </w:rPr>
        <w:t>到老年全生命周</w:t>
      </w:r>
      <w:r>
        <w:t xml:space="preserve"> </w:t>
      </w:r>
      <w:r>
        <w:t>期的血脂管理建议。旨在通过本指南指导临床实践</w:t>
      </w:r>
      <w:r>
        <w:rPr>
          <w:spacing w:val="-1"/>
        </w:rPr>
        <w:t>，全面提升我国血脂管</w:t>
      </w:r>
    </w:p>
    <w:p>
      <w:pPr>
        <w:pStyle w:val="BodyText"/>
        <w:spacing w:before="1" w:line="212" w:lineRule="auto"/>
        <w:ind w:left="13"/>
      </w:pPr>
      <w:r>
        <w:rPr>
          <w:spacing w:val="-4"/>
        </w:rPr>
        <w:t>理水平，推进</w:t>
      </w:r>
      <w:r>
        <w:rPr>
          <w:spacing w:val="-66"/>
        </w:rPr>
        <w:t xml:space="preserve"> </w:t>
      </w:r>
      <w:r>
        <w:rPr>
          <w:rFonts w:ascii="Times New Roman" w:eastAsia="Times New Roman" w:hAnsi="Times New Roman" w:cs="Times New Roman"/>
          <w:spacing w:val="-4"/>
        </w:rPr>
        <w:t xml:space="preserve">ASCVD </w:t>
      </w:r>
      <w:r>
        <w:rPr>
          <w:spacing w:val="-4"/>
        </w:rPr>
        <w:t>防治。</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BodyText"/>
        <w:spacing w:before="84" w:line="453" w:lineRule="auto"/>
        <w:ind w:left="13"/>
        <w:jc w:val="both"/>
        <w:sectPr>
          <w:pgSz w:w="11910" w:h="16840"/>
          <w:pgMar w:top="1431" w:right="1784" w:bottom="0" w:left="1786" w:header="0" w:footer="0" w:gutter="0"/>
          <w:cols w:space="708"/>
        </w:sectPr>
      </w:pPr>
      <w:r>
        <w:rPr>
          <w:spacing w:val="3"/>
        </w:rPr>
        <w:t>心血管疾病</w:t>
      </w:r>
      <w:r>
        <w:rPr>
          <w:rFonts w:ascii="Arial" w:eastAsia="Arial" w:hAnsi="Arial" w:cs="Arial"/>
          <w:spacing w:val="3"/>
        </w:rPr>
        <w:t>(</w:t>
      </w:r>
      <w:r>
        <w:rPr>
          <w:rFonts w:ascii="Arial" w:eastAsia="Arial" w:hAnsi="Arial" w:cs="Arial"/>
        </w:rPr>
        <w:t>CVD</w:t>
      </w:r>
      <w:r>
        <w:rPr>
          <w:rFonts w:ascii="Arial" w:eastAsia="Arial" w:hAnsi="Arial" w:cs="Arial"/>
          <w:spacing w:val="3"/>
        </w:rPr>
        <w:t xml:space="preserve">)   </w:t>
      </w:r>
      <w:r>
        <w:rPr>
          <w:spacing w:val="3"/>
        </w:rPr>
        <w:t>是全球范围内威胁人类生命健康的最主要的慢性非传</w:t>
      </w:r>
      <w:r>
        <w:rPr>
          <w:spacing w:val="6"/>
        </w:rPr>
        <w:t xml:space="preserve"> </w:t>
      </w:r>
      <w:r>
        <w:rPr>
          <w:spacing w:val="3"/>
        </w:rPr>
        <w:t>染性疾病。动脉粥样硬化性心血管疾病</w:t>
      </w:r>
      <w:r>
        <w:rPr>
          <w:rFonts w:ascii="SimSun" w:eastAsia="SimSun" w:hAnsi="SimSun" w:cs="SimSun"/>
          <w:spacing w:val="3"/>
        </w:rPr>
        <w:t>(</w:t>
      </w:r>
      <w:r>
        <w:rPr>
          <w:rFonts w:ascii="SimSun" w:eastAsia="SimSun" w:hAnsi="SimSun" w:cs="SimSun"/>
        </w:rPr>
        <w:t>ASCVD</w:t>
      </w:r>
      <w:r>
        <w:rPr>
          <w:rFonts w:ascii="SimSun" w:eastAsia="SimSun" w:hAnsi="SimSun" w:cs="SimSun"/>
          <w:spacing w:val="3"/>
        </w:rPr>
        <w:t xml:space="preserve">)   </w:t>
      </w:r>
      <w:r>
        <w:rPr>
          <w:spacing w:val="3"/>
        </w:rPr>
        <w:t>为主的</w:t>
      </w:r>
      <w:r>
        <w:rPr>
          <w:spacing w:val="3"/>
        </w:rPr>
        <w:t xml:space="preserve"> </w:t>
      </w:r>
      <w:r>
        <w:rPr>
          <w:rFonts w:ascii="SimSun" w:eastAsia="SimSun" w:hAnsi="SimSun" w:cs="SimSun"/>
        </w:rPr>
        <w:t>CVD</w:t>
      </w:r>
      <w:r>
        <w:rPr>
          <w:rFonts w:ascii="SimSun" w:eastAsia="SimSun" w:hAnsi="SimSun" w:cs="SimSun"/>
          <w:spacing w:val="3"/>
        </w:rPr>
        <w:t xml:space="preserve">  </w:t>
      </w:r>
      <w:r>
        <w:rPr>
          <w:spacing w:val="3"/>
        </w:rPr>
        <w:t>(如缺血</w:t>
      </w:r>
    </w:p>
    <w:p>
      <w:pPr>
        <w:pStyle w:val="BodyText"/>
        <w:spacing w:before="1" w:line="212" w:lineRule="auto"/>
        <w:ind w:left="13"/>
      </w:pPr>
      <w:r>
        <w:rPr>
          <w:spacing w:val="2"/>
        </w:rPr>
        <w:t>性心脏病和缺血性脑卒中等)是我国城乡居民第一位死亡原因，占死因构</w:t>
      </w:r>
    </w:p>
    <w:p>
      <w:pPr>
        <w:spacing w:line="212" w:lineRule="auto"/>
        <w:sectPr>
          <w:type w:val="nextPage"/>
          <w:pgSz w:w="11910" w:h="16840"/>
          <w:pgMar w:top="1431" w:right="1784" w:bottom="0" w:left="1786" w:header="0" w:footer="0" w:gutter="0"/>
          <w:pgNumType w:start="2"/>
          <w:cols w:space="708"/>
          <w:titlePg w:val="0"/>
        </w:sectPr>
      </w:pPr>
    </w:p>
    <w:p>
      <w:pPr>
        <w:pStyle w:val="BodyText"/>
        <w:spacing w:before="185" w:line="442" w:lineRule="auto"/>
        <w:ind w:left="13" w:right="15"/>
        <w:jc w:val="both"/>
      </w:pPr>
      <w:r>
        <w:rPr>
          <w:spacing w:val="7"/>
        </w:rPr>
        <w:t>成的40%以上。近年来，我国</w:t>
      </w:r>
      <w:r>
        <w:rPr>
          <w:rFonts w:ascii="SimSun" w:eastAsia="SimSun" w:hAnsi="SimSun" w:cs="SimSun"/>
        </w:rPr>
        <w:t>ASCVD</w:t>
      </w:r>
      <w:r>
        <w:rPr>
          <w:rFonts w:ascii="SimSun" w:eastAsia="SimSun" w:hAnsi="SimSun" w:cs="SimSun"/>
          <w:spacing w:val="7"/>
        </w:rPr>
        <w:t xml:space="preserve">  </w:t>
      </w:r>
      <w:r>
        <w:rPr>
          <w:spacing w:val="7"/>
        </w:rPr>
        <w:t>的疾病负担仍继续增加，防控工作</w:t>
      </w:r>
      <w:r>
        <w:rPr>
          <w:spacing w:val="17"/>
        </w:rPr>
        <w:t xml:space="preserve"> </w:t>
      </w:r>
      <w:r>
        <w:rPr>
          <w:spacing w:val="-1"/>
        </w:rPr>
        <w:t>形势严峻。流行病学、遗传学和临床干预研究证据充分证实，低密度脂蛋</w:t>
      </w:r>
    </w:p>
    <w:p>
      <w:pPr>
        <w:pStyle w:val="BodyText"/>
        <w:spacing w:before="1" w:line="211" w:lineRule="auto"/>
        <w:ind w:left="13"/>
      </w:pPr>
      <w:r>
        <w:t>白胆固醇</w:t>
      </w:r>
      <w:r>
        <w:rPr>
          <w:rFonts w:ascii="Arial" w:eastAsia="Arial" w:hAnsi="Arial" w:cs="Arial"/>
        </w:rPr>
        <w:t xml:space="preserve">(LDL-C)   </w:t>
      </w:r>
      <w:r>
        <w:t>是</w:t>
      </w:r>
      <w:r>
        <w:rPr>
          <w:spacing w:val="-44"/>
        </w:rPr>
        <w:t xml:space="preserve"> </w:t>
      </w:r>
      <w:r>
        <w:rPr>
          <w:rFonts w:ascii="Arial" w:eastAsia="Arial" w:hAnsi="Arial" w:cs="Arial"/>
        </w:rPr>
        <w:t xml:space="preserve">ASCVD </w:t>
      </w:r>
      <w:r>
        <w:t>的</w:t>
      </w:r>
      <w:r>
        <w:rPr>
          <w:spacing w:val="-1"/>
        </w:rPr>
        <w:t>致病性危险因素。</w:t>
      </w: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BodyText"/>
        <w:spacing w:before="85" w:line="445" w:lineRule="auto"/>
        <w:ind w:left="13" w:right="18"/>
        <w:jc w:val="both"/>
        <w:rPr>
          <w:rFonts w:ascii="Arial" w:eastAsia="Arial" w:hAnsi="Arial" w:cs="Arial"/>
        </w:rPr>
      </w:pPr>
      <w:r>
        <w:rPr>
          <w:spacing w:val="3"/>
        </w:rPr>
        <w:t>新近研究还提示，其他含有载脂蛋白</w:t>
      </w:r>
      <w:r>
        <w:rPr>
          <w:spacing w:val="3"/>
        </w:rPr>
        <w:t xml:space="preserve"> </w:t>
      </w:r>
      <w:r>
        <w:rPr>
          <w:rFonts w:ascii="SimSun" w:eastAsia="SimSun" w:hAnsi="SimSun" w:cs="SimSun"/>
          <w:spacing w:val="3"/>
        </w:rPr>
        <w:t>B(</w:t>
      </w:r>
      <w:r>
        <w:rPr>
          <w:rFonts w:ascii="SimSun" w:eastAsia="SimSun" w:hAnsi="SimSun" w:cs="SimSun"/>
        </w:rPr>
        <w:t>ApoB</w:t>
      </w:r>
      <w:r>
        <w:rPr>
          <w:rFonts w:ascii="SimSun" w:eastAsia="SimSun" w:hAnsi="SimSun" w:cs="SimSun"/>
          <w:spacing w:val="3"/>
        </w:rPr>
        <w:t xml:space="preserve">)   </w:t>
      </w:r>
      <w:r>
        <w:rPr>
          <w:spacing w:val="3"/>
        </w:rPr>
        <w:t>的脂蛋白，包括富含甘</w:t>
      </w:r>
      <w:r>
        <w:t xml:space="preserve"> </w:t>
      </w:r>
      <w:r>
        <w:rPr>
          <w:spacing w:val="3"/>
        </w:rPr>
        <w:t>油三酯的脂蛋白</w:t>
      </w:r>
      <w:r>
        <w:rPr>
          <w:rFonts w:ascii="Arial" w:eastAsia="Arial" w:hAnsi="Arial" w:cs="Arial"/>
          <w:spacing w:val="3"/>
        </w:rPr>
        <w:t>(</w:t>
      </w:r>
      <w:r>
        <w:rPr>
          <w:rFonts w:ascii="Arial" w:eastAsia="Arial" w:hAnsi="Arial" w:cs="Arial"/>
        </w:rPr>
        <w:t>TRL</w:t>
      </w:r>
      <w:r>
        <w:rPr>
          <w:rFonts w:ascii="Arial" w:eastAsia="Arial" w:hAnsi="Arial" w:cs="Arial"/>
          <w:spacing w:val="3"/>
        </w:rPr>
        <w:t xml:space="preserve">)  </w:t>
      </w:r>
      <w:r>
        <w:rPr>
          <w:spacing w:val="3"/>
        </w:rPr>
        <w:t>及其残粒，以及脂蛋白</w:t>
      </w:r>
      <w:r>
        <w:rPr>
          <w:rFonts w:ascii="Arial" w:eastAsia="Arial" w:hAnsi="Arial" w:cs="Arial"/>
          <w:spacing w:val="3"/>
        </w:rPr>
        <w:t>(a)[</w:t>
      </w:r>
      <w:r>
        <w:rPr>
          <w:rFonts w:ascii="Arial" w:eastAsia="Arial" w:hAnsi="Arial" w:cs="Arial"/>
        </w:rPr>
        <w:t>Lp</w:t>
      </w:r>
      <w:r>
        <w:rPr>
          <w:rFonts w:ascii="Arial" w:eastAsia="Arial" w:hAnsi="Arial" w:cs="Arial"/>
          <w:spacing w:val="3"/>
        </w:rPr>
        <w:t xml:space="preserve">(a)],  </w:t>
      </w:r>
      <w:r>
        <w:rPr>
          <w:spacing w:val="3"/>
        </w:rPr>
        <w:t>也参与</w:t>
      </w:r>
      <w:r>
        <w:rPr>
          <w:rFonts w:ascii="Arial" w:eastAsia="Arial" w:hAnsi="Arial" w:cs="Arial"/>
        </w:rPr>
        <w:t>ASCVD</w:t>
      </w:r>
    </w:p>
    <w:p>
      <w:pPr>
        <w:pStyle w:val="BodyText"/>
        <w:spacing w:line="221" w:lineRule="auto"/>
        <w:ind w:left="13"/>
      </w:pPr>
      <w:r>
        <w:rPr>
          <w:spacing w:val="-9"/>
        </w:rPr>
        <w:t>的病理生理过程。</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BodyText"/>
        <w:spacing w:before="85" w:line="221" w:lineRule="auto"/>
        <w:ind w:left="13"/>
      </w:pPr>
      <w:r>
        <w:rPr>
          <w:spacing w:val="-4"/>
        </w:rPr>
        <w:t>1</w:t>
      </w:r>
      <w:r>
        <w:rPr>
          <w:spacing w:val="96"/>
        </w:rPr>
        <w:t xml:space="preserve"> </w:t>
      </w:r>
      <w:r>
        <w:rPr>
          <w:spacing w:val="-4"/>
        </w:rPr>
        <w:t>血脂异常流行特征</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pStyle w:val="BodyText"/>
        <w:spacing w:before="85" w:line="222" w:lineRule="auto"/>
        <w:ind w:left="13"/>
      </w:pPr>
      <w:r>
        <w:rPr>
          <w:spacing w:val="-2"/>
        </w:rPr>
        <w:t>要点提示</w:t>
      </w: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86" w:line="631" w:lineRule="exact"/>
        <w:ind w:left="113"/>
      </w:pPr>
      <w:r>
        <w:rPr>
          <w:spacing w:val="8"/>
          <w:position w:val="29"/>
        </w:rPr>
        <w:t>(1)近几十年来，中国人群的血脂水平、血脂异常患病率明显增加，以</w:t>
      </w:r>
    </w:p>
    <w:p>
      <w:pPr>
        <w:pStyle w:val="BodyText"/>
        <w:spacing w:before="1" w:line="220" w:lineRule="auto"/>
        <w:ind w:left="13"/>
      </w:pPr>
      <w:r>
        <w:rPr>
          <w:spacing w:val="-4"/>
        </w:rPr>
        <w:t>高胆固醇血症的增加最为明显。</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5" w:line="212" w:lineRule="auto"/>
        <w:ind w:left="113"/>
      </w:pPr>
      <w:r>
        <w:rPr>
          <w:rFonts w:ascii="Arial" w:eastAsia="Arial" w:hAnsi="Arial" w:cs="Arial"/>
          <w:spacing w:val="4"/>
        </w:rPr>
        <w:t>(2)</w:t>
      </w:r>
      <w:r>
        <w:rPr>
          <w:rFonts w:ascii="Arial" w:eastAsia="Arial" w:hAnsi="Arial" w:cs="Arial"/>
        </w:rPr>
        <w:t>ASCVD</w:t>
      </w:r>
      <w:r>
        <w:rPr>
          <w:rFonts w:ascii="Arial" w:eastAsia="Arial" w:hAnsi="Arial" w:cs="Arial"/>
          <w:spacing w:val="4"/>
        </w:rPr>
        <w:t xml:space="preserve">    </w:t>
      </w:r>
      <w:r>
        <w:rPr>
          <w:spacing w:val="4"/>
        </w:rPr>
        <w:t>超(极)高危人群的降脂治疗率和达标率较低，亟需改善。</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BodyText"/>
        <w:spacing w:before="85" w:line="224" w:lineRule="auto"/>
        <w:ind w:left="13"/>
      </w:pPr>
      <w:r>
        <w:rPr>
          <w:spacing w:val="2"/>
        </w:rPr>
        <w:t>2</w:t>
      </w:r>
      <w:r>
        <w:rPr>
          <w:spacing w:val="99"/>
        </w:rPr>
        <w:t xml:space="preserve"> </w:t>
      </w:r>
      <w:r>
        <w:rPr>
          <w:spacing w:val="2"/>
        </w:rPr>
        <w:t>血脂与脂蛋白</w:t>
      </w:r>
    </w:p>
    <w:p>
      <w:pPr>
        <w:spacing w:line="280" w:lineRule="auto"/>
        <w:rPr>
          <w:rFonts w:ascii="Arial"/>
          <w:sz w:val="21"/>
        </w:rPr>
        <w:sectPr>
          <w:pgSz w:w="11910" w:h="16840"/>
          <w:pgMar w:top="1431" w:right="1786" w:bottom="0" w:left="1786" w:header="0" w:footer="0" w:gutter="0"/>
          <w:pgNumType w:start="3"/>
          <w:cols w:space="708"/>
        </w:sectPr>
      </w:pPr>
    </w:p>
    <w:p>
      <w:pPr>
        <w:spacing w:line="280" w:lineRule="auto"/>
        <w:rPr>
          <w:rFonts w:ascii="Arial"/>
          <w:sz w:val="21"/>
        </w:rPr>
      </w:pPr>
    </w:p>
    <w:p>
      <w:pPr>
        <w:spacing w:line="281" w:lineRule="auto"/>
        <w:rPr>
          <w:rFonts w:ascii="Arial"/>
          <w:sz w:val="21"/>
        </w:rPr>
      </w:pPr>
    </w:p>
    <w:p>
      <w:pPr>
        <w:pStyle w:val="BodyText"/>
        <w:spacing w:before="85" w:line="222" w:lineRule="auto"/>
        <w:ind w:left="13"/>
      </w:pPr>
      <w:r>
        <w:rPr>
          <w:spacing w:val="-2"/>
        </w:rPr>
        <w:t>要点提示</w:t>
      </w: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pStyle w:val="BodyText"/>
        <w:spacing w:before="85" w:line="221" w:lineRule="auto"/>
        <w:ind w:left="113"/>
        <w:rPr>
          <w:rFonts w:ascii="SimSun" w:eastAsia="SimSun" w:hAnsi="SimSun" w:cs="SimSun"/>
        </w:rPr>
      </w:pPr>
      <w:r>
        <w:rPr>
          <w:spacing w:val="7"/>
        </w:rPr>
        <w:t>(1)与临床密切相关的血脂成分主要包括胆固醇和</w:t>
      </w:r>
      <w:r>
        <w:rPr>
          <w:rFonts w:ascii="SimSun" w:eastAsia="SimSun" w:hAnsi="SimSun" w:cs="SimSun"/>
        </w:rPr>
        <w:t>TG</w:t>
      </w:r>
      <w:r>
        <w:rPr>
          <w:rFonts w:ascii="SimSun" w:eastAsia="SimSun" w:hAnsi="SimSun" w:cs="SimSun"/>
          <w:spacing w:val="7"/>
        </w:rPr>
        <w:t>。</w:t>
      </w:r>
    </w:p>
    <w:p>
      <w:pPr>
        <w:spacing w:line="221" w:lineRule="auto"/>
        <w:rPr>
          <w:rFonts w:ascii="SimSun" w:eastAsia="SimSun" w:hAnsi="SimSun" w:cs="SimSun"/>
        </w:rPr>
        <w:sectPr>
          <w:type w:val="nextPage"/>
          <w:pgSz w:w="11910" w:h="16840"/>
          <w:pgMar w:top="1431" w:right="1786" w:bottom="0" w:left="1786" w:header="0" w:footer="0" w:gutter="0"/>
          <w:pgNumType w:start="4"/>
          <w:cols w:space="708"/>
          <w:titlePg w:val="0"/>
        </w:sectPr>
      </w:pPr>
    </w:p>
    <w:p>
      <w:pPr>
        <w:pStyle w:val="BodyText"/>
        <w:spacing w:before="197" w:line="449" w:lineRule="auto"/>
        <w:ind w:left="13" w:right="237" w:firstLine="110"/>
        <w:rPr>
          <w:rFonts w:ascii="SimSun" w:eastAsia="SimSun" w:hAnsi="SimSun" w:cs="SimSun"/>
        </w:rPr>
      </w:pPr>
      <w:r>
        <w:rPr>
          <w:spacing w:val="6"/>
        </w:rPr>
        <w:t>(2)血液中胆固醇和</w:t>
      </w:r>
      <w:r>
        <w:rPr>
          <w:spacing w:val="6"/>
        </w:rPr>
        <w:t xml:space="preserve"> </w:t>
      </w:r>
      <w:r>
        <w:rPr>
          <w:rFonts w:ascii="SimSun" w:eastAsia="SimSun" w:hAnsi="SimSun" w:cs="SimSun"/>
        </w:rPr>
        <w:t>TG</w:t>
      </w:r>
      <w:r>
        <w:rPr>
          <w:rFonts w:ascii="SimSun" w:eastAsia="SimSun" w:hAnsi="SimSun" w:cs="SimSun"/>
          <w:spacing w:val="77"/>
        </w:rPr>
        <w:t xml:space="preserve"> </w:t>
      </w:r>
      <w:r>
        <w:rPr>
          <w:spacing w:val="6"/>
        </w:rPr>
        <w:t>主要存在于脂蛋白中，</w:t>
      </w:r>
      <w:r>
        <w:rPr>
          <w:spacing w:val="5"/>
        </w:rPr>
        <w:t>包括乳糜微粒</w:t>
      </w:r>
      <w:r>
        <w:rPr>
          <w:rFonts w:ascii="SimSun" w:eastAsia="SimSun" w:hAnsi="SimSun" w:cs="SimSun"/>
          <w:spacing w:val="5"/>
        </w:rPr>
        <w:t>(</w:t>
      </w:r>
      <w:r>
        <w:rPr>
          <w:rFonts w:ascii="SimSun" w:eastAsia="SimSun" w:hAnsi="SimSun" w:cs="SimSun"/>
        </w:rPr>
        <w:t>CM</w:t>
      </w:r>
      <w:r>
        <w:rPr>
          <w:rFonts w:ascii="SimSun" w:eastAsia="SimSun" w:hAnsi="SimSun" w:cs="SimSun"/>
          <w:spacing w:val="5"/>
        </w:rPr>
        <w:t>)</w:t>
      </w:r>
      <w:r>
        <w:rPr>
          <w:rFonts w:ascii="SimSun" w:eastAsia="SimSun" w:hAnsi="SimSun" w:cs="SimSun"/>
        </w:rPr>
        <w:t xml:space="preserve">   </w:t>
      </w:r>
      <w:r>
        <w:rPr>
          <w:spacing w:val="-9"/>
        </w:rPr>
        <w:t>极低密度脂蛋白</w:t>
      </w:r>
      <w:r>
        <w:rPr>
          <w:rFonts w:ascii="SimSun" w:eastAsia="SimSun" w:hAnsi="SimSun" w:cs="SimSun"/>
          <w:spacing w:val="-9"/>
        </w:rPr>
        <w:t>(VLDL)、</w:t>
      </w:r>
      <w:r>
        <w:rPr>
          <w:rFonts w:ascii="SimSun" w:eastAsia="SimSun" w:hAnsi="SimSun" w:cs="SimSun"/>
          <w:spacing w:val="125"/>
        </w:rPr>
        <w:t xml:space="preserve"> </w:t>
      </w:r>
      <w:r>
        <w:rPr>
          <w:spacing w:val="-9"/>
        </w:rPr>
        <w:t>中间密度脂蛋白</w:t>
      </w:r>
      <w:r>
        <w:rPr>
          <w:rFonts w:ascii="SimSun" w:eastAsia="SimSun" w:hAnsi="SimSun" w:cs="SimSun"/>
          <w:spacing w:val="-9"/>
        </w:rPr>
        <w:t xml:space="preserve">(IDL)、 </w:t>
      </w:r>
      <w:r>
        <w:rPr>
          <w:spacing w:val="-9"/>
        </w:rPr>
        <w:t>低密度脂蛋白</w:t>
      </w:r>
      <w:r>
        <w:rPr>
          <w:rFonts w:ascii="SimSun" w:eastAsia="SimSun" w:hAnsi="SimSun" w:cs="SimSun"/>
          <w:spacing w:val="-9"/>
        </w:rPr>
        <w:t>(LDL)、</w:t>
      </w:r>
    </w:p>
    <w:p>
      <w:pPr>
        <w:pStyle w:val="BodyText"/>
        <w:spacing w:line="217" w:lineRule="auto"/>
        <w:ind w:left="13"/>
        <w:rPr>
          <w:rFonts w:ascii="SimSun" w:eastAsia="SimSun" w:hAnsi="SimSun" w:cs="SimSun"/>
        </w:rPr>
      </w:pPr>
      <w:r>
        <w:rPr>
          <w:spacing w:val="-5"/>
        </w:rPr>
        <w:t>高密度脂蛋白</w:t>
      </w:r>
      <w:r>
        <w:rPr>
          <w:rFonts w:ascii="SimSun" w:eastAsia="SimSun" w:hAnsi="SimSun" w:cs="SimSun"/>
          <w:spacing w:val="-5"/>
        </w:rPr>
        <w:t>(HDL)</w:t>
      </w:r>
      <w:r>
        <w:rPr>
          <w:rFonts w:ascii="SimSun" w:eastAsia="SimSun" w:hAnsi="SimSun" w:cs="SimSun"/>
          <w:spacing w:val="54"/>
        </w:rPr>
        <w:t xml:space="preserve">  </w:t>
      </w:r>
      <w:r>
        <w:rPr>
          <w:spacing w:val="-5"/>
        </w:rPr>
        <w:t>和</w:t>
      </w:r>
      <w:r>
        <w:rPr>
          <w:spacing w:val="62"/>
        </w:rPr>
        <w:t xml:space="preserve"> </w:t>
      </w:r>
      <w:r>
        <w:rPr>
          <w:rFonts w:ascii="SimSun" w:eastAsia="SimSun" w:hAnsi="SimSun" w:cs="SimSun"/>
          <w:spacing w:val="-5"/>
        </w:rPr>
        <w:t>Lp(a)。</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BodyText"/>
        <w:spacing w:before="84" w:line="438" w:lineRule="auto"/>
        <w:ind w:left="13" w:right="13"/>
        <w:jc w:val="both"/>
      </w:pPr>
      <w:r>
        <w:rPr>
          <w:spacing w:val="4"/>
        </w:rPr>
        <w:t>血脂是血清中的胆固醇、</w:t>
      </w:r>
      <w:r>
        <w:rPr>
          <w:spacing w:val="35"/>
        </w:rPr>
        <w:t xml:space="preserve"> </w:t>
      </w:r>
      <w:r>
        <w:rPr>
          <w:rFonts w:ascii="Arial" w:eastAsia="Arial" w:hAnsi="Arial" w:cs="Arial"/>
        </w:rPr>
        <w:t>TG</w:t>
      </w:r>
      <w:r>
        <w:rPr>
          <w:rFonts w:ascii="Arial" w:eastAsia="Arial" w:hAnsi="Arial" w:cs="Arial"/>
          <w:spacing w:val="43"/>
          <w:w w:val="101"/>
        </w:rPr>
        <w:t xml:space="preserve"> </w:t>
      </w:r>
      <w:r>
        <w:rPr>
          <w:spacing w:val="4"/>
        </w:rPr>
        <w:t>和类脂(如磷脂)等的总称，与临床</w:t>
      </w:r>
      <w:r>
        <w:rPr>
          <w:spacing w:val="3"/>
        </w:rPr>
        <w:t>密切相</w:t>
      </w:r>
      <w:r>
        <w:t xml:space="preserve"> </w:t>
      </w:r>
      <w:r>
        <w:t>关的血脂主要是胆固醇和</w:t>
      </w:r>
      <w:r>
        <w:t xml:space="preserve"> </w:t>
      </w:r>
      <w:r>
        <w:rPr>
          <w:rFonts w:ascii="Arial" w:eastAsia="Arial" w:hAnsi="Arial" w:cs="Arial"/>
        </w:rPr>
        <w:t>TG</w:t>
      </w:r>
      <w:r>
        <w:rPr>
          <w:rFonts w:ascii="SimSun" w:eastAsia="SimSun" w:hAnsi="SimSun" w:cs="SimSun"/>
        </w:rPr>
        <w:t>。</w:t>
      </w:r>
      <w:r>
        <w:t>血脂不溶于水，必须与特殊的蛋白质，即</w:t>
      </w:r>
      <w:r>
        <w:rPr>
          <w:spacing w:val="12"/>
        </w:rPr>
        <w:t xml:space="preserve"> </w:t>
      </w:r>
      <w:r>
        <w:rPr>
          <w:spacing w:val="6"/>
        </w:rPr>
        <w:t>载脂蛋白</w:t>
      </w:r>
      <w:r>
        <w:rPr>
          <w:rFonts w:ascii="Arial" w:eastAsia="Arial" w:hAnsi="Arial" w:cs="Arial"/>
          <w:spacing w:val="6"/>
        </w:rPr>
        <w:t>(</w:t>
      </w:r>
      <w:r>
        <w:rPr>
          <w:rFonts w:ascii="Arial" w:eastAsia="Arial" w:hAnsi="Arial" w:cs="Arial"/>
        </w:rPr>
        <w:t>Apo</w:t>
      </w:r>
      <w:r>
        <w:rPr>
          <w:rFonts w:ascii="Arial" w:eastAsia="Arial" w:hAnsi="Arial" w:cs="Arial"/>
          <w:spacing w:val="6"/>
        </w:rPr>
        <w:t xml:space="preserve">),     </w:t>
      </w:r>
      <w:r>
        <w:rPr>
          <w:spacing w:val="6"/>
        </w:rPr>
        <w:t>结合形成脂蛋白才能溶于血液，被运</w:t>
      </w:r>
      <w:r>
        <w:rPr>
          <w:spacing w:val="5"/>
        </w:rPr>
        <w:t>输至组织进行代</w:t>
      </w:r>
      <w:r>
        <w:t xml:space="preserve"> </w:t>
      </w:r>
      <w:r>
        <w:rPr>
          <w:spacing w:val="-1"/>
        </w:rPr>
        <w:t>谢。脂蛋白分为</w:t>
      </w:r>
      <w:r>
        <w:rPr>
          <w:spacing w:val="-1"/>
        </w:rPr>
        <w:t xml:space="preserve"> </w:t>
      </w:r>
      <w:r>
        <w:rPr>
          <w:rFonts w:ascii="Arial" w:eastAsia="Arial" w:hAnsi="Arial" w:cs="Arial"/>
          <w:spacing w:val="-1"/>
        </w:rPr>
        <w:t>CM</w:t>
      </w:r>
      <w:r>
        <w:rPr>
          <w:rFonts w:ascii="SimSun" w:eastAsia="SimSun" w:hAnsi="SimSun" w:cs="SimSun"/>
          <w:spacing w:val="-1"/>
        </w:rPr>
        <w:t>、</w:t>
      </w:r>
      <w:r>
        <w:rPr>
          <w:rFonts w:ascii="Arial" w:eastAsia="Arial" w:hAnsi="Arial" w:cs="Arial"/>
          <w:spacing w:val="-1"/>
        </w:rPr>
        <w:t>VLDL</w:t>
      </w:r>
      <w:r>
        <w:rPr>
          <w:rFonts w:ascii="SimSun" w:eastAsia="SimSun" w:hAnsi="SimSun" w:cs="SimSun"/>
          <w:spacing w:val="-1"/>
        </w:rPr>
        <w:t>、</w:t>
      </w:r>
      <w:r>
        <w:rPr>
          <w:rFonts w:ascii="Arial" w:eastAsia="Arial" w:hAnsi="Arial" w:cs="Arial"/>
          <w:spacing w:val="-1"/>
        </w:rPr>
        <w:t>IDL</w:t>
      </w:r>
      <w:r>
        <w:rPr>
          <w:rFonts w:ascii="SimSun" w:eastAsia="SimSun" w:hAnsi="SimSun" w:cs="SimSun"/>
          <w:spacing w:val="-1"/>
        </w:rPr>
        <w:t>、</w:t>
      </w:r>
      <w:r>
        <w:rPr>
          <w:rFonts w:ascii="Arial" w:eastAsia="Arial" w:hAnsi="Arial" w:cs="Arial"/>
          <w:spacing w:val="-1"/>
        </w:rPr>
        <w:t>LDL</w:t>
      </w:r>
      <w:r>
        <w:rPr>
          <w:rFonts w:ascii="Arial" w:eastAsia="Arial" w:hAnsi="Arial" w:cs="Arial"/>
          <w:spacing w:val="45"/>
        </w:rPr>
        <w:t xml:space="preserve"> </w:t>
      </w:r>
      <w:r>
        <w:rPr>
          <w:spacing w:val="-1"/>
        </w:rPr>
        <w:t>和</w:t>
      </w:r>
      <w:r>
        <w:rPr>
          <w:spacing w:val="61"/>
        </w:rPr>
        <w:t xml:space="preserve"> </w:t>
      </w:r>
      <w:r>
        <w:rPr>
          <w:rFonts w:ascii="Arial" w:eastAsia="Arial" w:hAnsi="Arial" w:cs="Arial"/>
          <w:spacing w:val="-1"/>
        </w:rPr>
        <w:t>HDL</w:t>
      </w:r>
      <w:r>
        <w:rPr>
          <w:rFonts w:ascii="SimSun" w:eastAsia="SimSun" w:hAnsi="SimSun" w:cs="SimSun"/>
          <w:spacing w:val="-1"/>
        </w:rPr>
        <w:t>。</w:t>
      </w:r>
      <w:r>
        <w:rPr>
          <w:spacing w:val="-2"/>
        </w:rPr>
        <w:t>此外，还有一种脂蛋</w:t>
      </w:r>
    </w:p>
    <w:p>
      <w:pPr>
        <w:pStyle w:val="BodyText"/>
        <w:spacing w:before="1" w:line="211" w:lineRule="auto"/>
        <w:ind w:left="13"/>
      </w:pPr>
      <w:r>
        <w:rPr>
          <w:spacing w:val="-1"/>
        </w:rPr>
        <w:t>白称为</w:t>
      </w:r>
      <w:r>
        <w:rPr>
          <w:spacing w:val="-1"/>
        </w:rPr>
        <w:t xml:space="preserve"> </w:t>
      </w:r>
      <w:r>
        <w:rPr>
          <w:rFonts w:ascii="Arial" w:eastAsia="Arial" w:hAnsi="Arial" w:cs="Arial"/>
          <w:spacing w:val="-1"/>
        </w:rPr>
        <w:t>Lp(a)</w:t>
      </w:r>
      <w:r>
        <w:rPr>
          <w:rFonts w:ascii="SimSun" w:eastAsia="SimSun" w:hAnsi="SimSun" w:cs="SimSun"/>
          <w:spacing w:val="-1"/>
        </w:rPr>
        <w:t>。</w:t>
      </w:r>
      <w:r>
        <w:rPr>
          <w:spacing w:val="-1"/>
        </w:rPr>
        <w:t>脂蛋白的物理特性、主要成分、来源和功能见表1。</w:t>
      </w:r>
    </w:p>
    <w:p>
      <w:pPr>
        <w:spacing w:line="300" w:lineRule="auto"/>
        <w:rPr>
          <w:rFonts w:ascii="Arial"/>
          <w:sz w:val="21"/>
        </w:rPr>
      </w:pPr>
    </w:p>
    <w:p>
      <w:pPr>
        <w:spacing w:line="300" w:lineRule="auto"/>
        <w:rPr>
          <w:rFonts w:ascii="Arial"/>
          <w:sz w:val="21"/>
        </w:rPr>
      </w:pPr>
    </w:p>
    <w:p>
      <w:pPr>
        <w:spacing w:line="300" w:lineRule="auto"/>
        <w:rPr>
          <w:rFonts w:ascii="Arial"/>
          <w:sz w:val="21"/>
        </w:rPr>
      </w:pPr>
    </w:p>
    <w:p>
      <w:pPr>
        <w:pStyle w:val="BodyText"/>
        <w:spacing w:before="85" w:line="223" w:lineRule="auto"/>
        <w:ind w:left="13"/>
      </w:pPr>
      <w:r>
        <w:rPr>
          <w:spacing w:val="-4"/>
        </w:rPr>
        <w:t>2.1</w:t>
      </w:r>
      <w:r>
        <w:rPr>
          <w:spacing w:val="76"/>
        </w:rPr>
        <w:t xml:space="preserve"> </w:t>
      </w:r>
      <w:r>
        <w:rPr>
          <w:spacing w:val="-4"/>
        </w:rPr>
        <w:t>乳糜微粒</w:t>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BodyText"/>
        <w:spacing w:before="84" w:line="221" w:lineRule="auto"/>
        <w:ind w:left="13"/>
        <w:rPr>
          <w:rFonts w:ascii="SimSun" w:eastAsia="SimSun" w:hAnsi="SimSun" w:cs="SimSun"/>
        </w:rPr>
      </w:pPr>
      <w:r>
        <w:rPr>
          <w:rFonts w:ascii="Arial" w:eastAsia="Arial" w:hAnsi="Arial" w:cs="Arial"/>
        </w:rPr>
        <w:t>CM</w:t>
      </w:r>
      <w:r>
        <w:rPr>
          <w:rFonts w:ascii="Arial" w:eastAsia="Arial" w:hAnsi="Arial" w:cs="Arial"/>
          <w:spacing w:val="8"/>
        </w:rPr>
        <w:t xml:space="preserve"> </w:t>
      </w:r>
      <w:r>
        <w:rPr>
          <w:spacing w:val="8"/>
        </w:rPr>
        <w:t>由小肠合成是血液中颗粒最大的脂蛋白密度最低,</w:t>
      </w:r>
      <w:r>
        <w:rPr>
          <w:spacing w:val="7"/>
        </w:rPr>
        <w:t>主要成分是</w:t>
      </w:r>
      <w:r>
        <w:rPr>
          <w:spacing w:val="-68"/>
        </w:rPr>
        <w:t xml:space="preserve"> </w:t>
      </w:r>
      <w:r>
        <w:rPr>
          <w:rFonts w:ascii="Arial" w:eastAsia="Arial" w:hAnsi="Arial" w:cs="Arial"/>
        </w:rPr>
        <w:t>TG</w:t>
      </w:r>
      <w:r>
        <w:rPr>
          <w:rFonts w:ascii="SimSun" w:eastAsia="SimSun" w:hAnsi="SimSun" w:cs="SimSun"/>
          <w:spacing w:val="7"/>
        </w:rPr>
        <w:t>。</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4" w:line="221" w:lineRule="auto"/>
        <w:ind w:left="13"/>
      </w:pPr>
      <w:r>
        <w:rPr>
          <w:spacing w:val="-3"/>
        </w:rPr>
        <w:t>2.2</w:t>
      </w:r>
      <w:r>
        <w:rPr>
          <w:spacing w:val="93"/>
        </w:rPr>
        <w:t xml:space="preserve"> </w:t>
      </w:r>
      <w:r>
        <w:rPr>
          <w:spacing w:val="-3"/>
        </w:rPr>
        <w:t>极低密度脂蛋白</w:t>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BodyText"/>
        <w:spacing w:before="85" w:line="220" w:lineRule="auto"/>
        <w:ind w:left="13"/>
        <w:rPr>
          <w:rFonts w:ascii="SimSun" w:eastAsia="SimSun" w:hAnsi="SimSun" w:cs="SimSun"/>
        </w:rPr>
      </w:pPr>
      <w:r>
        <w:rPr>
          <w:rFonts w:ascii="SimSun" w:eastAsia="SimSun" w:hAnsi="SimSun" w:cs="SimSun"/>
        </w:rPr>
        <w:t>VLDL</w:t>
      </w:r>
      <w:r>
        <w:rPr>
          <w:rFonts w:ascii="SimSun" w:eastAsia="SimSun" w:hAnsi="SimSun" w:cs="SimSun"/>
          <w:spacing w:val="29"/>
        </w:rPr>
        <w:t xml:space="preserve"> </w:t>
      </w:r>
      <w:r>
        <w:rPr>
          <w:spacing w:val="29"/>
        </w:rPr>
        <w:t>由肝脏合成其</w:t>
      </w:r>
      <w:r>
        <w:rPr>
          <w:rFonts w:ascii="SimSun" w:eastAsia="SimSun" w:hAnsi="SimSun" w:cs="SimSun"/>
        </w:rPr>
        <w:t>TG</w:t>
      </w:r>
      <w:r>
        <w:rPr>
          <w:rFonts w:ascii="SimSun" w:eastAsia="SimSun" w:hAnsi="SimSun" w:cs="SimSun"/>
          <w:spacing w:val="29"/>
        </w:rPr>
        <w:t xml:space="preserve"> </w:t>
      </w:r>
      <w:r>
        <w:rPr>
          <w:spacing w:val="29"/>
        </w:rPr>
        <w:t>含量约占50%～65%与</w:t>
      </w:r>
      <w:r>
        <w:rPr>
          <w:rFonts w:ascii="SimSun" w:eastAsia="SimSun" w:hAnsi="SimSun" w:cs="SimSun"/>
        </w:rPr>
        <w:t>CM</w:t>
      </w:r>
      <w:r>
        <w:rPr>
          <w:rFonts w:ascii="SimSun" w:eastAsia="SimSun" w:hAnsi="SimSun" w:cs="SimSun"/>
          <w:spacing w:val="29"/>
        </w:rPr>
        <w:t xml:space="preserve">  </w:t>
      </w:r>
      <w:r>
        <w:rPr>
          <w:spacing w:val="29"/>
        </w:rPr>
        <w:t>一起统称为</w:t>
      </w:r>
      <w:r>
        <w:rPr>
          <w:rFonts w:ascii="SimSun" w:eastAsia="SimSun" w:hAnsi="SimSun" w:cs="SimSun"/>
        </w:rPr>
        <w:t>TRL</w:t>
      </w:r>
      <w:r>
        <w:rPr>
          <w:rFonts w:ascii="SimSun" w:eastAsia="SimSun" w:hAnsi="SimSun" w:cs="SimSun"/>
          <w:spacing w:val="29"/>
        </w:rPr>
        <w:t>。</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5" w:line="221" w:lineRule="auto"/>
        <w:ind w:left="13"/>
        <w:sectPr>
          <w:pgSz w:w="11910" w:h="16840"/>
          <w:pgMar w:top="1431" w:right="1786" w:bottom="0" w:left="1786" w:header="0" w:footer="0" w:gutter="0"/>
          <w:pgNumType w:start="5"/>
          <w:cols w:space="708"/>
        </w:sectPr>
      </w:pPr>
      <w:r>
        <w:rPr>
          <w:spacing w:val="-5"/>
        </w:rPr>
        <w:t>2.3</w:t>
      </w:r>
      <w:r>
        <w:rPr>
          <w:spacing w:val="88"/>
        </w:rPr>
        <w:t xml:space="preserve"> </w:t>
      </w:r>
      <w:r>
        <w:rPr>
          <w:spacing w:val="-5"/>
        </w:rPr>
        <w:t>低密度脂蛋白</w:t>
      </w: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4" w:line="610" w:lineRule="exact"/>
        <w:ind w:left="13"/>
      </w:pPr>
      <w:r>
        <w:rPr>
          <w:rFonts w:ascii="Arial" w:eastAsia="Arial" w:hAnsi="Arial" w:cs="Arial"/>
          <w:position w:val="27"/>
        </w:rPr>
        <w:t>LDL</w:t>
      </w:r>
      <w:r>
        <w:rPr>
          <w:rFonts w:ascii="Arial" w:eastAsia="Arial" w:hAnsi="Arial" w:cs="Arial"/>
          <w:spacing w:val="8"/>
          <w:position w:val="27"/>
        </w:rPr>
        <w:t xml:space="preserve"> </w:t>
      </w:r>
      <w:r>
        <w:rPr>
          <w:spacing w:val="8"/>
          <w:position w:val="27"/>
        </w:rPr>
        <w:t>由</w:t>
      </w:r>
      <w:r>
        <w:rPr>
          <w:spacing w:val="8"/>
          <w:position w:val="27"/>
        </w:rPr>
        <w:t xml:space="preserve"> </w:t>
      </w:r>
      <w:r>
        <w:rPr>
          <w:rFonts w:ascii="Arial" w:eastAsia="Arial" w:hAnsi="Arial" w:cs="Arial"/>
          <w:position w:val="27"/>
        </w:rPr>
        <w:t>VLDL</w:t>
      </w:r>
      <w:r>
        <w:rPr>
          <w:rFonts w:ascii="Arial" w:eastAsia="Arial" w:hAnsi="Arial" w:cs="Arial"/>
          <w:spacing w:val="-12"/>
          <w:position w:val="27"/>
        </w:rPr>
        <w:t xml:space="preserve"> </w:t>
      </w:r>
      <w:r>
        <w:rPr>
          <w:spacing w:val="8"/>
          <w:position w:val="27"/>
        </w:rPr>
        <w:t>转化而来，</w:t>
      </w:r>
      <w:r>
        <w:rPr>
          <w:rFonts w:ascii="Arial" w:eastAsia="Arial" w:hAnsi="Arial" w:cs="Arial"/>
          <w:position w:val="27"/>
        </w:rPr>
        <w:t>LDL</w:t>
      </w:r>
      <w:r>
        <w:rPr>
          <w:rFonts w:ascii="Arial" w:eastAsia="Arial" w:hAnsi="Arial" w:cs="Arial"/>
          <w:spacing w:val="8"/>
          <w:position w:val="27"/>
        </w:rPr>
        <w:t xml:space="preserve"> </w:t>
      </w:r>
      <w:r>
        <w:rPr>
          <w:spacing w:val="8"/>
          <w:position w:val="27"/>
        </w:rPr>
        <w:t>颗粒中约含50%的胆固醇，是血液中胆固</w:t>
      </w:r>
    </w:p>
    <w:p>
      <w:pPr>
        <w:pStyle w:val="BodyText"/>
        <w:spacing w:before="2" w:line="212" w:lineRule="auto"/>
        <w:ind w:left="13"/>
      </w:pPr>
      <w:r>
        <w:rPr>
          <w:spacing w:val="-2"/>
        </w:rPr>
        <w:t>醇含量最多的脂蛋白，故称为富含胆固醇的脂蛋白。</w:t>
      </w:r>
    </w:p>
    <w:p>
      <w:pPr>
        <w:spacing w:line="212" w:lineRule="auto"/>
        <w:sectPr>
          <w:type w:val="nextPage"/>
          <w:pgSz w:w="11910" w:h="16840"/>
          <w:pgMar w:top="1431" w:right="1786" w:bottom="0" w:left="1786" w:header="0" w:footer="0" w:gutter="0"/>
          <w:pgNumType w:start="6"/>
          <w:cols w:space="708"/>
          <w:titlePg w:val="0"/>
        </w:sectPr>
      </w:pPr>
    </w:p>
    <w:p>
      <w:pPr>
        <w:pStyle w:val="BodyText"/>
        <w:spacing w:before="196" w:line="221" w:lineRule="auto"/>
        <w:ind w:left="13"/>
      </w:pPr>
      <w:r>
        <w:rPr>
          <w:spacing w:val="-4"/>
        </w:rPr>
        <w:t>2.4</w:t>
      </w:r>
      <w:r>
        <w:rPr>
          <w:spacing w:val="109"/>
        </w:rPr>
        <w:t xml:space="preserve"> </w:t>
      </w:r>
      <w:r>
        <w:rPr>
          <w:spacing w:val="-4"/>
        </w:rPr>
        <w:t>高密度脂蛋白</w:t>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BodyText"/>
        <w:spacing w:before="84" w:line="633" w:lineRule="exact"/>
        <w:ind w:left="13"/>
      </w:pPr>
      <w:r>
        <w:rPr>
          <w:rFonts w:ascii="Times New Roman" w:eastAsia="Times New Roman" w:hAnsi="Times New Roman" w:cs="Times New Roman"/>
          <w:spacing w:val="-2"/>
          <w:position w:val="29"/>
        </w:rPr>
        <w:t>HDL</w:t>
      </w:r>
      <w:r>
        <w:rPr>
          <w:spacing w:val="-2"/>
          <w:position w:val="29"/>
        </w:rPr>
        <w:t>主要由肝脏和小肠合成，为颗粒最小的脂蛋白，其中脂质和蛋白质部</w:t>
      </w:r>
    </w:p>
    <w:p>
      <w:pPr>
        <w:pStyle w:val="BodyText"/>
        <w:spacing w:line="222" w:lineRule="auto"/>
        <w:ind w:left="13"/>
      </w:pPr>
      <w:r>
        <w:rPr>
          <w:spacing w:val="-5"/>
        </w:rPr>
        <w:t>分几乎各占一半。</w:t>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85" w:line="354" w:lineRule="exact"/>
        <w:ind w:left="13"/>
        <w:rPr>
          <w:rFonts w:ascii="Arial" w:eastAsia="Arial" w:hAnsi="Arial" w:cs="Arial"/>
        </w:rPr>
      </w:pPr>
      <w:r>
        <w:rPr>
          <w:spacing w:val="-4"/>
          <w:position w:val="3"/>
        </w:rPr>
        <w:t>2.5</w:t>
      </w:r>
      <w:r>
        <w:rPr>
          <w:spacing w:val="98"/>
          <w:position w:val="3"/>
        </w:rPr>
        <w:t xml:space="preserve"> </w:t>
      </w:r>
      <w:r>
        <w:rPr>
          <w:spacing w:val="-4"/>
          <w:position w:val="3"/>
        </w:rPr>
        <w:t>脂蛋白</w:t>
      </w:r>
      <w:r>
        <w:rPr>
          <w:spacing w:val="-25"/>
          <w:position w:val="3"/>
        </w:rPr>
        <w:t xml:space="preserve"> </w:t>
      </w:r>
      <w:r>
        <w:rPr>
          <w:rFonts w:ascii="Arial" w:eastAsia="Arial" w:hAnsi="Arial" w:cs="Arial"/>
          <w:spacing w:val="-4"/>
          <w:position w:val="3"/>
        </w:rPr>
        <w:t>(a)</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pStyle w:val="BodyText"/>
        <w:spacing w:before="85" w:line="213" w:lineRule="auto"/>
        <w:ind w:left="13"/>
      </w:pPr>
      <w:r>
        <w:rPr>
          <w:rFonts w:ascii="SimSun" w:eastAsia="SimSun" w:hAnsi="SimSun" w:cs="SimSun"/>
          <w:spacing w:val="-1"/>
        </w:rPr>
        <w:t>Lp(a)</w:t>
      </w:r>
      <w:r>
        <w:rPr>
          <w:spacing w:val="-1"/>
        </w:rPr>
        <w:t>由</w:t>
      </w:r>
      <w:r>
        <w:rPr>
          <w:spacing w:val="-1"/>
        </w:rPr>
        <w:t xml:space="preserve"> </w:t>
      </w:r>
      <w:r>
        <w:rPr>
          <w:rFonts w:ascii="SimSun" w:eastAsia="SimSun" w:hAnsi="SimSun" w:cs="SimSun"/>
          <w:spacing w:val="-1"/>
        </w:rPr>
        <w:t xml:space="preserve">LDL </w:t>
      </w:r>
      <w:r>
        <w:rPr>
          <w:spacing w:val="-1"/>
        </w:rPr>
        <w:t>样颗粒和</w:t>
      </w:r>
      <w:r>
        <w:rPr>
          <w:spacing w:val="-1"/>
        </w:rPr>
        <w:t xml:space="preserve"> </w:t>
      </w:r>
      <w:r>
        <w:rPr>
          <w:rFonts w:ascii="SimSun" w:eastAsia="SimSun" w:hAnsi="SimSun" w:cs="SimSun"/>
          <w:spacing w:val="-1"/>
        </w:rPr>
        <w:t>Apo(a)</w:t>
      </w:r>
      <w:r>
        <w:rPr>
          <w:rFonts w:ascii="SimSun" w:eastAsia="SimSun" w:hAnsi="SimSun" w:cs="SimSun"/>
          <w:spacing w:val="-66"/>
        </w:rPr>
        <w:t xml:space="preserve"> </w:t>
      </w:r>
      <w:r>
        <w:rPr>
          <w:spacing w:val="-1"/>
        </w:rPr>
        <w:t>组成，两者以二硫键共价结合。</w:t>
      </w: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5" w:line="222" w:lineRule="auto"/>
        <w:ind w:left="13"/>
      </w:pPr>
      <w:r>
        <w:rPr>
          <w:spacing w:val="-4"/>
        </w:rPr>
        <w:t>2.6</w:t>
      </w:r>
      <w:r>
        <w:rPr>
          <w:spacing w:val="115"/>
        </w:rPr>
        <w:t xml:space="preserve"> </w:t>
      </w:r>
      <w:r>
        <w:rPr>
          <w:spacing w:val="-4"/>
        </w:rPr>
        <w:t>富含甘油三酯的脂蛋白</w:t>
      </w: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15" w:lineRule="auto"/>
        <w:ind w:left="13"/>
      </w:pPr>
      <w:r>
        <w:rPr>
          <w:rFonts w:ascii="Arial" w:eastAsia="Arial" w:hAnsi="Arial" w:cs="Arial"/>
        </w:rPr>
        <w:t>TRL</w:t>
      </w:r>
      <w:r>
        <w:rPr>
          <w:spacing w:val="1"/>
        </w:rPr>
        <w:t>包含</w:t>
      </w:r>
      <w:r>
        <w:rPr>
          <w:rFonts w:ascii="Arial" w:eastAsia="Arial" w:hAnsi="Arial" w:cs="Arial"/>
        </w:rPr>
        <w:t>CM</w:t>
      </w:r>
      <w:r>
        <w:rPr>
          <w:rFonts w:ascii="Arial" w:eastAsia="Arial" w:hAnsi="Arial" w:cs="Arial"/>
          <w:spacing w:val="1"/>
        </w:rPr>
        <w:t xml:space="preserve"> </w:t>
      </w:r>
      <w:r>
        <w:rPr>
          <w:spacing w:val="1"/>
        </w:rPr>
        <w:t>与</w:t>
      </w:r>
      <w:r>
        <w:rPr>
          <w:spacing w:val="53"/>
        </w:rPr>
        <w:t xml:space="preserve"> </w:t>
      </w:r>
      <w:r>
        <w:rPr>
          <w:rFonts w:ascii="Arial" w:eastAsia="Arial" w:hAnsi="Arial" w:cs="Arial"/>
        </w:rPr>
        <w:t>VLDL</w:t>
      </w:r>
      <w:r>
        <w:rPr>
          <w:rFonts w:ascii="Arial" w:eastAsia="Arial" w:hAnsi="Arial" w:cs="Arial"/>
          <w:spacing w:val="1"/>
        </w:rPr>
        <w:t>,</w:t>
      </w:r>
      <w:r>
        <w:rPr>
          <w:rFonts w:ascii="Arial" w:eastAsia="Arial" w:hAnsi="Arial" w:cs="Arial"/>
        </w:rPr>
        <w:t>TG</w:t>
      </w:r>
      <w:r>
        <w:rPr>
          <w:rFonts w:ascii="Arial" w:eastAsia="Arial" w:hAnsi="Arial" w:cs="Arial"/>
          <w:spacing w:val="22"/>
        </w:rPr>
        <w:t xml:space="preserve">  </w:t>
      </w:r>
      <w:r>
        <w:rPr>
          <w:spacing w:val="1"/>
        </w:rPr>
        <w:t>含量丰富。</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BodyText"/>
        <w:spacing w:before="85" w:line="222" w:lineRule="auto"/>
        <w:ind w:left="13"/>
      </w:pPr>
      <w:r>
        <w:rPr>
          <w:spacing w:val="1"/>
        </w:rPr>
        <w:t>3</w:t>
      </w:r>
      <w:r>
        <w:rPr>
          <w:spacing w:val="83"/>
        </w:rPr>
        <w:t xml:space="preserve"> </w:t>
      </w:r>
      <w:r>
        <w:rPr>
          <w:spacing w:val="1"/>
        </w:rPr>
        <w:t>血脂检测项目</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BodyText"/>
        <w:spacing w:before="85" w:line="222" w:lineRule="auto"/>
        <w:ind w:left="13"/>
      </w:pPr>
      <w:r>
        <w:rPr>
          <w:spacing w:val="-2"/>
        </w:rPr>
        <w:t>要点提示</w:t>
      </w:r>
    </w:p>
    <w:p>
      <w:pPr>
        <w:spacing w:line="245" w:lineRule="auto"/>
        <w:rPr>
          <w:rFonts w:ascii="Arial"/>
          <w:sz w:val="21"/>
        </w:rPr>
      </w:pPr>
    </w:p>
    <w:p>
      <w:pPr>
        <w:pStyle w:val="BodyText"/>
        <w:spacing w:before="85" w:line="640" w:lineRule="exact"/>
        <w:ind w:left="123"/>
        <w:rPr>
          <w:rFonts w:ascii="SimSun" w:eastAsia="SimSun" w:hAnsi="SimSun" w:cs="SimSun"/>
        </w:rPr>
        <w:sectPr>
          <w:pgSz w:w="11910" w:h="16840"/>
          <w:pgMar w:top="1431" w:right="1786" w:bottom="0" w:left="1786" w:header="0" w:footer="0" w:gutter="0"/>
          <w:pgNumType w:start="7"/>
          <w:cols w:space="708"/>
        </w:sectPr>
      </w:pPr>
      <w:r>
        <w:rPr>
          <w:spacing w:val="4"/>
          <w:position w:val="29"/>
        </w:rPr>
        <w:t>(1)临床血脂检测的常规项目包括</w:t>
      </w:r>
      <w:r>
        <w:rPr>
          <w:rFonts w:ascii="SimSun" w:eastAsia="SimSun" w:hAnsi="SimSun" w:cs="SimSun"/>
          <w:position w:val="29"/>
        </w:rPr>
        <w:t>TC</w:t>
      </w:r>
      <w:r>
        <w:rPr>
          <w:rFonts w:ascii="SimSun" w:eastAsia="SimSun" w:hAnsi="SimSun" w:cs="SimSun"/>
          <w:spacing w:val="4"/>
          <w:position w:val="29"/>
        </w:rPr>
        <w:t>、</w:t>
      </w:r>
      <w:r>
        <w:rPr>
          <w:rFonts w:ascii="SimSun" w:eastAsia="SimSun" w:hAnsi="SimSun" w:cs="SimSun"/>
          <w:position w:val="29"/>
        </w:rPr>
        <w:t>TG</w:t>
      </w:r>
      <w:r>
        <w:rPr>
          <w:rFonts w:ascii="SimSun" w:eastAsia="SimSun" w:hAnsi="SimSun" w:cs="SimSun"/>
          <w:spacing w:val="4"/>
          <w:position w:val="29"/>
        </w:rPr>
        <w:t>、</w:t>
      </w:r>
      <w:r>
        <w:rPr>
          <w:rFonts w:ascii="SimSun" w:eastAsia="SimSun" w:hAnsi="SimSun" w:cs="SimSun"/>
          <w:position w:val="29"/>
        </w:rPr>
        <w:t>LDL</w:t>
      </w:r>
      <w:r>
        <w:rPr>
          <w:rFonts w:ascii="SimSun" w:eastAsia="SimSun" w:hAnsi="SimSun" w:cs="SimSun"/>
          <w:spacing w:val="4"/>
          <w:position w:val="29"/>
        </w:rPr>
        <w:t xml:space="preserve">-C </w:t>
      </w:r>
      <w:r>
        <w:rPr>
          <w:spacing w:val="4"/>
          <w:position w:val="29"/>
        </w:rPr>
        <w:t>和</w:t>
      </w:r>
      <w:r>
        <w:rPr>
          <w:spacing w:val="-39"/>
          <w:position w:val="29"/>
        </w:rPr>
        <w:t xml:space="preserve"> </w:t>
      </w:r>
      <w:r>
        <w:rPr>
          <w:rFonts w:ascii="SimSun" w:eastAsia="SimSun" w:hAnsi="SimSun" w:cs="SimSun"/>
          <w:position w:val="29"/>
        </w:rPr>
        <w:t>HDL</w:t>
      </w:r>
      <w:r>
        <w:rPr>
          <w:rFonts w:ascii="SimSun" w:eastAsia="SimSun" w:hAnsi="SimSun" w:cs="SimSun"/>
          <w:spacing w:val="4"/>
          <w:position w:val="29"/>
        </w:rPr>
        <w:t>-C;</w:t>
      </w:r>
      <w:r>
        <w:rPr>
          <w:rFonts w:ascii="SimSun" w:eastAsia="SimSun" w:hAnsi="SimSun" w:cs="SimSun"/>
          <w:position w:val="29"/>
        </w:rPr>
        <w:t>ApoA</w:t>
      </w:r>
      <w:r>
        <w:rPr>
          <w:rFonts w:ascii="SimSun" w:eastAsia="SimSun" w:hAnsi="SimSun" w:cs="SimSun"/>
          <w:spacing w:val="4"/>
          <w:position w:val="29"/>
        </w:rPr>
        <w:t>1、</w:t>
      </w:r>
    </w:p>
    <w:p>
      <w:pPr>
        <w:pStyle w:val="BodyText"/>
        <w:spacing w:line="217" w:lineRule="auto"/>
        <w:ind w:left="13"/>
      </w:pPr>
      <w:r>
        <w:rPr>
          <w:rFonts w:ascii="SimSun" w:eastAsia="SimSun" w:hAnsi="SimSun" w:cs="SimSun"/>
          <w:spacing w:val="-2"/>
        </w:rPr>
        <w:t xml:space="preserve">ApoB、Lp(a) </w:t>
      </w:r>
      <w:r>
        <w:rPr>
          <w:spacing w:val="-2"/>
        </w:rPr>
        <w:t>等已被越来越多临床实验室作为血脂检测项目。</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85" w:line="213" w:lineRule="auto"/>
        <w:ind w:left="113"/>
      </w:pPr>
      <w:r>
        <w:rPr>
          <w:spacing w:val="-5"/>
        </w:rPr>
        <w:t>(</w:t>
      </w:r>
      <w:r>
        <w:rPr>
          <w:spacing w:val="-31"/>
        </w:rPr>
        <w:t xml:space="preserve"> </w:t>
      </w:r>
      <w:r>
        <w:rPr>
          <w:spacing w:val="-5"/>
        </w:rPr>
        <w:t>2</w:t>
      </w:r>
      <w:r>
        <w:rPr>
          <w:spacing w:val="-45"/>
        </w:rPr>
        <w:t xml:space="preserve"> </w:t>
      </w:r>
      <w:r>
        <w:rPr>
          <w:spacing w:val="-5"/>
        </w:rPr>
        <w:t>)</w:t>
      </w:r>
      <w:r>
        <w:rPr>
          <w:spacing w:val="-37"/>
        </w:rPr>
        <w:t xml:space="preserve"> </w:t>
      </w:r>
      <w:r>
        <w:rPr>
          <w:spacing w:val="-5"/>
        </w:rPr>
        <w:t>非</w:t>
      </w:r>
      <w:r>
        <w:rPr>
          <w:spacing w:val="-58"/>
        </w:rPr>
        <w:t xml:space="preserve"> </w:t>
      </w:r>
      <w:r>
        <w:rPr>
          <w:rFonts w:ascii="SimSun" w:eastAsia="SimSun" w:hAnsi="SimSun" w:cs="SimSun"/>
          <w:spacing w:val="-5"/>
        </w:rPr>
        <w:t>HDL-C</w:t>
      </w:r>
      <w:r>
        <w:rPr>
          <w:rFonts w:ascii="SimSun" w:eastAsia="SimSun" w:hAnsi="SimSun" w:cs="SimSun"/>
          <w:spacing w:val="74"/>
        </w:rPr>
        <w:t xml:space="preserve"> </w:t>
      </w:r>
      <w:r>
        <w:rPr>
          <w:spacing w:val="-5"/>
        </w:rPr>
        <w:t>可通过计算获得，是降脂治疗的次要干预靶点。</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BodyText"/>
        <w:spacing w:before="86" w:line="222" w:lineRule="auto"/>
        <w:ind w:left="13"/>
      </w:pPr>
      <w:r>
        <w:rPr>
          <w:spacing w:val="-1"/>
        </w:rPr>
        <w:t>临床上血脂检测的常规项目为</w:t>
      </w:r>
      <w:r>
        <w:rPr>
          <w:spacing w:val="-54"/>
        </w:rPr>
        <w:t xml:space="preserve"> </w:t>
      </w:r>
      <w:r>
        <w:rPr>
          <w:rFonts w:ascii="Arial" w:eastAsia="Arial" w:hAnsi="Arial" w:cs="Arial"/>
          <w:spacing w:val="-1"/>
        </w:rPr>
        <w:t>TC</w:t>
      </w:r>
      <w:r>
        <w:rPr>
          <w:rFonts w:ascii="SimSun" w:eastAsia="SimSun" w:hAnsi="SimSun" w:cs="SimSun"/>
          <w:spacing w:val="-1"/>
        </w:rPr>
        <w:t>、</w:t>
      </w:r>
      <w:r>
        <w:rPr>
          <w:rFonts w:ascii="Arial" w:eastAsia="Arial" w:hAnsi="Arial" w:cs="Arial"/>
          <w:spacing w:val="-1"/>
        </w:rPr>
        <w:t>TG</w:t>
      </w:r>
      <w:r>
        <w:rPr>
          <w:rFonts w:ascii="SimSun" w:eastAsia="SimSun" w:hAnsi="SimSun" w:cs="SimSun"/>
          <w:spacing w:val="-1"/>
        </w:rPr>
        <w:t>、</w:t>
      </w:r>
      <w:r>
        <w:rPr>
          <w:rFonts w:ascii="Arial" w:eastAsia="Arial" w:hAnsi="Arial" w:cs="Arial"/>
          <w:spacing w:val="-1"/>
        </w:rPr>
        <w:t>LDL-C</w:t>
      </w:r>
      <w:r>
        <w:rPr>
          <w:spacing w:val="-1"/>
        </w:rPr>
        <w:t>和</w:t>
      </w:r>
      <w:r>
        <w:rPr>
          <w:spacing w:val="-29"/>
        </w:rPr>
        <w:t xml:space="preserve"> </w:t>
      </w:r>
      <w:r>
        <w:rPr>
          <w:rFonts w:ascii="Arial" w:eastAsia="Arial" w:hAnsi="Arial" w:cs="Arial"/>
          <w:spacing w:val="-1"/>
        </w:rPr>
        <w:t>HDL-C</w:t>
      </w:r>
      <w:r>
        <w:rPr>
          <w:rFonts w:ascii="Arial" w:eastAsia="Arial" w:hAnsi="Arial" w:cs="Arial"/>
          <w:spacing w:val="-37"/>
        </w:rPr>
        <w:t xml:space="preserve"> </w:t>
      </w:r>
      <w:r>
        <w:rPr>
          <w:rFonts w:ascii="SimSun" w:eastAsia="SimSun" w:hAnsi="SimSun" w:cs="SimSun"/>
          <w:spacing w:val="-1"/>
        </w:rPr>
        <w:t>。</w:t>
      </w:r>
      <w:r>
        <w:rPr>
          <w:spacing w:val="-1"/>
        </w:rPr>
        <w:t>利用</w:t>
      </w:r>
      <w:r>
        <w:rPr>
          <w:rFonts w:ascii="Arial" w:eastAsia="Arial" w:hAnsi="Arial" w:cs="Arial"/>
          <w:spacing w:val="-1"/>
        </w:rPr>
        <w:t>TC</w:t>
      </w:r>
      <w:r>
        <w:rPr>
          <w:rFonts w:ascii="Arial" w:eastAsia="Arial" w:hAnsi="Arial" w:cs="Arial"/>
          <w:spacing w:val="-32"/>
        </w:rPr>
        <w:t xml:space="preserve"> </w:t>
      </w:r>
      <w:r>
        <w:rPr>
          <w:spacing w:val="-1"/>
        </w:rPr>
        <w:t>减去</w:t>
      </w:r>
    </w:p>
    <w:p>
      <w:pPr>
        <w:spacing w:line="222" w:lineRule="auto"/>
        <w:sectPr>
          <w:type w:val="nextPage"/>
          <w:pgSz w:w="11910" w:h="16840"/>
          <w:pgMar w:top="1431" w:right="1786" w:bottom="0" w:left="1786" w:header="0" w:footer="0" w:gutter="0"/>
          <w:pgNumType w:start="8"/>
          <w:cols w:space="708"/>
          <w:titlePg w:val="0"/>
        </w:sectPr>
      </w:pPr>
    </w:p>
    <w:p>
      <w:pPr>
        <w:pStyle w:val="BodyText"/>
        <w:spacing w:before="198" w:line="215" w:lineRule="auto"/>
        <w:ind w:left="13"/>
      </w:pPr>
      <w:r>
        <w:rPr>
          <w:rFonts w:ascii="Arial" w:eastAsia="Arial" w:hAnsi="Arial" w:cs="Arial"/>
          <w:spacing w:val="-3"/>
        </w:rPr>
        <w:t>HDL-C,</w:t>
      </w:r>
      <w:r>
        <w:rPr>
          <w:rFonts w:ascii="Arial" w:eastAsia="Arial" w:hAnsi="Arial" w:cs="Arial"/>
          <w:spacing w:val="27"/>
          <w:w w:val="101"/>
        </w:rPr>
        <w:t xml:space="preserve">  </w:t>
      </w:r>
      <w:r>
        <w:rPr>
          <w:spacing w:val="-3"/>
        </w:rPr>
        <w:t>即可获得非</w:t>
      </w:r>
      <w:r>
        <w:rPr>
          <w:spacing w:val="-58"/>
        </w:rPr>
        <w:t xml:space="preserve"> </w:t>
      </w:r>
      <w:r>
        <w:rPr>
          <w:rFonts w:ascii="Arial" w:eastAsia="Arial" w:hAnsi="Arial" w:cs="Arial"/>
          <w:spacing w:val="-3"/>
        </w:rPr>
        <w:t>HDL-C,</w:t>
      </w:r>
      <w:r>
        <w:rPr>
          <w:rFonts w:ascii="Arial" w:eastAsia="Arial" w:hAnsi="Arial" w:cs="Arial"/>
          <w:spacing w:val="30"/>
        </w:rPr>
        <w:t xml:space="preserve">  </w:t>
      </w:r>
      <w:r>
        <w:rPr>
          <w:spacing w:val="-3"/>
        </w:rPr>
        <w:t>非常简便实用。</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BodyText"/>
        <w:spacing w:before="84" w:line="221" w:lineRule="auto"/>
        <w:ind w:left="13"/>
      </w:pPr>
      <w:r>
        <w:rPr>
          <w:spacing w:val="-6"/>
        </w:rPr>
        <w:t>3.1</w:t>
      </w:r>
      <w:r>
        <w:rPr>
          <w:spacing w:val="90"/>
        </w:rPr>
        <w:t xml:space="preserve"> </w:t>
      </w:r>
      <w:r>
        <w:rPr>
          <w:spacing w:val="-6"/>
        </w:rPr>
        <w:t>总胆固醇</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4" w:line="221" w:lineRule="auto"/>
        <w:jc w:val="right"/>
      </w:pPr>
      <w:r>
        <w:rPr>
          <w:rFonts w:ascii="SimSun" w:eastAsia="SimSun" w:hAnsi="SimSun" w:cs="SimSun"/>
        </w:rPr>
        <w:t>TC</w:t>
      </w:r>
      <w:r>
        <w:rPr>
          <w:rFonts w:ascii="SimSun" w:eastAsia="SimSun" w:hAnsi="SimSun" w:cs="SimSun"/>
          <w:spacing w:val="-31"/>
        </w:rPr>
        <w:t xml:space="preserve"> </w:t>
      </w:r>
      <w:r>
        <w:rPr>
          <w:spacing w:val="5"/>
        </w:rPr>
        <w:t>是指血液中各脂蛋白所含胆固醇之总和。影响</w:t>
      </w:r>
      <w:r>
        <w:rPr>
          <w:rFonts w:ascii="SimSun" w:eastAsia="SimSun" w:hAnsi="SimSun" w:cs="SimSun"/>
        </w:rPr>
        <w:t>TC</w:t>
      </w:r>
      <w:r>
        <w:rPr>
          <w:rFonts w:ascii="SimSun" w:eastAsia="SimSun" w:hAnsi="SimSun" w:cs="SimSun"/>
          <w:spacing w:val="5"/>
        </w:rPr>
        <w:t xml:space="preserve"> </w:t>
      </w:r>
      <w:r>
        <w:rPr>
          <w:spacing w:val="5"/>
        </w:rPr>
        <w:t>水平的主要因素有：</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84" w:line="630" w:lineRule="exact"/>
        <w:ind w:left="113"/>
      </w:pPr>
      <w:r>
        <w:rPr>
          <w:spacing w:val="8"/>
          <w:position w:val="28"/>
        </w:rPr>
        <w:t>(1)年龄与性别：</w:t>
      </w:r>
      <w:r>
        <w:rPr>
          <w:spacing w:val="8"/>
          <w:position w:val="28"/>
        </w:rPr>
        <w:t xml:space="preserve"> </w:t>
      </w:r>
      <w:r>
        <w:rPr>
          <w:rFonts w:ascii="SimSun" w:eastAsia="SimSun" w:hAnsi="SimSun" w:cs="SimSun"/>
          <w:position w:val="28"/>
        </w:rPr>
        <w:t>TC</w:t>
      </w:r>
      <w:r>
        <w:rPr>
          <w:rFonts w:ascii="SimSun" w:eastAsia="SimSun" w:hAnsi="SimSun" w:cs="SimSun"/>
          <w:spacing w:val="8"/>
          <w:position w:val="28"/>
        </w:rPr>
        <w:t xml:space="preserve"> </w:t>
      </w:r>
      <w:r>
        <w:rPr>
          <w:spacing w:val="8"/>
          <w:position w:val="28"/>
        </w:rPr>
        <w:t>水平常随增龄而增高，但到70岁后不再上升甚或</w:t>
      </w:r>
    </w:p>
    <w:p>
      <w:pPr>
        <w:pStyle w:val="BodyText"/>
        <w:spacing w:before="1" w:line="212" w:lineRule="auto"/>
        <w:ind w:left="13"/>
      </w:pPr>
      <w:r>
        <w:t>有所下降，中青年女性低于男性，女性绝经后</w:t>
      </w:r>
      <w:r>
        <w:rPr>
          <w:rFonts w:ascii="SimSun" w:eastAsia="SimSun" w:hAnsi="SimSun" w:cs="SimSun"/>
        </w:rPr>
        <w:t xml:space="preserve">TC </w:t>
      </w:r>
      <w:r>
        <w:rPr>
          <w:spacing w:val="-1"/>
        </w:rPr>
        <w:t>水平较同年龄男性高。</w:t>
      </w: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pStyle w:val="BodyText"/>
        <w:spacing w:before="85" w:line="221" w:lineRule="auto"/>
        <w:ind w:left="113"/>
      </w:pPr>
      <w:r>
        <w:rPr>
          <w:spacing w:val="10"/>
        </w:rPr>
        <w:t>(2)饮食习惯：长期高胆固醇、高饱和脂肪酸摄入</w:t>
      </w:r>
      <w:r>
        <w:rPr>
          <w:spacing w:val="9"/>
        </w:rPr>
        <w:t>可造成</w:t>
      </w:r>
      <w:r>
        <w:rPr>
          <w:rFonts w:ascii="Arial" w:eastAsia="Arial" w:hAnsi="Arial" w:cs="Arial"/>
        </w:rPr>
        <w:t>TC</w:t>
      </w:r>
      <w:r>
        <w:rPr>
          <w:spacing w:val="9"/>
        </w:rPr>
        <w:t>升高。</w:t>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BodyText"/>
        <w:spacing w:before="84" w:line="623" w:lineRule="exact"/>
        <w:ind w:left="113"/>
      </w:pPr>
      <w:r>
        <w:rPr>
          <w:spacing w:val="8"/>
          <w:position w:val="28"/>
        </w:rPr>
        <w:t>(3)遗传因素：与脂蛋白代谢相关酶或受体基因</w:t>
      </w:r>
      <w:r>
        <w:rPr>
          <w:spacing w:val="7"/>
          <w:position w:val="28"/>
        </w:rPr>
        <w:t>发生突变，是</w:t>
      </w:r>
      <w:r>
        <w:rPr>
          <w:spacing w:val="-29"/>
          <w:position w:val="28"/>
        </w:rPr>
        <w:t xml:space="preserve"> </w:t>
      </w:r>
      <w:r>
        <w:rPr>
          <w:rFonts w:ascii="SimSun" w:eastAsia="SimSun" w:hAnsi="SimSun" w:cs="SimSun"/>
          <w:position w:val="28"/>
        </w:rPr>
        <w:t>TC</w:t>
      </w:r>
      <w:r>
        <w:rPr>
          <w:rFonts w:ascii="SimSun" w:eastAsia="SimSun" w:hAnsi="SimSun" w:cs="SimSun"/>
          <w:spacing w:val="57"/>
          <w:position w:val="28"/>
        </w:rPr>
        <w:t xml:space="preserve"> </w:t>
      </w:r>
      <w:r>
        <w:rPr>
          <w:spacing w:val="7"/>
          <w:position w:val="28"/>
        </w:rPr>
        <w:t>显著</w:t>
      </w:r>
    </w:p>
    <w:p>
      <w:pPr>
        <w:pStyle w:val="BodyText"/>
        <w:spacing w:before="1" w:line="222" w:lineRule="auto"/>
        <w:ind w:left="13"/>
      </w:pPr>
      <w:r>
        <w:rPr>
          <w:spacing w:val="-5"/>
        </w:rPr>
        <w:t>升高的主要原因。</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4" w:line="213" w:lineRule="auto"/>
        <w:ind w:left="13"/>
      </w:pPr>
      <w:r>
        <w:rPr>
          <w:spacing w:val="-1"/>
        </w:rPr>
        <w:t>空腹或非空腹血标本均可用于</w:t>
      </w:r>
      <w:r>
        <w:rPr>
          <w:rFonts w:ascii="SimSun" w:eastAsia="SimSun" w:hAnsi="SimSun" w:cs="SimSun"/>
          <w:spacing w:val="-1"/>
        </w:rPr>
        <w:t xml:space="preserve">TC </w:t>
      </w:r>
      <w:r>
        <w:rPr>
          <w:spacing w:val="-1"/>
        </w:rPr>
        <w:t>检测，结果无明显差别。</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pStyle w:val="BodyText"/>
        <w:spacing w:before="85" w:line="222" w:lineRule="auto"/>
        <w:ind w:left="13"/>
      </w:pPr>
      <w:r>
        <w:rPr>
          <w:spacing w:val="-7"/>
        </w:rPr>
        <w:t>3.2</w:t>
      </w:r>
      <w:r>
        <w:rPr>
          <w:spacing w:val="80"/>
        </w:rPr>
        <w:t xml:space="preserve"> </w:t>
      </w:r>
      <w:r>
        <w:rPr>
          <w:spacing w:val="-7"/>
        </w:rPr>
        <w:t>甘油三酯</w:t>
      </w:r>
    </w:p>
    <w:p>
      <w:pPr>
        <w:spacing w:line="278" w:lineRule="auto"/>
        <w:rPr>
          <w:rFonts w:ascii="Arial"/>
          <w:sz w:val="21"/>
        </w:rPr>
      </w:pPr>
    </w:p>
    <w:p>
      <w:pPr>
        <w:spacing w:line="279" w:lineRule="auto"/>
        <w:rPr>
          <w:rFonts w:ascii="Arial"/>
          <w:sz w:val="21"/>
        </w:rPr>
        <w:sectPr>
          <w:pgSz w:w="11910" w:h="16840"/>
          <w:pgMar w:top="1431" w:right="1669" w:bottom="0" w:left="1786" w:header="0" w:footer="0" w:gutter="0"/>
          <w:pgNumType w:start="9"/>
          <w:cols w:space="708"/>
        </w:sectPr>
      </w:pPr>
    </w:p>
    <w:p>
      <w:pPr>
        <w:spacing w:line="279" w:lineRule="auto"/>
        <w:rPr>
          <w:rFonts w:ascii="Arial"/>
          <w:sz w:val="21"/>
        </w:rPr>
      </w:pPr>
    </w:p>
    <w:p>
      <w:pPr>
        <w:pStyle w:val="BodyText"/>
        <w:spacing w:before="85" w:line="440" w:lineRule="auto"/>
        <w:ind w:left="13" w:right="134"/>
        <w:jc w:val="both"/>
      </w:pPr>
      <w:r>
        <w:rPr>
          <w:rFonts w:ascii="SimSun" w:eastAsia="SimSun" w:hAnsi="SimSun" w:cs="SimSun"/>
        </w:rPr>
        <w:t>TG</w:t>
      </w:r>
      <w:r>
        <w:rPr>
          <w:rFonts w:ascii="SimSun" w:eastAsia="SimSun" w:hAnsi="SimSun" w:cs="SimSun"/>
          <w:spacing w:val="87"/>
        </w:rPr>
        <w:t xml:space="preserve"> </w:t>
      </w:r>
      <w:r>
        <w:rPr>
          <w:spacing w:val="1"/>
        </w:rPr>
        <w:t>除受遗传因素影响外，后天因素也有明显影响，并与种族、年</w:t>
      </w:r>
      <w:r>
        <w:t>龄、性</w:t>
      </w:r>
      <w:r>
        <w:t xml:space="preserve"> </w:t>
      </w:r>
      <w:r>
        <w:rPr>
          <w:spacing w:val="10"/>
        </w:rPr>
        <w:t>别以及生活习惯(如饮食、运动等)有关。</w:t>
      </w:r>
      <w:r>
        <w:rPr>
          <w:rFonts w:ascii="SimSun" w:eastAsia="SimSun" w:hAnsi="SimSun" w:cs="SimSun"/>
        </w:rPr>
        <w:t>TG</w:t>
      </w:r>
      <w:r>
        <w:rPr>
          <w:rFonts w:ascii="SimSun" w:eastAsia="SimSun" w:hAnsi="SimSun" w:cs="SimSun"/>
          <w:spacing w:val="67"/>
        </w:rPr>
        <w:t xml:space="preserve"> </w:t>
      </w:r>
      <w:r>
        <w:rPr>
          <w:spacing w:val="10"/>
        </w:rPr>
        <w:t>水平个</w:t>
      </w:r>
      <w:r>
        <w:rPr>
          <w:spacing w:val="9"/>
        </w:rPr>
        <w:t>体内与个体间变异</w:t>
      </w:r>
      <w:r>
        <w:t xml:space="preserve"> </w:t>
      </w:r>
      <w:r>
        <w:rPr>
          <w:spacing w:val="1"/>
        </w:rPr>
        <w:t>均较大，同一个体的</w:t>
      </w:r>
      <w:r>
        <w:rPr>
          <w:spacing w:val="-40"/>
        </w:rPr>
        <w:t xml:space="preserve"> </w:t>
      </w:r>
      <w:r>
        <w:rPr>
          <w:rFonts w:ascii="SimSun" w:eastAsia="SimSun" w:hAnsi="SimSun" w:cs="SimSun"/>
        </w:rPr>
        <w:t>TG</w:t>
      </w:r>
      <w:r>
        <w:rPr>
          <w:rFonts w:ascii="SimSun" w:eastAsia="SimSun" w:hAnsi="SimSun" w:cs="SimSun"/>
          <w:spacing w:val="1"/>
        </w:rPr>
        <w:t xml:space="preserve"> </w:t>
      </w:r>
      <w:r>
        <w:rPr>
          <w:spacing w:val="1"/>
        </w:rPr>
        <w:t>水平受饮食和不同时</w:t>
      </w:r>
      <w:r>
        <w:t>间等因素的影响，故同一个</w:t>
      </w:r>
    </w:p>
    <w:p>
      <w:pPr>
        <w:pStyle w:val="BodyText"/>
        <w:spacing w:before="2" w:line="212" w:lineRule="auto"/>
        <w:ind w:left="13"/>
      </w:pPr>
      <w:r>
        <w:rPr>
          <w:spacing w:val="-2"/>
        </w:rPr>
        <w:t>体在多次测定时，</w:t>
      </w:r>
      <w:r>
        <w:rPr>
          <w:rFonts w:ascii="Arial" w:eastAsia="Arial" w:hAnsi="Arial" w:cs="Arial"/>
          <w:spacing w:val="-2"/>
        </w:rPr>
        <w:t>TG</w:t>
      </w:r>
      <w:r>
        <w:rPr>
          <w:spacing w:val="-2"/>
        </w:rPr>
        <w:t>值可能有较大差异。</w:t>
      </w:r>
    </w:p>
    <w:p>
      <w:pPr>
        <w:spacing w:line="212" w:lineRule="auto"/>
        <w:sectPr>
          <w:type w:val="nextPage"/>
          <w:pgSz w:w="11910" w:h="16840"/>
          <w:pgMar w:top="1431" w:right="1669" w:bottom="0" w:left="1786" w:header="0" w:footer="0" w:gutter="0"/>
          <w:pgNumType w:start="10"/>
          <w:cols w:space="708"/>
          <w:titlePg w:val="0"/>
        </w:sectPr>
      </w:pPr>
    </w:p>
    <w:p>
      <w:pPr>
        <w:pStyle w:val="BodyText"/>
        <w:spacing w:before="196" w:line="221" w:lineRule="auto"/>
        <w:ind w:left="13"/>
      </w:pPr>
      <w:r>
        <w:rPr>
          <w:spacing w:val="-3"/>
        </w:rPr>
        <w:t>3.3</w:t>
      </w:r>
      <w:r>
        <w:rPr>
          <w:spacing w:val="94"/>
        </w:rPr>
        <w:t xml:space="preserve"> </w:t>
      </w:r>
      <w:r>
        <w:rPr>
          <w:spacing w:val="-3"/>
        </w:rPr>
        <w:t>低密度脂蛋白胆固醇</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4" w:line="621" w:lineRule="exact"/>
        <w:ind w:left="13"/>
      </w:pPr>
      <w:r>
        <w:rPr>
          <w:rFonts w:ascii="SimSun" w:eastAsia="SimSun" w:hAnsi="SimSun" w:cs="SimSun"/>
          <w:position w:val="27"/>
        </w:rPr>
        <w:t>LDL</w:t>
      </w:r>
      <w:r>
        <w:rPr>
          <w:rFonts w:ascii="SimSun" w:eastAsia="SimSun" w:hAnsi="SimSun" w:cs="SimSun"/>
          <w:spacing w:val="12"/>
          <w:position w:val="27"/>
        </w:rPr>
        <w:t xml:space="preserve"> </w:t>
      </w:r>
      <w:r>
        <w:rPr>
          <w:spacing w:val="12"/>
          <w:position w:val="27"/>
        </w:rPr>
        <w:t>颗粒中胆固醇占比约为50%,</w:t>
      </w:r>
      <w:r>
        <w:rPr>
          <w:rFonts w:ascii="SimSun" w:eastAsia="SimSun" w:hAnsi="SimSun" w:cs="SimSun"/>
          <w:position w:val="27"/>
        </w:rPr>
        <w:t>LDL</w:t>
      </w:r>
      <w:r>
        <w:rPr>
          <w:rFonts w:ascii="SimSun" w:eastAsia="SimSun" w:hAnsi="SimSun" w:cs="SimSun"/>
          <w:spacing w:val="12"/>
          <w:position w:val="27"/>
        </w:rPr>
        <w:t xml:space="preserve">-C </w:t>
      </w:r>
      <w:r>
        <w:rPr>
          <w:spacing w:val="12"/>
          <w:position w:val="27"/>
        </w:rPr>
        <w:t>浓度基本能反映血液</w:t>
      </w:r>
      <w:r>
        <w:rPr>
          <w:spacing w:val="-12"/>
          <w:position w:val="27"/>
        </w:rPr>
        <w:t xml:space="preserve"> </w:t>
      </w:r>
      <w:r>
        <w:rPr>
          <w:rFonts w:ascii="SimSun" w:eastAsia="SimSun" w:hAnsi="SimSun" w:cs="SimSun"/>
          <w:position w:val="27"/>
        </w:rPr>
        <w:t>LDL</w:t>
      </w:r>
      <w:r>
        <w:rPr>
          <w:rFonts w:ascii="SimSun" w:eastAsia="SimSun" w:hAnsi="SimSun" w:cs="SimSun"/>
          <w:spacing w:val="12"/>
          <w:position w:val="27"/>
        </w:rPr>
        <w:t xml:space="preserve"> </w:t>
      </w:r>
      <w:r>
        <w:rPr>
          <w:spacing w:val="12"/>
          <w:position w:val="27"/>
        </w:rPr>
        <w:t>颗粒</w:t>
      </w:r>
    </w:p>
    <w:p>
      <w:pPr>
        <w:pStyle w:val="BodyText"/>
        <w:spacing w:line="221" w:lineRule="auto"/>
        <w:ind w:left="13"/>
      </w:pPr>
      <w:r>
        <w:rPr>
          <w:spacing w:val="-3"/>
        </w:rPr>
        <w:t>水平。影响</w:t>
      </w:r>
      <w:r>
        <w:rPr>
          <w:spacing w:val="-45"/>
        </w:rPr>
        <w:t xml:space="preserve"> </w:t>
      </w:r>
      <w:r>
        <w:rPr>
          <w:rFonts w:ascii="Times New Roman" w:eastAsia="Times New Roman" w:hAnsi="Times New Roman" w:cs="Times New Roman"/>
          <w:spacing w:val="-3"/>
        </w:rPr>
        <w:t>TC</w:t>
      </w:r>
      <w:r>
        <w:rPr>
          <w:spacing w:val="-3"/>
        </w:rPr>
        <w:t>的因素同样也可影响</w:t>
      </w:r>
      <w:r>
        <w:rPr>
          <w:spacing w:val="-3"/>
        </w:rPr>
        <w:t xml:space="preserve"> </w:t>
      </w:r>
      <w:r>
        <w:rPr>
          <w:rFonts w:ascii="Times New Roman" w:eastAsia="Times New Roman" w:hAnsi="Times New Roman" w:cs="Times New Roman"/>
          <w:spacing w:val="-3"/>
        </w:rPr>
        <w:t xml:space="preserve">LDL-C </w:t>
      </w:r>
      <w:r>
        <w:rPr>
          <w:spacing w:val="-3"/>
        </w:rPr>
        <w:t>水平。</w:t>
      </w: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85" w:line="221" w:lineRule="auto"/>
        <w:ind w:left="13"/>
      </w:pPr>
      <w:r>
        <w:rPr>
          <w:spacing w:val="-4"/>
        </w:rPr>
        <w:t>3.4</w:t>
      </w:r>
      <w:r>
        <w:rPr>
          <w:spacing w:val="76"/>
        </w:rPr>
        <w:t xml:space="preserve"> </w:t>
      </w:r>
      <w:r>
        <w:rPr>
          <w:spacing w:val="-4"/>
        </w:rPr>
        <w:t>高密度脂蛋白胆固醇</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85" w:line="444" w:lineRule="auto"/>
        <w:ind w:left="13" w:right="39"/>
      </w:pPr>
      <w:r>
        <w:rPr>
          <w:rFonts w:ascii="SimSun" w:eastAsia="SimSun" w:hAnsi="SimSun" w:cs="SimSun"/>
        </w:rPr>
        <w:t>HDL</w:t>
      </w:r>
      <w:r>
        <w:rPr>
          <w:rFonts w:ascii="SimSun" w:eastAsia="SimSun" w:hAnsi="SimSun" w:cs="SimSun"/>
          <w:spacing w:val="1"/>
        </w:rPr>
        <w:t>-C</w:t>
      </w:r>
      <w:r>
        <w:rPr>
          <w:rFonts w:ascii="SimSun" w:eastAsia="SimSun" w:hAnsi="SimSun" w:cs="SimSun"/>
          <w:spacing w:val="64"/>
        </w:rPr>
        <w:t xml:space="preserve"> </w:t>
      </w:r>
      <w:r>
        <w:rPr>
          <w:spacing w:val="1"/>
        </w:rPr>
        <w:t>高低明显受遗传因素的影响。严重营养不良者，伴随血清</w:t>
      </w:r>
      <w:r>
        <w:rPr>
          <w:rFonts w:ascii="SimSun" w:eastAsia="SimSun" w:hAnsi="SimSun" w:cs="SimSun"/>
        </w:rPr>
        <w:t>TC</w:t>
      </w:r>
      <w:r>
        <w:rPr>
          <w:rFonts w:ascii="SimSun" w:eastAsia="SimSun" w:hAnsi="SimSun" w:cs="SimSun"/>
          <w:spacing w:val="1"/>
        </w:rPr>
        <w:t xml:space="preserve"> </w:t>
      </w:r>
      <w:r>
        <w:rPr>
          <w:spacing w:val="1"/>
        </w:rPr>
        <w:t>明显</w:t>
      </w:r>
      <w:r>
        <w:t xml:space="preserve"> </w:t>
      </w:r>
      <w:r>
        <w:rPr>
          <w:spacing w:val="-7"/>
        </w:rPr>
        <w:t>降低，</w:t>
      </w:r>
      <w:r>
        <w:rPr>
          <w:rFonts w:ascii="SimSun" w:eastAsia="SimSun" w:hAnsi="SimSun" w:cs="SimSun"/>
          <w:spacing w:val="-7"/>
        </w:rPr>
        <w:t>HDL-C</w:t>
      </w:r>
      <w:r>
        <w:rPr>
          <w:rFonts w:ascii="SimSun" w:eastAsia="SimSun" w:hAnsi="SimSun" w:cs="SimSun"/>
          <w:spacing w:val="84"/>
        </w:rPr>
        <w:t xml:space="preserve"> </w:t>
      </w:r>
      <w:r>
        <w:rPr>
          <w:spacing w:val="-7"/>
        </w:rPr>
        <w:t>也低下。肥胖者</w:t>
      </w:r>
      <w:r>
        <w:rPr>
          <w:spacing w:val="-45"/>
        </w:rPr>
        <w:t xml:space="preserve"> </w:t>
      </w:r>
      <w:r>
        <w:rPr>
          <w:rFonts w:ascii="SimSun" w:eastAsia="SimSun" w:hAnsi="SimSun" w:cs="SimSun"/>
          <w:spacing w:val="-7"/>
        </w:rPr>
        <w:t xml:space="preserve">HDL-C  </w:t>
      </w:r>
      <w:r>
        <w:rPr>
          <w:spacing w:val="-7"/>
        </w:rPr>
        <w:t>也多偏低。吸烟可使</w:t>
      </w:r>
      <w:r>
        <w:rPr>
          <w:spacing w:val="-42"/>
        </w:rPr>
        <w:t xml:space="preserve"> </w:t>
      </w:r>
      <w:r>
        <w:rPr>
          <w:rFonts w:ascii="SimSun" w:eastAsia="SimSun" w:hAnsi="SimSun" w:cs="SimSun"/>
          <w:spacing w:val="-7"/>
        </w:rPr>
        <w:t>HDL-C</w:t>
      </w:r>
      <w:r>
        <w:rPr>
          <w:rFonts w:ascii="SimSun" w:eastAsia="SimSun" w:hAnsi="SimSun" w:cs="SimSun"/>
          <w:spacing w:val="74"/>
        </w:rPr>
        <w:t xml:space="preserve"> </w:t>
      </w:r>
      <w:r>
        <w:rPr>
          <w:spacing w:val="-8"/>
        </w:rPr>
        <w:t>下降。</w:t>
      </w:r>
    </w:p>
    <w:p>
      <w:pPr>
        <w:pStyle w:val="BodyText"/>
        <w:spacing w:before="1" w:line="220" w:lineRule="auto"/>
        <w:ind w:left="13"/>
        <w:rPr>
          <w:rFonts w:ascii="SimSun" w:eastAsia="SimSun" w:hAnsi="SimSun" w:cs="SimSun"/>
        </w:rPr>
      </w:pPr>
      <w:r>
        <w:rPr>
          <w:spacing w:val="-1"/>
        </w:rPr>
        <w:t>糖尿病、肝炎和肝硬化等疾病状态可伴有低</w:t>
      </w:r>
      <w:r>
        <w:rPr>
          <w:spacing w:val="-31"/>
        </w:rPr>
        <w:t xml:space="preserve"> </w:t>
      </w:r>
      <w:r>
        <w:rPr>
          <w:rFonts w:ascii="Times New Roman" w:eastAsia="Times New Roman" w:hAnsi="Times New Roman" w:cs="Times New Roman"/>
          <w:spacing w:val="-1"/>
        </w:rPr>
        <w:t>HDL-C</w:t>
      </w:r>
      <w:r>
        <w:rPr>
          <w:rFonts w:ascii="SimSun" w:eastAsia="SimSun" w:hAnsi="SimSun" w:cs="SimSun"/>
          <w:spacing w:val="-1"/>
        </w:rPr>
        <w:t>。</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pStyle w:val="BodyText"/>
        <w:spacing w:before="85" w:line="221" w:lineRule="auto"/>
        <w:ind w:left="13"/>
      </w:pPr>
      <w:r>
        <w:rPr>
          <w:spacing w:val="-3"/>
        </w:rPr>
        <w:t>3.5</w:t>
      </w:r>
      <w:r>
        <w:rPr>
          <w:spacing w:val="97"/>
        </w:rPr>
        <w:t xml:space="preserve"> </w:t>
      </w:r>
      <w:r>
        <w:rPr>
          <w:spacing w:val="-3"/>
        </w:rPr>
        <w:t>非高密度脂蛋白胆固醇</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BodyText"/>
        <w:spacing w:before="86" w:line="444" w:lineRule="auto"/>
        <w:ind w:left="13" w:right="11"/>
        <w:jc w:val="both"/>
      </w:pPr>
      <w:r>
        <w:rPr>
          <w:spacing w:val="-2"/>
        </w:rPr>
        <w:t>非</w:t>
      </w:r>
      <w:r>
        <w:rPr>
          <w:spacing w:val="-2"/>
        </w:rPr>
        <w:t xml:space="preserve"> </w:t>
      </w:r>
      <w:r>
        <w:rPr>
          <w:rFonts w:ascii="Arial" w:eastAsia="Arial" w:hAnsi="Arial" w:cs="Arial"/>
          <w:spacing w:val="-2"/>
        </w:rPr>
        <w:t xml:space="preserve">HDL-C  </w:t>
      </w:r>
      <w:r>
        <w:rPr>
          <w:spacing w:val="-2"/>
        </w:rPr>
        <w:t>是指血液中除</w:t>
      </w:r>
      <w:r>
        <w:rPr>
          <w:spacing w:val="-2"/>
        </w:rPr>
        <w:t xml:space="preserve"> </w:t>
      </w:r>
      <w:r>
        <w:rPr>
          <w:rFonts w:ascii="Arial" w:eastAsia="Arial" w:hAnsi="Arial" w:cs="Arial"/>
          <w:spacing w:val="-2"/>
        </w:rPr>
        <w:t xml:space="preserve">HDL  </w:t>
      </w:r>
      <w:r>
        <w:rPr>
          <w:spacing w:val="-2"/>
        </w:rPr>
        <w:t>以外其他</w:t>
      </w:r>
      <w:r>
        <w:rPr>
          <w:spacing w:val="-3"/>
        </w:rPr>
        <w:t>脂蛋白所含胆固醇的总和，包括</w:t>
      </w:r>
      <w:r>
        <w:t xml:space="preserve"> </w:t>
      </w:r>
      <w:r>
        <w:rPr>
          <w:rFonts w:ascii="Arial" w:eastAsia="Arial" w:hAnsi="Arial" w:cs="Arial"/>
        </w:rPr>
        <w:t>VLDL</w:t>
      </w:r>
      <w:r>
        <w:rPr>
          <w:rFonts w:ascii="SimSun" w:eastAsia="SimSun" w:hAnsi="SimSun" w:cs="SimSun"/>
        </w:rPr>
        <w:t>、</w:t>
      </w:r>
      <w:r>
        <w:rPr>
          <w:rFonts w:ascii="Arial" w:eastAsia="Arial" w:hAnsi="Arial" w:cs="Arial"/>
        </w:rPr>
        <w:t>IDL</w:t>
      </w:r>
      <w:r>
        <w:rPr>
          <w:rFonts w:ascii="SimSun" w:eastAsia="SimSun" w:hAnsi="SimSun" w:cs="SimSun"/>
        </w:rPr>
        <w:t>、</w:t>
      </w:r>
      <w:r>
        <w:rPr>
          <w:rFonts w:ascii="Arial" w:eastAsia="Arial" w:hAnsi="Arial" w:cs="Arial"/>
        </w:rPr>
        <w:t>LDL</w:t>
      </w:r>
      <w:r>
        <w:t>和</w:t>
      </w:r>
      <w:r>
        <w:rPr>
          <w:spacing w:val="41"/>
        </w:rPr>
        <w:t xml:space="preserve"> </w:t>
      </w:r>
      <w:r>
        <w:rPr>
          <w:rFonts w:ascii="Arial" w:eastAsia="Arial" w:hAnsi="Arial" w:cs="Arial"/>
        </w:rPr>
        <w:t>Lp(a)</w:t>
      </w:r>
      <w:r>
        <w:t>中的胆固醇。非</w:t>
      </w:r>
      <w:r>
        <w:rPr>
          <w:spacing w:val="-58"/>
        </w:rPr>
        <w:t xml:space="preserve"> </w:t>
      </w:r>
      <w:r>
        <w:rPr>
          <w:rFonts w:ascii="Arial" w:eastAsia="Arial" w:hAnsi="Arial" w:cs="Arial"/>
        </w:rPr>
        <w:t>HDL</w:t>
      </w:r>
      <w:r>
        <w:rPr>
          <w:rFonts w:ascii="Arial" w:eastAsia="Arial" w:hAnsi="Arial" w:cs="Arial"/>
          <w:spacing w:val="-1"/>
        </w:rPr>
        <w:t xml:space="preserve">-C </w:t>
      </w:r>
      <w:r>
        <w:rPr>
          <w:spacing w:val="-1"/>
        </w:rPr>
        <w:t>代表了含有</w:t>
      </w:r>
      <w:r>
        <w:rPr>
          <w:spacing w:val="-65"/>
        </w:rPr>
        <w:t xml:space="preserve"> </w:t>
      </w:r>
      <w:r>
        <w:rPr>
          <w:rFonts w:ascii="Arial" w:eastAsia="Arial" w:hAnsi="Arial" w:cs="Arial"/>
          <w:spacing w:val="-1"/>
        </w:rPr>
        <w:t xml:space="preserve">ApoB   </w:t>
      </w:r>
      <w:r>
        <w:rPr>
          <w:spacing w:val="-1"/>
        </w:rPr>
        <w:t>脂</w:t>
      </w:r>
    </w:p>
    <w:p>
      <w:pPr>
        <w:pStyle w:val="BodyText"/>
        <w:spacing w:before="1" w:line="212" w:lineRule="auto"/>
        <w:ind w:left="13"/>
        <w:rPr>
          <w:rFonts w:ascii="SimSun" w:eastAsia="SimSun" w:hAnsi="SimSun" w:cs="SimSun"/>
        </w:rPr>
      </w:pPr>
      <w:r>
        <w:rPr>
          <w:spacing w:val="-1"/>
        </w:rPr>
        <w:t>蛋白颗粒中胆固醇的总量，计算公式如下：非</w:t>
      </w:r>
      <w:r>
        <w:rPr>
          <w:spacing w:val="-33"/>
        </w:rPr>
        <w:t xml:space="preserve"> </w:t>
      </w:r>
      <w:r>
        <w:rPr>
          <w:rFonts w:ascii="SimSun" w:eastAsia="SimSun" w:hAnsi="SimSun" w:cs="SimSun"/>
          <w:spacing w:val="-1"/>
        </w:rPr>
        <w:t>HDL-C=TC—HDL-C。</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BodyText"/>
        <w:spacing w:before="85" w:line="222" w:lineRule="auto"/>
        <w:ind w:left="13"/>
        <w:rPr>
          <w:rFonts w:ascii="SimSun" w:eastAsia="SimSun" w:hAnsi="SimSun" w:cs="SimSun"/>
        </w:rPr>
      </w:pPr>
      <w:r>
        <w:rPr>
          <w:spacing w:val="-8"/>
        </w:rPr>
        <w:t>3.6</w:t>
      </w:r>
      <w:r>
        <w:rPr>
          <w:spacing w:val="99"/>
        </w:rPr>
        <w:t xml:space="preserve"> </w:t>
      </w:r>
      <w:r>
        <w:rPr>
          <w:spacing w:val="-8"/>
        </w:rPr>
        <w:t>载脂蛋白</w:t>
      </w:r>
      <w:r>
        <w:rPr>
          <w:spacing w:val="-50"/>
        </w:rPr>
        <w:t xml:space="preserve"> </w:t>
      </w:r>
      <w:r>
        <w:rPr>
          <w:rFonts w:ascii="SimSun" w:eastAsia="SimSun" w:hAnsi="SimSun" w:cs="SimSun"/>
          <w:spacing w:val="-8"/>
        </w:rPr>
        <w:t>A1</w:t>
      </w:r>
    </w:p>
    <w:p>
      <w:pPr>
        <w:spacing w:line="276" w:lineRule="auto"/>
        <w:rPr>
          <w:rFonts w:ascii="Arial"/>
          <w:sz w:val="21"/>
        </w:rPr>
        <w:sectPr>
          <w:pgSz w:w="11910" w:h="16840"/>
          <w:pgMar w:top="1431" w:right="1786" w:bottom="0" w:left="1786" w:header="0" w:footer="0" w:gutter="0"/>
          <w:pgNumType w:start="11"/>
          <w:cols w:space="708"/>
        </w:sectPr>
      </w:pPr>
    </w:p>
    <w:p>
      <w:pPr>
        <w:spacing w:line="276" w:lineRule="auto"/>
        <w:rPr>
          <w:rFonts w:ascii="Arial"/>
          <w:sz w:val="21"/>
        </w:rPr>
      </w:pPr>
    </w:p>
    <w:p>
      <w:pPr>
        <w:spacing w:line="277" w:lineRule="auto"/>
        <w:rPr>
          <w:rFonts w:ascii="Arial"/>
          <w:sz w:val="21"/>
        </w:rPr>
      </w:pPr>
    </w:p>
    <w:p>
      <w:pPr>
        <w:pStyle w:val="BodyText"/>
        <w:spacing w:before="85" w:line="450" w:lineRule="auto"/>
        <w:ind w:left="13" w:right="38"/>
        <w:jc w:val="both"/>
      </w:pPr>
      <w:r>
        <w:rPr>
          <w:spacing w:val="2"/>
        </w:rPr>
        <w:t>正常人群</w:t>
      </w:r>
      <w:r>
        <w:rPr>
          <w:spacing w:val="-40"/>
        </w:rPr>
        <w:t xml:space="preserve"> </w:t>
      </w:r>
      <w:r>
        <w:rPr>
          <w:rFonts w:ascii="Arial" w:eastAsia="Arial" w:hAnsi="Arial" w:cs="Arial"/>
        </w:rPr>
        <w:t>ApoA</w:t>
      </w:r>
      <w:r>
        <w:rPr>
          <w:rFonts w:ascii="Arial" w:eastAsia="Arial" w:hAnsi="Arial" w:cs="Arial"/>
          <w:spacing w:val="2"/>
        </w:rPr>
        <w:t xml:space="preserve">1  </w:t>
      </w:r>
      <w:r>
        <w:rPr>
          <w:spacing w:val="2"/>
        </w:rPr>
        <w:t>水平多在1.20～1.60</w:t>
      </w:r>
      <w:r>
        <w:rPr>
          <w:rFonts w:ascii="Arial" w:eastAsia="Arial" w:hAnsi="Arial" w:cs="Arial"/>
          <w:spacing w:val="2"/>
        </w:rPr>
        <w:t>g/L</w:t>
      </w:r>
      <w:r>
        <w:rPr>
          <w:rFonts w:ascii="Arial" w:eastAsia="Arial" w:hAnsi="Arial" w:cs="Arial"/>
          <w:spacing w:val="45"/>
        </w:rPr>
        <w:t xml:space="preserve"> </w:t>
      </w:r>
      <w:r>
        <w:rPr>
          <w:spacing w:val="2"/>
        </w:rPr>
        <w:t>范围内，血清</w:t>
      </w:r>
      <w:r>
        <w:rPr>
          <w:spacing w:val="-56"/>
        </w:rPr>
        <w:t xml:space="preserve"> </w:t>
      </w:r>
      <w:r>
        <w:rPr>
          <w:rFonts w:ascii="Arial" w:eastAsia="Arial" w:hAnsi="Arial" w:cs="Arial"/>
        </w:rPr>
        <w:t>ApoA</w:t>
      </w:r>
      <w:r>
        <w:rPr>
          <w:rFonts w:ascii="Arial" w:eastAsia="Arial" w:hAnsi="Arial" w:cs="Arial"/>
          <w:spacing w:val="2"/>
        </w:rPr>
        <w:t>1</w:t>
      </w:r>
      <w:r>
        <w:rPr>
          <w:rFonts w:ascii="Arial" w:eastAsia="Arial" w:hAnsi="Arial" w:cs="Arial"/>
          <w:spacing w:val="68"/>
        </w:rPr>
        <w:t xml:space="preserve"> </w:t>
      </w:r>
      <w:r>
        <w:rPr>
          <w:spacing w:val="2"/>
        </w:rPr>
        <w:t>可以反</w:t>
      </w:r>
      <w:r>
        <w:t xml:space="preserve"> </w:t>
      </w:r>
      <w:r>
        <w:t>映</w:t>
      </w:r>
      <w:r>
        <w:rPr>
          <w:spacing w:val="-45"/>
        </w:rPr>
        <w:t xml:space="preserve"> </w:t>
      </w:r>
      <w:r>
        <w:rPr>
          <w:rFonts w:ascii="SimSun" w:eastAsia="SimSun" w:hAnsi="SimSun" w:cs="SimSun"/>
        </w:rPr>
        <w:t>HDL</w:t>
      </w:r>
      <w:r>
        <w:rPr>
          <w:rFonts w:ascii="SimSun" w:eastAsia="SimSun" w:hAnsi="SimSun" w:cs="SimSun"/>
          <w:spacing w:val="45"/>
        </w:rPr>
        <w:t xml:space="preserve"> </w:t>
      </w:r>
      <w:r>
        <w:t>颗粒水平。</w:t>
      </w:r>
      <w:r>
        <w:rPr>
          <w:rFonts w:ascii="SimSun" w:eastAsia="SimSun" w:hAnsi="SimSun" w:cs="SimSun"/>
        </w:rPr>
        <w:t>HDL-C</w:t>
      </w:r>
      <w:r>
        <w:rPr>
          <w:rFonts w:ascii="SimSun" w:eastAsia="SimSun" w:hAnsi="SimSun" w:cs="SimSun"/>
          <w:spacing w:val="94"/>
        </w:rPr>
        <w:t xml:space="preserve"> </w:t>
      </w:r>
      <w:r>
        <w:t>呈明显正相关，其临床意义也大体相似。女性</w:t>
      </w:r>
    </w:p>
    <w:p>
      <w:pPr>
        <w:pStyle w:val="BodyText"/>
        <w:spacing w:before="2" w:line="220" w:lineRule="auto"/>
        <w:ind w:left="13"/>
      </w:pPr>
      <w:r>
        <w:rPr>
          <w:spacing w:val="-7"/>
        </w:rPr>
        <w:t>略高于男性。</w:t>
      </w:r>
    </w:p>
    <w:p>
      <w:pPr>
        <w:spacing w:line="220" w:lineRule="auto"/>
        <w:sectPr>
          <w:type w:val="nextPage"/>
          <w:pgSz w:w="11910" w:h="16840"/>
          <w:pgMar w:top="1431" w:right="1786" w:bottom="0" w:left="1786" w:header="0" w:footer="0" w:gutter="0"/>
          <w:pgNumType w:start="12"/>
          <w:cols w:space="708"/>
          <w:titlePg w:val="0"/>
        </w:sectPr>
      </w:pPr>
    </w:p>
    <w:p>
      <w:pPr>
        <w:pStyle w:val="BodyText"/>
        <w:spacing w:before="197" w:line="222" w:lineRule="auto"/>
        <w:ind w:left="13"/>
        <w:rPr>
          <w:rFonts w:ascii="SimSun" w:eastAsia="SimSun" w:hAnsi="SimSun" w:cs="SimSun"/>
        </w:rPr>
      </w:pPr>
      <w:r>
        <w:rPr>
          <w:spacing w:val="-4"/>
        </w:rPr>
        <w:t>3.7</w:t>
      </w:r>
      <w:r>
        <w:rPr>
          <w:spacing w:val="95"/>
        </w:rPr>
        <w:t xml:space="preserve"> </w:t>
      </w:r>
      <w:r>
        <w:rPr>
          <w:spacing w:val="-4"/>
        </w:rPr>
        <w:t>载脂蛋白</w:t>
      </w:r>
      <w:r>
        <w:rPr>
          <w:spacing w:val="-44"/>
        </w:rPr>
        <w:t xml:space="preserve"> </w:t>
      </w:r>
      <w:r>
        <w:rPr>
          <w:rFonts w:ascii="SimSun" w:eastAsia="SimSun" w:hAnsi="SimSun" w:cs="SimSun"/>
          <w:spacing w:val="-4"/>
        </w:rPr>
        <w:t>B</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pStyle w:val="BodyText"/>
        <w:spacing w:before="85" w:line="436" w:lineRule="auto"/>
        <w:ind w:left="13" w:right="70"/>
        <w:jc w:val="both"/>
      </w:pPr>
      <w:r>
        <w:rPr>
          <w:spacing w:val="10"/>
        </w:rPr>
        <w:t>正常人群中血清</w:t>
      </w:r>
      <w:r>
        <w:rPr>
          <w:spacing w:val="-38"/>
        </w:rPr>
        <w:t xml:space="preserve"> </w:t>
      </w:r>
      <w:r>
        <w:rPr>
          <w:rFonts w:ascii="SimSun" w:eastAsia="SimSun" w:hAnsi="SimSun" w:cs="SimSun"/>
        </w:rPr>
        <w:t>ApoB</w:t>
      </w:r>
      <w:r>
        <w:rPr>
          <w:rFonts w:ascii="SimSun" w:eastAsia="SimSun" w:hAnsi="SimSun" w:cs="SimSun"/>
          <w:spacing w:val="122"/>
        </w:rPr>
        <w:t xml:space="preserve"> </w:t>
      </w:r>
      <w:r>
        <w:rPr>
          <w:spacing w:val="10"/>
        </w:rPr>
        <w:t>在0.80~1.10</w:t>
      </w:r>
      <w:r>
        <w:rPr>
          <w:rFonts w:ascii="SimSun" w:eastAsia="SimSun" w:hAnsi="SimSun" w:cs="SimSun"/>
          <w:spacing w:val="10"/>
        </w:rPr>
        <w:t>g/L</w:t>
      </w:r>
      <w:r>
        <w:rPr>
          <w:rFonts w:ascii="SimSun" w:eastAsia="SimSun" w:hAnsi="SimSun" w:cs="SimSun"/>
          <w:spacing w:val="-45"/>
        </w:rPr>
        <w:t xml:space="preserve"> </w:t>
      </w:r>
      <w:r>
        <w:rPr>
          <w:spacing w:val="10"/>
        </w:rPr>
        <w:t>范围内。正常情况下，每一个</w:t>
      </w:r>
      <w:r>
        <w:t xml:space="preserve"> </w:t>
      </w:r>
      <w:r>
        <w:rPr>
          <w:rFonts w:ascii="Arial" w:eastAsia="Arial" w:hAnsi="Arial" w:cs="Arial"/>
        </w:rPr>
        <w:t>LDL</w:t>
      </w:r>
      <w:r>
        <w:rPr>
          <w:rFonts w:ascii="SimSun" w:eastAsia="SimSun" w:hAnsi="SimSun" w:cs="SimSun"/>
          <w:spacing w:val="11"/>
        </w:rPr>
        <w:t>、</w:t>
      </w:r>
      <w:r>
        <w:rPr>
          <w:rFonts w:ascii="Arial" w:eastAsia="Arial" w:hAnsi="Arial" w:cs="Arial"/>
        </w:rPr>
        <w:t>IDL</w:t>
      </w:r>
      <w:r>
        <w:rPr>
          <w:rFonts w:ascii="SimSun" w:eastAsia="SimSun" w:hAnsi="SimSun" w:cs="SimSun"/>
          <w:spacing w:val="11"/>
        </w:rPr>
        <w:t>、</w:t>
      </w:r>
      <w:r>
        <w:rPr>
          <w:rFonts w:ascii="Arial" w:eastAsia="Arial" w:hAnsi="Arial" w:cs="Arial"/>
        </w:rPr>
        <w:t>VLDL</w:t>
      </w:r>
      <w:r>
        <w:rPr>
          <w:spacing w:val="11"/>
        </w:rPr>
        <w:t>和</w:t>
      </w:r>
      <w:r>
        <w:rPr>
          <w:spacing w:val="47"/>
        </w:rPr>
        <w:t xml:space="preserve"> </w:t>
      </w:r>
      <w:r>
        <w:rPr>
          <w:rFonts w:ascii="Arial" w:eastAsia="Arial" w:hAnsi="Arial" w:cs="Arial"/>
        </w:rPr>
        <w:t>Lp</w:t>
      </w:r>
      <w:r>
        <w:rPr>
          <w:rFonts w:ascii="Arial" w:eastAsia="Arial" w:hAnsi="Arial" w:cs="Arial"/>
          <w:spacing w:val="11"/>
        </w:rPr>
        <w:t>(a)</w:t>
      </w:r>
      <w:r>
        <w:rPr>
          <w:spacing w:val="11"/>
        </w:rPr>
        <w:t>颗粒中均含有1</w:t>
      </w:r>
      <w:r>
        <w:rPr>
          <w:spacing w:val="-33"/>
        </w:rPr>
        <w:t xml:space="preserve"> </w:t>
      </w:r>
      <w:r>
        <w:rPr>
          <w:spacing w:val="11"/>
        </w:rPr>
        <w:t>分子</w:t>
      </w:r>
      <w:r>
        <w:rPr>
          <w:spacing w:val="-34"/>
        </w:rPr>
        <w:t xml:space="preserve"> </w:t>
      </w:r>
      <w:r>
        <w:rPr>
          <w:rFonts w:ascii="Arial" w:eastAsia="Arial" w:hAnsi="Arial" w:cs="Arial"/>
        </w:rPr>
        <w:t>ApoB</w:t>
      </w:r>
      <w:r>
        <w:rPr>
          <w:rFonts w:ascii="Arial" w:eastAsia="Arial" w:hAnsi="Arial" w:cs="Arial"/>
          <w:spacing w:val="-36"/>
        </w:rPr>
        <w:t xml:space="preserve"> </w:t>
      </w:r>
      <w:r>
        <w:rPr>
          <w:rFonts w:ascii="SimSun" w:eastAsia="SimSun" w:hAnsi="SimSun" w:cs="SimSun"/>
          <w:spacing w:val="11"/>
        </w:rPr>
        <w:t>。</w:t>
      </w:r>
      <w:r>
        <w:rPr>
          <w:spacing w:val="11"/>
        </w:rPr>
        <w:t>血清</w:t>
      </w:r>
      <w:r>
        <w:rPr>
          <w:spacing w:val="-56"/>
        </w:rPr>
        <w:t xml:space="preserve"> </w:t>
      </w:r>
      <w:r>
        <w:rPr>
          <w:rFonts w:ascii="Arial" w:eastAsia="Arial" w:hAnsi="Arial" w:cs="Arial"/>
        </w:rPr>
        <w:t>ApoB</w:t>
      </w:r>
      <w:r>
        <w:rPr>
          <w:rFonts w:ascii="Arial" w:eastAsia="Arial" w:hAnsi="Arial" w:cs="Arial"/>
          <w:spacing w:val="32"/>
        </w:rPr>
        <w:t xml:space="preserve"> </w:t>
      </w:r>
      <w:r>
        <w:rPr>
          <w:spacing w:val="11"/>
        </w:rPr>
        <w:t>主</w:t>
      </w:r>
      <w:r>
        <w:t xml:space="preserve"> </w:t>
      </w:r>
      <w:r>
        <w:rPr>
          <w:spacing w:val="-1"/>
        </w:rPr>
        <w:t>要反映</w:t>
      </w:r>
      <w:r>
        <w:rPr>
          <w:spacing w:val="-32"/>
        </w:rPr>
        <w:t xml:space="preserve"> </w:t>
      </w:r>
      <w:r>
        <w:rPr>
          <w:rFonts w:ascii="SimSun" w:eastAsia="SimSun" w:hAnsi="SimSun" w:cs="SimSun"/>
          <w:spacing w:val="-1"/>
        </w:rPr>
        <w:t xml:space="preserve">LDL </w:t>
      </w:r>
      <w:r>
        <w:rPr>
          <w:spacing w:val="-1"/>
        </w:rPr>
        <w:t>颗粒水平，与血清</w:t>
      </w:r>
      <w:r>
        <w:rPr>
          <w:spacing w:val="-1"/>
        </w:rPr>
        <w:t xml:space="preserve"> </w:t>
      </w:r>
      <w:r>
        <w:rPr>
          <w:rFonts w:ascii="SimSun" w:eastAsia="SimSun" w:hAnsi="SimSun" w:cs="SimSun"/>
          <w:spacing w:val="-1"/>
        </w:rPr>
        <w:t>LDL-C</w:t>
      </w:r>
      <w:r>
        <w:rPr>
          <w:rFonts w:ascii="SimSun" w:eastAsia="SimSun" w:hAnsi="SimSun" w:cs="SimSun"/>
          <w:spacing w:val="38"/>
        </w:rPr>
        <w:t xml:space="preserve"> </w:t>
      </w:r>
      <w:r>
        <w:rPr>
          <w:spacing w:val="-1"/>
        </w:rPr>
        <w:t>水平呈明显正相关，两者的临床意</w:t>
      </w:r>
    </w:p>
    <w:p>
      <w:pPr>
        <w:pStyle w:val="BodyText"/>
        <w:spacing w:before="1" w:line="220" w:lineRule="auto"/>
        <w:ind w:left="13"/>
      </w:pPr>
      <w:r>
        <w:rPr>
          <w:spacing w:val="-9"/>
        </w:rPr>
        <w:t>义相似。</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pStyle w:val="BodyText"/>
        <w:spacing w:before="85" w:line="224" w:lineRule="auto"/>
        <w:ind w:left="13"/>
        <w:rPr>
          <w:rFonts w:ascii="SimSun" w:eastAsia="SimSun" w:hAnsi="SimSun" w:cs="SimSun"/>
        </w:rPr>
      </w:pPr>
      <w:r>
        <w:rPr>
          <w:spacing w:val="-7"/>
        </w:rPr>
        <w:t>3.8</w:t>
      </w:r>
      <w:r>
        <w:rPr>
          <w:spacing w:val="73"/>
        </w:rPr>
        <w:t xml:space="preserve"> </w:t>
      </w:r>
      <w:r>
        <w:rPr>
          <w:spacing w:val="-7"/>
        </w:rPr>
        <w:t>脂蛋白</w:t>
      </w:r>
      <w:r>
        <w:rPr>
          <w:rFonts w:ascii="SimSun" w:eastAsia="SimSun" w:hAnsi="SimSun" w:cs="SimSun"/>
          <w:spacing w:val="-7"/>
        </w:rPr>
        <w:t>(a)</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84" w:line="450" w:lineRule="auto"/>
        <w:ind w:left="13"/>
        <w:jc w:val="both"/>
      </w:pPr>
      <w:r>
        <w:rPr>
          <w:spacing w:val="4"/>
        </w:rPr>
        <w:t>血清</w:t>
      </w:r>
      <w:r>
        <w:rPr>
          <w:rFonts w:ascii="Arial" w:eastAsia="Arial" w:hAnsi="Arial" w:cs="Arial"/>
        </w:rPr>
        <w:t>Lp</w:t>
      </w:r>
      <w:r>
        <w:rPr>
          <w:rFonts w:ascii="Arial" w:eastAsia="Arial" w:hAnsi="Arial" w:cs="Arial"/>
          <w:spacing w:val="4"/>
        </w:rPr>
        <w:t>(a)</w:t>
      </w:r>
      <w:r>
        <w:rPr>
          <w:spacing w:val="4"/>
        </w:rPr>
        <w:t>浓度主要与遗传有关，通常以3</w:t>
      </w:r>
      <w:r>
        <w:rPr>
          <w:spacing w:val="3"/>
        </w:rPr>
        <w:t>00</w:t>
      </w:r>
      <w:r>
        <w:rPr>
          <w:rFonts w:ascii="Arial" w:eastAsia="Arial" w:hAnsi="Arial" w:cs="Arial"/>
        </w:rPr>
        <w:t>mg</w:t>
      </w:r>
      <w:r>
        <w:rPr>
          <w:rFonts w:ascii="Arial" w:eastAsia="Arial" w:hAnsi="Arial" w:cs="Arial"/>
          <w:spacing w:val="3"/>
        </w:rPr>
        <w:t>/L</w:t>
      </w:r>
      <w:r>
        <w:rPr>
          <w:rFonts w:ascii="Arial" w:eastAsia="Arial" w:hAnsi="Arial" w:cs="Arial"/>
          <w:spacing w:val="57"/>
        </w:rPr>
        <w:t xml:space="preserve"> </w:t>
      </w:r>
      <w:r>
        <w:rPr>
          <w:spacing w:val="3"/>
        </w:rPr>
        <w:t>为切点，高于此水平者</w:t>
      </w:r>
      <w:r>
        <w:t xml:space="preserve"> </w:t>
      </w:r>
      <w:r>
        <w:rPr>
          <w:rFonts w:ascii="Arial" w:eastAsia="Arial" w:hAnsi="Arial" w:cs="Arial"/>
          <w:spacing w:val="-1"/>
        </w:rPr>
        <w:t xml:space="preserve">ASCVD  </w:t>
      </w:r>
      <w:r>
        <w:rPr>
          <w:spacing w:val="-1"/>
        </w:rPr>
        <w:t>风险增加。</w:t>
      </w:r>
      <w:r>
        <w:rPr>
          <w:rFonts w:ascii="Arial" w:eastAsia="Arial" w:hAnsi="Arial" w:cs="Arial"/>
          <w:spacing w:val="-1"/>
        </w:rPr>
        <w:t>Lp(a)</w:t>
      </w:r>
      <w:r>
        <w:rPr>
          <w:spacing w:val="-1"/>
        </w:rPr>
        <w:t>升高是冠心病、缺血性脑卒中、外周血管疾病、</w:t>
      </w:r>
    </w:p>
    <w:p>
      <w:pPr>
        <w:pStyle w:val="BodyText"/>
        <w:spacing w:before="1" w:line="220" w:lineRule="auto"/>
        <w:ind w:left="13"/>
      </w:pPr>
      <w:r>
        <w:rPr>
          <w:spacing w:val="-2"/>
        </w:rPr>
        <w:t>冠状动脉钙化及钙化性主动脉瓣狭窄等的独立危险因素。</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4" w:line="221" w:lineRule="auto"/>
        <w:ind w:left="13"/>
      </w:pPr>
      <w:r>
        <w:rPr>
          <w:spacing w:val="-1"/>
        </w:rPr>
        <w:t>4</w:t>
      </w:r>
      <w:r>
        <w:rPr>
          <w:spacing w:val="97"/>
        </w:rPr>
        <w:t xml:space="preserve"> </w:t>
      </w:r>
      <w:r>
        <w:rPr>
          <w:spacing w:val="-1"/>
        </w:rPr>
        <w:t>动脉粥样硬化性心血管疾病总体风险评估</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2" w:lineRule="auto"/>
        <w:ind w:left="13"/>
      </w:pPr>
      <w:r>
        <w:rPr>
          <w:spacing w:val="-2"/>
        </w:rPr>
        <w:t>要点提示</w:t>
      </w:r>
    </w:p>
    <w:p>
      <w:pPr>
        <w:spacing w:line="250" w:lineRule="auto"/>
        <w:rPr>
          <w:rFonts w:ascii="Arial"/>
          <w:sz w:val="21"/>
        </w:rPr>
      </w:pPr>
    </w:p>
    <w:p>
      <w:pPr>
        <w:pStyle w:val="BodyText"/>
        <w:spacing w:before="86" w:line="221" w:lineRule="auto"/>
        <w:ind w:left="113"/>
      </w:pPr>
      <w:r>
        <w:rPr>
          <w:rFonts w:ascii="SimSun" w:eastAsia="SimSun" w:hAnsi="SimSun" w:cs="SimSun"/>
          <w:spacing w:val="-4"/>
        </w:rPr>
        <w:t>(1)ASCVD</w:t>
      </w:r>
      <w:r>
        <w:rPr>
          <w:rFonts w:ascii="SimSun" w:eastAsia="SimSun" w:hAnsi="SimSun" w:cs="SimSun"/>
          <w:spacing w:val="16"/>
        </w:rPr>
        <w:t xml:space="preserve">    </w:t>
      </w:r>
      <w:r>
        <w:rPr>
          <w:spacing w:val="-4"/>
        </w:rPr>
        <w:t>总体风险评估是血脂干预决策的</w:t>
      </w:r>
      <w:r>
        <w:rPr>
          <w:spacing w:val="-5"/>
        </w:rPr>
        <w:t>基础。</w:t>
      </w:r>
    </w:p>
    <w:p>
      <w:pPr>
        <w:spacing w:line="283" w:lineRule="auto"/>
        <w:rPr>
          <w:rFonts w:ascii="Arial"/>
          <w:sz w:val="21"/>
        </w:rPr>
      </w:pPr>
    </w:p>
    <w:p>
      <w:pPr>
        <w:spacing w:line="283" w:lineRule="auto"/>
        <w:rPr>
          <w:rFonts w:ascii="Arial"/>
          <w:sz w:val="21"/>
        </w:rPr>
      </w:pPr>
    </w:p>
    <w:p>
      <w:pPr>
        <w:spacing w:line="283" w:lineRule="auto"/>
        <w:rPr>
          <w:rFonts w:ascii="Arial"/>
          <w:sz w:val="21"/>
        </w:rPr>
        <w:sectPr>
          <w:pgSz w:w="11910" w:h="16840"/>
          <w:pgMar w:top="1431" w:right="1739" w:bottom="0" w:left="1786" w:header="0" w:footer="0" w:gutter="0"/>
          <w:pgNumType w:start="13"/>
          <w:cols w:space="708"/>
        </w:sectPr>
      </w:pPr>
    </w:p>
    <w:p>
      <w:pPr>
        <w:pStyle w:val="BodyText"/>
        <w:spacing w:before="84" w:line="221" w:lineRule="auto"/>
        <w:ind w:left="113"/>
      </w:pPr>
      <w:r>
        <w:rPr>
          <w:spacing w:val="1"/>
        </w:rPr>
        <w:t>(2)推荐采用基于我国人群长期队列研究建立的“中国成人</w:t>
      </w:r>
      <w:r>
        <w:rPr>
          <w:rFonts w:ascii="SimSun" w:eastAsia="SimSun" w:hAnsi="SimSun" w:cs="SimSun"/>
        </w:rPr>
        <w:t>ASCVD</w:t>
      </w:r>
      <w:r>
        <w:rPr>
          <w:rFonts w:ascii="SimSun" w:eastAsia="SimSun" w:hAnsi="SimSun" w:cs="SimSun"/>
          <w:spacing w:val="54"/>
        </w:rPr>
        <w:t xml:space="preserve">  </w:t>
      </w:r>
      <w:r>
        <w:rPr>
          <w:spacing w:val="1"/>
        </w:rPr>
        <w:t>总体</w:t>
      </w:r>
    </w:p>
    <w:p>
      <w:pPr>
        <w:pStyle w:val="BodyText"/>
        <w:spacing w:before="289" w:line="221" w:lineRule="auto"/>
        <w:ind w:left="13"/>
      </w:pPr>
      <w:r>
        <w:rPr>
          <w:spacing w:val="-13"/>
        </w:rPr>
        <w:t>发病风险评估流程图“进行风险评估。</w:t>
      </w: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85" w:line="222" w:lineRule="auto"/>
        <w:jc w:val="right"/>
      </w:pPr>
      <w:r>
        <w:rPr>
          <w:spacing w:val="-4"/>
        </w:rPr>
        <w:t>(</w:t>
      </w:r>
      <w:r>
        <w:rPr>
          <w:spacing w:val="-41"/>
        </w:rPr>
        <w:t xml:space="preserve"> </w:t>
      </w:r>
      <w:r>
        <w:rPr>
          <w:spacing w:val="-4"/>
        </w:rPr>
        <w:t>3</w:t>
      </w:r>
      <w:r>
        <w:rPr>
          <w:spacing w:val="-61"/>
        </w:rPr>
        <w:t xml:space="preserve"> </w:t>
      </w:r>
      <w:r>
        <w:rPr>
          <w:spacing w:val="-4"/>
        </w:rPr>
        <w:t>)</w:t>
      </w:r>
      <w:r>
        <w:rPr>
          <w:spacing w:val="-60"/>
        </w:rPr>
        <w:t xml:space="preserve"> </w:t>
      </w:r>
      <w:r>
        <w:rPr>
          <w:spacing w:val="-4"/>
        </w:rPr>
        <w:t>对</w:t>
      </w:r>
      <w:r>
        <w:rPr>
          <w:spacing w:val="-59"/>
        </w:rPr>
        <w:t xml:space="preserve"> </w:t>
      </w:r>
      <w:r>
        <w:rPr>
          <w:spacing w:val="-4"/>
        </w:rPr>
        <w:t>&lt;</w:t>
      </w:r>
      <w:r>
        <w:rPr>
          <w:spacing w:val="-63"/>
        </w:rPr>
        <w:t xml:space="preserve"> </w:t>
      </w:r>
      <w:r>
        <w:rPr>
          <w:spacing w:val="-4"/>
        </w:rPr>
        <w:t>5</w:t>
      </w:r>
      <w:r>
        <w:rPr>
          <w:spacing w:val="-63"/>
        </w:rPr>
        <w:t xml:space="preserve"> </w:t>
      </w:r>
      <w:r>
        <w:rPr>
          <w:spacing w:val="-4"/>
        </w:rPr>
        <w:t>5</w:t>
      </w:r>
      <w:r>
        <w:rPr>
          <w:spacing w:val="-53"/>
        </w:rPr>
        <w:t xml:space="preserve"> </w:t>
      </w:r>
      <w:r>
        <w:rPr>
          <w:spacing w:val="-4"/>
        </w:rPr>
        <w:t>岁</w:t>
      </w:r>
      <w:r>
        <w:rPr>
          <w:spacing w:val="-53"/>
        </w:rPr>
        <w:t xml:space="preserve"> </w:t>
      </w:r>
      <w:r>
        <w:rPr>
          <w:spacing w:val="-4"/>
        </w:rPr>
        <w:t>且</w:t>
      </w:r>
      <w:r>
        <w:rPr>
          <w:rFonts w:ascii="Arial" w:eastAsia="Arial" w:hAnsi="Arial" w:cs="Arial"/>
          <w:spacing w:val="-4"/>
        </w:rPr>
        <w:t>ASCVD10</w:t>
      </w:r>
      <w:r>
        <w:rPr>
          <w:rFonts w:ascii="Arial" w:eastAsia="Arial" w:hAnsi="Arial" w:cs="Arial"/>
          <w:spacing w:val="64"/>
        </w:rPr>
        <w:t xml:space="preserve"> </w:t>
      </w:r>
      <w:r>
        <w:rPr>
          <w:spacing w:val="-4"/>
        </w:rPr>
        <w:t>年风险为中危者进一步进行余生风险评估。</w:t>
      </w:r>
    </w:p>
    <w:p>
      <w:pPr>
        <w:spacing w:line="222" w:lineRule="auto"/>
        <w:sectPr>
          <w:type w:val="nextPage"/>
          <w:pgSz w:w="11910" w:h="16840"/>
          <w:pgMar w:top="1431" w:right="1739" w:bottom="0" w:left="1786" w:header="0" w:footer="0" w:gutter="0"/>
          <w:pgNumType w:start="14"/>
          <w:cols w:space="708"/>
          <w:titlePg w:val="0"/>
        </w:sectPr>
      </w:pPr>
    </w:p>
    <w:p>
      <w:pPr>
        <w:pStyle w:val="BodyText"/>
        <w:spacing w:before="195" w:line="633" w:lineRule="exact"/>
        <w:ind w:left="113"/>
      </w:pPr>
      <w:r>
        <w:rPr>
          <w:rFonts w:ascii="SimSun" w:eastAsia="SimSun" w:hAnsi="SimSun" w:cs="SimSun"/>
          <w:position w:val="29"/>
        </w:rPr>
        <w:t>(4)ASCVD     10</w:t>
      </w:r>
      <w:r>
        <w:rPr>
          <w:position w:val="29"/>
        </w:rPr>
        <w:t>年风险为中危且余生风险不属于高危的个体，应考虑结</w:t>
      </w:r>
    </w:p>
    <w:p>
      <w:pPr>
        <w:pStyle w:val="BodyText"/>
        <w:spacing w:line="221" w:lineRule="auto"/>
        <w:ind w:left="3"/>
      </w:pPr>
      <w:r>
        <w:rPr>
          <w:spacing w:val="-6"/>
        </w:rPr>
        <w:t>合风险增强因素决定干预措施。</w:t>
      </w:r>
    </w:p>
    <w:p>
      <w:pPr>
        <w:pStyle w:val="BodyText"/>
        <w:spacing w:before="307" w:line="222" w:lineRule="auto"/>
        <w:ind w:left="3"/>
      </w:pPr>
      <w:r>
        <w:rPr>
          <w:rFonts w:ascii="SimSun" w:eastAsia="SimSun" w:hAnsi="SimSun" w:cs="SimSun"/>
          <w:spacing w:val="-2"/>
        </w:rPr>
        <w:t>ASCVD</w:t>
      </w:r>
      <w:r>
        <w:rPr>
          <w:rFonts w:ascii="SimSun" w:eastAsia="SimSun" w:hAnsi="SimSun" w:cs="SimSun"/>
          <w:spacing w:val="50"/>
        </w:rPr>
        <w:t xml:space="preserve">  </w:t>
      </w:r>
      <w:r>
        <w:rPr>
          <w:spacing w:val="-2"/>
        </w:rPr>
        <w:t>风险增强因素</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BodyText"/>
        <w:spacing w:before="85" w:line="222" w:lineRule="auto"/>
        <w:ind w:left="3"/>
        <w:rPr>
          <w:rFonts w:ascii="SimSun" w:eastAsia="SimSun" w:hAnsi="SimSun" w:cs="SimSun"/>
        </w:rPr>
      </w:pPr>
      <w:r>
        <w:rPr>
          <w:spacing w:val="5"/>
        </w:rPr>
        <w:t>靶器官损害冠状动脉钙化≥100</w:t>
      </w:r>
      <w:r>
        <w:rPr>
          <w:rFonts w:ascii="SimSun" w:eastAsia="SimSun" w:hAnsi="SimSun" w:cs="SimSun"/>
        </w:rPr>
        <w:t>AU</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BodyText"/>
        <w:spacing w:before="85" w:line="221" w:lineRule="auto"/>
        <w:ind w:left="3"/>
      </w:pPr>
      <w:r>
        <w:rPr>
          <w:spacing w:val="-4"/>
        </w:rPr>
        <w:t>超声示颈动脉内膜中层厚度≥0.9</w:t>
      </w:r>
      <w:r>
        <w:rPr>
          <w:rFonts w:ascii="SimSun" w:eastAsia="SimSun" w:hAnsi="SimSun" w:cs="SimSun"/>
          <w:spacing w:val="-4"/>
        </w:rPr>
        <w:t>mm</w:t>
      </w:r>
      <w:r>
        <w:rPr>
          <w:rFonts w:ascii="SimSun" w:eastAsia="SimSun" w:hAnsi="SimSun" w:cs="SimSun"/>
          <w:spacing w:val="53"/>
        </w:rPr>
        <w:t xml:space="preserve">  </w:t>
      </w:r>
      <w:r>
        <w:rPr>
          <w:spacing w:val="-4"/>
        </w:rPr>
        <w:t>或存在颈动脉粥样斑块</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4" w:line="221" w:lineRule="auto"/>
        <w:ind w:left="3"/>
      </w:pPr>
      <w:r>
        <w:rPr>
          <w:spacing w:val="9"/>
        </w:rPr>
        <w:t>踝/臂血压指数&lt;0.9</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BodyText"/>
        <w:spacing w:before="85" w:line="212" w:lineRule="auto"/>
        <w:ind w:left="3"/>
      </w:pPr>
      <w:r>
        <w:rPr>
          <w:spacing w:val="2"/>
        </w:rPr>
        <w:t>左心室肥厚：心电图</w:t>
      </w:r>
      <w:r>
        <w:rPr>
          <w:spacing w:val="2"/>
        </w:rPr>
        <w:t xml:space="preserve"> </w:t>
      </w:r>
      <w:r>
        <w:rPr>
          <w:rFonts w:ascii="Arial" w:eastAsia="Arial" w:hAnsi="Arial" w:cs="Arial"/>
        </w:rPr>
        <w:t>Sv</w:t>
      </w:r>
      <w:r>
        <w:rPr>
          <w:rFonts w:ascii="Arial" w:eastAsia="Arial" w:hAnsi="Arial" w:cs="Arial"/>
          <w:spacing w:val="2"/>
        </w:rPr>
        <w:t xml:space="preserve">1   </w:t>
      </w:r>
      <w:r>
        <w:rPr>
          <w:spacing w:val="2"/>
        </w:rPr>
        <w:t>+</w:t>
      </w:r>
      <w:r>
        <w:rPr>
          <w:spacing w:val="125"/>
        </w:rPr>
        <w:t xml:space="preserve"> </w:t>
      </w:r>
      <w:r>
        <w:rPr>
          <w:rFonts w:ascii="Arial" w:eastAsia="Arial" w:hAnsi="Arial" w:cs="Arial"/>
        </w:rPr>
        <w:t>Rv</w:t>
      </w:r>
      <w:r>
        <w:rPr>
          <w:rFonts w:ascii="Arial" w:eastAsia="Arial" w:hAnsi="Arial" w:cs="Arial"/>
          <w:spacing w:val="2"/>
        </w:rPr>
        <w:t>5(</w:t>
      </w:r>
      <w:r>
        <w:rPr>
          <w:rFonts w:ascii="Arial" w:eastAsia="Arial" w:hAnsi="Arial" w:cs="Arial"/>
        </w:rPr>
        <w:t>Rv</w:t>
      </w:r>
      <w:r>
        <w:rPr>
          <w:rFonts w:ascii="Arial" w:eastAsia="Arial" w:hAnsi="Arial" w:cs="Arial"/>
          <w:spacing w:val="2"/>
        </w:rPr>
        <w:t xml:space="preserve">6)    </w:t>
      </w:r>
      <w:r>
        <w:rPr>
          <w:spacing w:val="2"/>
        </w:rPr>
        <w:t>电压&gt;3</w:t>
      </w:r>
      <w:r>
        <w:rPr>
          <w:spacing w:val="-75"/>
        </w:rPr>
        <w:t xml:space="preserve"> </w:t>
      </w:r>
      <w:r>
        <w:rPr>
          <w:spacing w:val="2"/>
        </w:rPr>
        <w:t>.8</w:t>
      </w:r>
      <w:r>
        <w:rPr>
          <w:rFonts w:ascii="Arial" w:eastAsia="Arial" w:hAnsi="Arial" w:cs="Arial"/>
        </w:rPr>
        <w:t>mV</w:t>
      </w:r>
      <w:r>
        <w:rPr>
          <w:rFonts w:ascii="Arial" w:eastAsia="Arial" w:hAnsi="Arial" w:cs="Arial"/>
          <w:spacing w:val="2"/>
        </w:rPr>
        <w:t xml:space="preserve">,   </w:t>
      </w:r>
      <w:r>
        <w:rPr>
          <w:spacing w:val="2"/>
        </w:rPr>
        <w:t>或</w:t>
      </w:r>
      <w:r>
        <w:rPr>
          <w:spacing w:val="1"/>
        </w:rPr>
        <w:t>超声心动图</w:t>
      </w:r>
    </w:p>
    <w:p>
      <w:pPr>
        <w:spacing w:line="274" w:lineRule="auto"/>
        <w:rPr>
          <w:rFonts w:ascii="Arial"/>
          <w:sz w:val="21"/>
        </w:rPr>
      </w:pPr>
    </w:p>
    <w:p>
      <w:pPr>
        <w:pStyle w:val="BodyText"/>
        <w:spacing w:before="85" w:line="217" w:lineRule="auto"/>
        <w:ind w:left="3"/>
        <w:rPr>
          <w:rFonts w:ascii="SimSun" w:eastAsia="SimSun" w:hAnsi="SimSun" w:cs="SimSun"/>
        </w:rPr>
      </w:pPr>
      <w:r>
        <w:rPr>
          <w:spacing w:val="11"/>
        </w:rPr>
        <w:t>示左心室质量指数&gt;109/105</w:t>
      </w:r>
      <w:r>
        <w:rPr>
          <w:rFonts w:ascii="SimSun" w:eastAsia="SimSun" w:hAnsi="SimSun" w:cs="SimSun"/>
          <w:spacing w:val="11"/>
        </w:rPr>
        <w:t>g/m2</w:t>
      </w: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BodyText"/>
        <w:spacing w:before="85" w:line="221" w:lineRule="auto"/>
        <w:ind w:left="113"/>
        <w:rPr>
          <w:rFonts w:ascii="Arial" w:eastAsia="Arial" w:hAnsi="Arial" w:cs="Arial"/>
        </w:rPr>
      </w:pPr>
      <w:r>
        <w:rPr>
          <w:spacing w:val="6"/>
        </w:rPr>
        <w:t>(男性/女性),或室间隔厚度≥11</w:t>
      </w:r>
      <w:r>
        <w:rPr>
          <w:rFonts w:ascii="Arial" w:eastAsia="Arial" w:hAnsi="Arial" w:cs="Arial"/>
        </w:rPr>
        <w:t>mm</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84" w:line="223" w:lineRule="auto"/>
        <w:ind w:left="3"/>
        <w:rPr>
          <w:rFonts w:ascii="Arial" w:eastAsia="Arial" w:hAnsi="Arial" w:cs="Arial"/>
        </w:rPr>
      </w:pPr>
      <w:r>
        <w:rPr>
          <w:spacing w:val="3"/>
        </w:rPr>
        <w:t>血清生物标志物非</w:t>
      </w:r>
      <w:r>
        <w:rPr>
          <w:spacing w:val="3"/>
        </w:rPr>
        <w:t xml:space="preserve"> </w:t>
      </w:r>
      <w:r>
        <w:rPr>
          <w:rFonts w:ascii="Arial" w:eastAsia="Arial" w:hAnsi="Arial" w:cs="Arial"/>
        </w:rPr>
        <w:t>HDL</w:t>
      </w:r>
      <w:r>
        <w:rPr>
          <w:rFonts w:ascii="Arial" w:eastAsia="Arial" w:hAnsi="Arial" w:cs="Arial"/>
          <w:spacing w:val="3"/>
        </w:rPr>
        <w:t>-C≥4.9</w:t>
      </w:r>
      <w:r>
        <w:rPr>
          <w:rFonts w:ascii="Arial" w:eastAsia="Arial" w:hAnsi="Arial" w:cs="Arial"/>
        </w:rPr>
        <w:t>mmol</w:t>
      </w:r>
      <w:r>
        <w:rPr>
          <w:rFonts w:ascii="Arial" w:eastAsia="Arial" w:hAnsi="Arial" w:cs="Arial"/>
          <w:spacing w:val="3"/>
        </w:rPr>
        <w:t>/L</w:t>
      </w: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before="75" w:line="198" w:lineRule="auto"/>
        <w:ind w:left="3"/>
        <w:rPr>
          <w:rFonts w:ascii="Arial" w:eastAsia="Arial" w:hAnsi="Arial" w:cs="Arial"/>
          <w:sz w:val="26"/>
          <w:szCs w:val="26"/>
        </w:rPr>
        <w:sectPr>
          <w:pgSz w:w="11910" w:h="16840"/>
          <w:pgMar w:top="1431" w:right="1786" w:bottom="0" w:left="1786" w:header="0" w:footer="0" w:gutter="0"/>
          <w:pgNumType w:start="15"/>
          <w:cols w:space="708"/>
        </w:sectPr>
      </w:pPr>
      <w:r>
        <w:rPr>
          <w:rFonts w:ascii="Arial" w:eastAsia="Arial" w:hAnsi="Arial" w:cs="Arial"/>
          <w:spacing w:val="-1"/>
          <w:sz w:val="26"/>
          <w:szCs w:val="26"/>
        </w:rPr>
        <w:t>ApoB≥1.3g/L</w:t>
      </w:r>
    </w:p>
    <w:p>
      <w:pPr>
        <w:spacing w:line="307" w:lineRule="auto"/>
        <w:rPr>
          <w:rFonts w:ascii="Arial"/>
          <w:sz w:val="21"/>
        </w:rPr>
      </w:pPr>
    </w:p>
    <w:p>
      <w:pPr>
        <w:spacing w:line="307" w:lineRule="auto"/>
        <w:rPr>
          <w:rFonts w:ascii="Arial"/>
          <w:sz w:val="21"/>
        </w:rPr>
      </w:pPr>
    </w:p>
    <w:p>
      <w:pPr>
        <w:spacing w:line="308" w:lineRule="auto"/>
        <w:rPr>
          <w:rFonts w:ascii="Arial"/>
          <w:sz w:val="21"/>
        </w:rPr>
      </w:pPr>
    </w:p>
    <w:p>
      <w:pPr>
        <w:spacing w:before="76" w:line="198" w:lineRule="auto"/>
        <w:ind w:left="3"/>
        <w:rPr>
          <w:rFonts w:ascii="Arial" w:eastAsia="Arial" w:hAnsi="Arial" w:cs="Arial"/>
          <w:sz w:val="26"/>
          <w:szCs w:val="26"/>
        </w:rPr>
      </w:pPr>
      <w:r>
        <w:rPr>
          <w:rFonts w:ascii="Arial" w:eastAsia="Arial" w:hAnsi="Arial" w:cs="Arial"/>
          <w:spacing w:val="-2"/>
          <w:sz w:val="26"/>
          <w:szCs w:val="26"/>
        </w:rPr>
        <w:t>Lp(a)≥500mg/L</w:t>
      </w:r>
    </w:p>
    <w:p>
      <w:pPr>
        <w:spacing w:line="311" w:lineRule="auto"/>
        <w:rPr>
          <w:rFonts w:ascii="Arial"/>
          <w:sz w:val="21"/>
        </w:rPr>
      </w:pPr>
    </w:p>
    <w:p>
      <w:pPr>
        <w:spacing w:line="311" w:lineRule="auto"/>
        <w:rPr>
          <w:rFonts w:ascii="Arial"/>
          <w:sz w:val="21"/>
        </w:rPr>
      </w:pPr>
    </w:p>
    <w:p>
      <w:pPr>
        <w:spacing w:line="312" w:lineRule="auto"/>
        <w:rPr>
          <w:rFonts w:ascii="Arial"/>
          <w:sz w:val="21"/>
        </w:rPr>
      </w:pPr>
    </w:p>
    <w:p>
      <w:pPr>
        <w:spacing w:before="75" w:line="198" w:lineRule="auto"/>
        <w:ind w:left="3"/>
        <w:rPr>
          <w:rFonts w:ascii="Arial" w:eastAsia="Arial" w:hAnsi="Arial" w:cs="Arial"/>
          <w:sz w:val="26"/>
          <w:szCs w:val="26"/>
        </w:rPr>
      </w:pPr>
      <w:r>
        <w:rPr>
          <w:rFonts w:ascii="Arial" w:eastAsia="Arial" w:hAnsi="Arial" w:cs="Arial"/>
          <w:spacing w:val="-2"/>
          <w:sz w:val="26"/>
          <w:szCs w:val="26"/>
        </w:rPr>
        <w:t>TG</w:t>
      </w:r>
      <w:r>
        <w:rPr>
          <w:rFonts w:ascii="Arial" w:eastAsia="Arial" w:hAnsi="Arial" w:cs="Arial"/>
          <w:spacing w:val="12"/>
          <w:sz w:val="26"/>
          <w:szCs w:val="26"/>
        </w:rPr>
        <w:t xml:space="preserve">   </w:t>
      </w:r>
      <w:r>
        <w:rPr>
          <w:rFonts w:ascii="Arial" w:eastAsia="Arial" w:hAnsi="Arial" w:cs="Arial"/>
          <w:spacing w:val="-2"/>
          <w:sz w:val="26"/>
          <w:szCs w:val="26"/>
        </w:rPr>
        <w:t>≥2.3mmol/L</w:t>
      </w:r>
    </w:p>
    <w:p>
      <w:pPr>
        <w:spacing w:line="198" w:lineRule="auto"/>
        <w:rPr>
          <w:rFonts w:ascii="Arial" w:eastAsia="Arial" w:hAnsi="Arial" w:cs="Arial"/>
          <w:sz w:val="26"/>
          <w:szCs w:val="26"/>
        </w:rPr>
        <w:sectPr>
          <w:type w:val="nextPage"/>
          <w:pgSz w:w="11910" w:h="16840"/>
          <w:pgMar w:top="1431" w:right="1786" w:bottom="0" w:left="1786" w:header="0" w:footer="0" w:gutter="0"/>
          <w:pgNumType w:start="16"/>
          <w:cols w:space="708"/>
          <w:titlePg w:val="0"/>
        </w:sectPr>
      </w:pPr>
    </w:p>
    <w:p>
      <w:pPr>
        <w:pStyle w:val="BodyText"/>
        <w:spacing w:before="200" w:line="212" w:lineRule="auto"/>
        <w:ind w:left="23"/>
        <w:rPr>
          <w:rFonts w:ascii="Arial" w:eastAsia="Arial" w:hAnsi="Arial" w:cs="Arial"/>
          <w:sz w:val="27"/>
          <w:szCs w:val="27"/>
        </w:rPr>
      </w:pPr>
      <w:r>
        <w:rPr>
          <w:spacing w:val="-9"/>
          <w:sz w:val="27"/>
          <w:szCs w:val="27"/>
        </w:rPr>
        <w:t>高敏</w:t>
      </w:r>
      <w:r>
        <w:rPr>
          <w:rFonts w:ascii="Arial" w:eastAsia="Arial" w:hAnsi="Arial" w:cs="Arial"/>
          <w:spacing w:val="-9"/>
          <w:sz w:val="27"/>
          <w:szCs w:val="27"/>
        </w:rPr>
        <w:t>C</w:t>
      </w:r>
      <w:r>
        <w:rPr>
          <w:rFonts w:ascii="Arial" w:eastAsia="Arial" w:hAnsi="Arial" w:cs="Arial"/>
          <w:spacing w:val="-25"/>
          <w:sz w:val="27"/>
          <w:szCs w:val="27"/>
        </w:rPr>
        <w:t xml:space="preserve"> </w:t>
      </w:r>
      <w:r>
        <w:rPr>
          <w:spacing w:val="-9"/>
          <w:sz w:val="27"/>
          <w:szCs w:val="27"/>
        </w:rPr>
        <w:t>反应蛋白≥2.0</w:t>
      </w:r>
      <w:r>
        <w:rPr>
          <w:rFonts w:ascii="Arial" w:eastAsia="Arial" w:hAnsi="Arial" w:cs="Arial"/>
          <w:spacing w:val="-9"/>
          <w:sz w:val="27"/>
          <w:szCs w:val="27"/>
        </w:rPr>
        <w:t>mg/L</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BodyText"/>
        <w:spacing w:before="88" w:line="630" w:lineRule="exact"/>
        <w:ind w:left="23"/>
        <w:rPr>
          <w:sz w:val="27"/>
          <w:szCs w:val="27"/>
        </w:rPr>
      </w:pPr>
      <w:r>
        <w:rPr>
          <w:spacing w:val="2"/>
          <w:position w:val="27"/>
          <w:sz w:val="27"/>
          <w:szCs w:val="27"/>
        </w:rPr>
        <w:t>其他因素肥胖或腹部肥胖、早发心血管疾病家</w:t>
      </w:r>
      <w:r>
        <w:rPr>
          <w:spacing w:val="1"/>
          <w:position w:val="27"/>
          <w:sz w:val="27"/>
          <w:szCs w:val="27"/>
        </w:rPr>
        <w:t>族史[发病年龄&lt;55/65岁</w:t>
      </w:r>
    </w:p>
    <w:p>
      <w:pPr>
        <w:pStyle w:val="BodyText"/>
        <w:spacing w:before="1" w:line="220" w:lineRule="auto"/>
        <w:ind w:left="123"/>
        <w:rPr>
          <w:sz w:val="27"/>
          <w:szCs w:val="27"/>
        </w:rPr>
      </w:pPr>
      <w:r>
        <w:rPr>
          <w:spacing w:val="17"/>
          <w:sz w:val="27"/>
          <w:szCs w:val="27"/>
        </w:rPr>
        <w:t>(男性/女性)]等</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88" w:line="620" w:lineRule="exact"/>
        <w:ind w:left="43"/>
        <w:rPr>
          <w:sz w:val="27"/>
          <w:szCs w:val="27"/>
        </w:rPr>
      </w:pPr>
      <w:r>
        <w:rPr>
          <w:spacing w:val="-9"/>
          <w:position w:val="26"/>
          <w:sz w:val="27"/>
          <w:szCs w:val="27"/>
        </w:rPr>
        <w:t>5</w:t>
      </w:r>
      <w:r>
        <w:rPr>
          <w:spacing w:val="61"/>
          <w:position w:val="26"/>
          <w:sz w:val="27"/>
          <w:szCs w:val="27"/>
        </w:rPr>
        <w:t xml:space="preserve"> </w:t>
      </w:r>
      <w:r>
        <w:rPr>
          <w:spacing w:val="-9"/>
          <w:position w:val="26"/>
          <w:sz w:val="27"/>
          <w:szCs w:val="27"/>
        </w:rPr>
        <w:t>血脂合适水平的参考标准</w:t>
      </w:r>
    </w:p>
    <w:p>
      <w:pPr>
        <w:pStyle w:val="BodyText"/>
        <w:spacing w:line="221" w:lineRule="auto"/>
        <w:ind w:left="13"/>
        <w:rPr>
          <w:sz w:val="27"/>
          <w:szCs w:val="27"/>
        </w:rPr>
      </w:pPr>
      <w:r>
        <w:rPr>
          <w:spacing w:val="-7"/>
          <w:sz w:val="27"/>
          <w:szCs w:val="27"/>
        </w:rPr>
        <w:t>要点提示</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8" w:line="221" w:lineRule="auto"/>
        <w:ind w:left="123"/>
        <w:rPr>
          <w:sz w:val="27"/>
          <w:szCs w:val="27"/>
        </w:rPr>
      </w:pPr>
      <w:r>
        <w:rPr>
          <w:rFonts w:ascii="SimSun" w:eastAsia="SimSun" w:hAnsi="SimSun" w:cs="SimSun"/>
          <w:spacing w:val="-8"/>
          <w:sz w:val="27"/>
          <w:szCs w:val="27"/>
        </w:rPr>
        <w:t xml:space="preserve">(1)LDL-C   </w:t>
      </w:r>
      <w:r>
        <w:rPr>
          <w:spacing w:val="-8"/>
          <w:sz w:val="27"/>
          <w:szCs w:val="27"/>
        </w:rPr>
        <w:t>的参考水平仅适用</w:t>
      </w:r>
      <w:r>
        <w:rPr>
          <w:spacing w:val="-9"/>
          <w:sz w:val="27"/>
          <w:szCs w:val="27"/>
        </w:rPr>
        <w:t>于</w:t>
      </w:r>
      <w:r>
        <w:rPr>
          <w:spacing w:val="-30"/>
          <w:sz w:val="27"/>
          <w:szCs w:val="27"/>
        </w:rPr>
        <w:t xml:space="preserve"> </w:t>
      </w:r>
      <w:r>
        <w:rPr>
          <w:rFonts w:ascii="SimSun" w:eastAsia="SimSun" w:hAnsi="SimSun" w:cs="SimSun"/>
          <w:spacing w:val="-9"/>
          <w:sz w:val="27"/>
          <w:szCs w:val="27"/>
        </w:rPr>
        <w:t xml:space="preserve">ASCVD   </w:t>
      </w:r>
      <w:r>
        <w:rPr>
          <w:spacing w:val="-9"/>
          <w:sz w:val="27"/>
          <w:szCs w:val="27"/>
        </w:rPr>
        <w:t>总体风险为低危的人群。</w:t>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pStyle w:val="BodyText"/>
        <w:spacing w:before="88" w:line="616" w:lineRule="exact"/>
        <w:ind w:left="123"/>
        <w:rPr>
          <w:sz w:val="27"/>
          <w:szCs w:val="27"/>
        </w:rPr>
      </w:pPr>
      <w:r>
        <w:rPr>
          <w:spacing w:val="-7"/>
          <w:position w:val="26"/>
          <w:sz w:val="27"/>
          <w:szCs w:val="27"/>
        </w:rPr>
        <w:t>(2</w:t>
      </w:r>
      <w:r>
        <w:rPr>
          <w:spacing w:val="-7"/>
          <w:position w:val="26"/>
          <w:sz w:val="27"/>
          <w:szCs w:val="27"/>
        </w:rPr>
        <w:t xml:space="preserve"> </w:t>
      </w:r>
      <w:r>
        <w:rPr>
          <w:spacing w:val="-7"/>
          <w:position w:val="26"/>
          <w:sz w:val="27"/>
          <w:szCs w:val="27"/>
        </w:rPr>
        <w:t>)在临床实践中判断患者</w:t>
      </w:r>
      <w:r>
        <w:rPr>
          <w:spacing w:val="-7"/>
          <w:position w:val="26"/>
          <w:sz w:val="27"/>
          <w:szCs w:val="27"/>
        </w:rPr>
        <w:t xml:space="preserve"> </w:t>
      </w:r>
      <w:r>
        <w:rPr>
          <w:rFonts w:ascii="SimSun" w:eastAsia="SimSun" w:hAnsi="SimSun" w:cs="SimSun"/>
          <w:spacing w:val="-7"/>
          <w:position w:val="26"/>
          <w:sz w:val="27"/>
          <w:szCs w:val="27"/>
        </w:rPr>
        <w:t>LDL-C</w:t>
      </w:r>
      <w:r>
        <w:rPr>
          <w:rFonts w:ascii="SimSun" w:eastAsia="SimSun" w:hAnsi="SimSun" w:cs="SimSun"/>
          <w:spacing w:val="48"/>
          <w:position w:val="26"/>
          <w:sz w:val="27"/>
          <w:szCs w:val="27"/>
        </w:rPr>
        <w:t xml:space="preserve"> </w:t>
      </w:r>
      <w:r>
        <w:rPr>
          <w:spacing w:val="-7"/>
          <w:position w:val="26"/>
          <w:sz w:val="27"/>
          <w:szCs w:val="27"/>
        </w:rPr>
        <w:t>控制水平时应</w:t>
      </w:r>
      <w:r>
        <w:rPr>
          <w:spacing w:val="-8"/>
          <w:position w:val="26"/>
          <w:sz w:val="27"/>
          <w:szCs w:val="27"/>
        </w:rPr>
        <w:t>参照</w:t>
      </w:r>
      <w:r>
        <w:rPr>
          <w:spacing w:val="-80"/>
          <w:position w:val="26"/>
          <w:sz w:val="27"/>
          <w:szCs w:val="27"/>
        </w:rPr>
        <w:t xml:space="preserve"> </w:t>
      </w:r>
      <w:r>
        <w:rPr>
          <w:rFonts w:ascii="SimSun" w:eastAsia="SimSun" w:hAnsi="SimSun" w:cs="SimSun"/>
          <w:spacing w:val="-8"/>
          <w:position w:val="26"/>
          <w:sz w:val="27"/>
          <w:szCs w:val="27"/>
        </w:rPr>
        <w:t xml:space="preserve">ASCVD  </w:t>
      </w:r>
      <w:r>
        <w:rPr>
          <w:spacing w:val="-8"/>
          <w:position w:val="26"/>
          <w:sz w:val="27"/>
          <w:szCs w:val="27"/>
        </w:rPr>
        <w:t>总体发病</w:t>
      </w:r>
    </w:p>
    <w:p>
      <w:pPr>
        <w:pStyle w:val="BodyText"/>
        <w:spacing w:line="221" w:lineRule="auto"/>
        <w:ind w:left="23"/>
        <w:rPr>
          <w:sz w:val="27"/>
          <w:szCs w:val="27"/>
        </w:rPr>
      </w:pPr>
      <w:r>
        <w:rPr>
          <w:spacing w:val="-17"/>
          <w:sz w:val="27"/>
          <w:szCs w:val="27"/>
        </w:rPr>
        <w:t>风险。</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BodyText"/>
        <w:spacing w:before="89" w:line="212" w:lineRule="auto"/>
        <w:ind w:left="33"/>
        <w:rPr>
          <w:rFonts w:ascii="Arial" w:eastAsia="Arial" w:hAnsi="Arial" w:cs="Arial"/>
          <w:sz w:val="27"/>
          <w:szCs w:val="27"/>
        </w:rPr>
      </w:pPr>
      <w:r>
        <w:rPr>
          <w:spacing w:val="-6"/>
          <w:sz w:val="27"/>
          <w:szCs w:val="27"/>
        </w:rPr>
        <w:t>中国</w:t>
      </w:r>
      <w:r>
        <w:rPr>
          <w:rFonts w:ascii="Arial" w:eastAsia="Arial" w:hAnsi="Arial" w:cs="Arial"/>
          <w:spacing w:val="-6"/>
          <w:sz w:val="27"/>
          <w:szCs w:val="27"/>
        </w:rPr>
        <w:t>ASCVD</w:t>
      </w:r>
      <w:r>
        <w:rPr>
          <w:spacing w:val="-6"/>
          <w:sz w:val="27"/>
          <w:szCs w:val="27"/>
        </w:rPr>
        <w:t>一级预防低危人群主要血脂指标</w:t>
      </w:r>
      <w:r>
        <w:rPr>
          <w:spacing w:val="-7"/>
          <w:sz w:val="27"/>
          <w:szCs w:val="27"/>
        </w:rPr>
        <w:t>的参考标准(单位</w:t>
      </w:r>
      <w:r>
        <w:rPr>
          <w:spacing w:val="-37"/>
          <w:sz w:val="27"/>
          <w:szCs w:val="27"/>
        </w:rPr>
        <w:t xml:space="preserve"> </w:t>
      </w:r>
      <w:r>
        <w:rPr>
          <w:rFonts w:ascii="Arial" w:eastAsia="Arial" w:hAnsi="Arial" w:cs="Arial"/>
          <w:spacing w:val="-7"/>
          <w:sz w:val="27"/>
          <w:szCs w:val="27"/>
        </w:rPr>
        <w:t>mmol/L)</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pStyle w:val="BodyText"/>
        <w:spacing w:before="88" w:line="222" w:lineRule="auto"/>
        <w:ind w:left="23"/>
        <w:rPr>
          <w:rFonts w:ascii="SimSun" w:eastAsia="SimSun" w:hAnsi="SimSun" w:cs="SimSun"/>
          <w:sz w:val="27"/>
          <w:szCs w:val="27"/>
        </w:rPr>
      </w:pPr>
      <w:r>
        <w:rPr>
          <w:spacing w:val="-4"/>
          <w:sz w:val="27"/>
          <w:szCs w:val="27"/>
        </w:rPr>
        <w:t>理想水平</w:t>
      </w:r>
      <w:r>
        <w:rPr>
          <w:spacing w:val="-4"/>
          <w:sz w:val="27"/>
          <w:szCs w:val="27"/>
        </w:rPr>
        <w:t xml:space="preserve"> </w:t>
      </w:r>
      <w:r>
        <w:rPr>
          <w:rFonts w:ascii="SimSun" w:eastAsia="SimSun" w:hAnsi="SimSun" w:cs="SimSun"/>
          <w:spacing w:val="-4"/>
          <w:sz w:val="27"/>
          <w:szCs w:val="27"/>
        </w:rPr>
        <w:t>TC:-·LDL-C:&lt;2.6·HDL-C:-·TG:-</w:t>
      </w:r>
      <w:r>
        <w:rPr>
          <w:rFonts w:ascii="SimSun" w:eastAsia="SimSun" w:hAnsi="SimSun" w:cs="SimSun"/>
          <w:spacing w:val="-32"/>
          <w:sz w:val="27"/>
          <w:szCs w:val="27"/>
        </w:rPr>
        <w:t xml:space="preserve"> </w:t>
      </w:r>
      <w:r>
        <w:rPr>
          <w:rFonts w:ascii="SimSun" w:eastAsia="SimSun" w:hAnsi="SimSun" w:cs="SimSun"/>
          <w:spacing w:val="-4"/>
          <w:sz w:val="27"/>
          <w:szCs w:val="27"/>
        </w:rPr>
        <w:t>·</w:t>
      </w:r>
      <w:r>
        <w:rPr>
          <w:rFonts w:ascii="SimSun" w:eastAsia="SimSun" w:hAnsi="SimSun" w:cs="SimSun"/>
          <w:spacing w:val="8"/>
          <w:sz w:val="27"/>
          <w:szCs w:val="27"/>
        </w:rPr>
        <w:t xml:space="preserve">       </w:t>
      </w:r>
      <w:r>
        <w:rPr>
          <w:spacing w:val="-5"/>
          <w:sz w:val="27"/>
          <w:szCs w:val="27"/>
        </w:rPr>
        <w:t>非</w:t>
      </w:r>
      <w:r>
        <w:rPr>
          <w:spacing w:val="-29"/>
          <w:sz w:val="27"/>
          <w:szCs w:val="27"/>
        </w:rPr>
        <w:t xml:space="preserve"> </w:t>
      </w:r>
      <w:r>
        <w:rPr>
          <w:rFonts w:ascii="SimSun" w:eastAsia="SimSun" w:hAnsi="SimSun" w:cs="SimSun"/>
          <w:spacing w:val="-5"/>
          <w:sz w:val="27"/>
          <w:szCs w:val="27"/>
        </w:rPr>
        <w:t>HDL-C:&lt;</w:t>
      </w:r>
    </w:p>
    <w:p>
      <w:pPr>
        <w:spacing w:line="251" w:lineRule="auto"/>
        <w:rPr>
          <w:rFonts w:ascii="Arial"/>
          <w:sz w:val="21"/>
        </w:rPr>
      </w:pPr>
    </w:p>
    <w:p>
      <w:pPr>
        <w:spacing w:before="78" w:line="198" w:lineRule="auto"/>
        <w:ind w:left="33"/>
        <w:rPr>
          <w:rFonts w:ascii="Arial" w:eastAsia="Arial" w:hAnsi="Arial" w:cs="Arial"/>
          <w:sz w:val="27"/>
          <w:szCs w:val="27"/>
        </w:rPr>
      </w:pPr>
      <w:r>
        <w:rPr>
          <w:rFonts w:ascii="Arial" w:eastAsia="Arial" w:hAnsi="Arial" w:cs="Arial"/>
          <w:spacing w:val="-1"/>
          <w:sz w:val="27"/>
          <w:szCs w:val="27"/>
        </w:rPr>
        <w:t>3.4·Lp(a):-</w:t>
      </w:r>
    </w:p>
    <w:p>
      <w:pPr>
        <w:spacing w:line="288" w:lineRule="auto"/>
        <w:rPr>
          <w:rFonts w:ascii="Arial"/>
          <w:sz w:val="21"/>
        </w:rPr>
      </w:pPr>
    </w:p>
    <w:p>
      <w:pPr>
        <w:spacing w:line="288" w:lineRule="auto"/>
        <w:rPr>
          <w:rFonts w:ascii="Arial"/>
          <w:sz w:val="21"/>
        </w:rPr>
        <w:sectPr>
          <w:pgSz w:w="11910" w:h="16840"/>
          <w:pgMar w:top="1431" w:right="1786" w:bottom="0" w:left="1786" w:header="0" w:footer="0" w:gutter="0"/>
          <w:pgNumType w:start="17"/>
          <w:cols w:space="708"/>
        </w:sectPr>
      </w:pPr>
    </w:p>
    <w:p>
      <w:pPr>
        <w:spacing w:line="289" w:lineRule="auto"/>
        <w:rPr>
          <w:rFonts w:ascii="Arial"/>
          <w:sz w:val="21"/>
        </w:rPr>
      </w:pPr>
    </w:p>
    <w:p>
      <w:pPr>
        <w:pStyle w:val="BodyText"/>
        <w:spacing w:before="88" w:line="222" w:lineRule="auto"/>
        <w:ind w:left="23"/>
        <w:rPr>
          <w:sz w:val="27"/>
          <w:szCs w:val="27"/>
        </w:rPr>
      </w:pPr>
      <w:r>
        <w:rPr>
          <w:spacing w:val="-3"/>
          <w:sz w:val="27"/>
          <w:szCs w:val="27"/>
        </w:rPr>
        <w:t>合适水平</w:t>
      </w:r>
      <w:r>
        <w:rPr>
          <w:spacing w:val="39"/>
          <w:sz w:val="27"/>
          <w:szCs w:val="27"/>
        </w:rPr>
        <w:t xml:space="preserve"> </w:t>
      </w:r>
      <w:r>
        <w:rPr>
          <w:rFonts w:ascii="SimSun" w:eastAsia="SimSun" w:hAnsi="SimSun" w:cs="SimSun"/>
          <w:spacing w:val="-3"/>
          <w:sz w:val="27"/>
          <w:szCs w:val="27"/>
        </w:rPr>
        <w:t>TC:&lt;   5.2·LDL-C:&lt;3.4·HDL-C:-·TG:&lt;1.7</w:t>
      </w:r>
      <w:r>
        <w:rPr>
          <w:rFonts w:ascii="SimSun" w:eastAsia="SimSun" w:hAnsi="SimSun" w:cs="SimSun"/>
          <w:spacing w:val="-32"/>
          <w:sz w:val="27"/>
          <w:szCs w:val="27"/>
        </w:rPr>
        <w:t xml:space="preserve"> </w:t>
      </w:r>
      <w:r>
        <w:rPr>
          <w:rFonts w:ascii="SimSun" w:eastAsia="SimSun" w:hAnsi="SimSun" w:cs="SimSun"/>
          <w:spacing w:val="-3"/>
          <w:sz w:val="27"/>
          <w:szCs w:val="27"/>
        </w:rPr>
        <w:t>·</w:t>
      </w:r>
      <w:r>
        <w:rPr>
          <w:rFonts w:ascii="SimSun" w:eastAsia="SimSun" w:hAnsi="SimSun" w:cs="SimSun"/>
          <w:spacing w:val="5"/>
          <w:sz w:val="27"/>
          <w:szCs w:val="27"/>
        </w:rPr>
        <w:t xml:space="preserve">        </w:t>
      </w:r>
      <w:r>
        <w:rPr>
          <w:spacing w:val="-3"/>
          <w:sz w:val="27"/>
          <w:szCs w:val="27"/>
        </w:rPr>
        <w:t>非</w:t>
      </w:r>
    </w:p>
    <w:p>
      <w:pPr>
        <w:spacing w:line="278" w:lineRule="auto"/>
        <w:rPr>
          <w:rFonts w:ascii="Arial"/>
          <w:sz w:val="21"/>
        </w:rPr>
      </w:pPr>
    </w:p>
    <w:p>
      <w:pPr>
        <w:spacing w:before="79" w:line="192" w:lineRule="auto"/>
        <w:ind w:left="33"/>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HDL-C:&lt;4.1·Lp(a):&lt;300</w:t>
      </w: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88" w:line="221" w:lineRule="auto"/>
        <w:ind w:left="3"/>
        <w:rPr>
          <w:rFonts w:ascii="SimSun" w:eastAsia="SimSun" w:hAnsi="SimSun" w:cs="SimSun"/>
          <w:sz w:val="27"/>
          <w:szCs w:val="27"/>
        </w:rPr>
      </w:pPr>
      <w:r>
        <w:rPr>
          <w:spacing w:val="-2"/>
          <w:sz w:val="27"/>
          <w:szCs w:val="27"/>
        </w:rPr>
        <w:t>边缘升高</w:t>
      </w:r>
      <w:r>
        <w:rPr>
          <w:spacing w:val="-2"/>
          <w:sz w:val="27"/>
          <w:szCs w:val="27"/>
        </w:rPr>
        <w:t xml:space="preserve"> </w:t>
      </w:r>
      <w:r>
        <w:rPr>
          <w:rFonts w:ascii="SimSun" w:eastAsia="SimSun" w:hAnsi="SimSun" w:cs="SimSun"/>
          <w:spacing w:val="-2"/>
          <w:sz w:val="27"/>
          <w:szCs w:val="27"/>
        </w:rPr>
        <w:t xml:space="preserve">TC≥5.2 </w:t>
      </w:r>
      <w:r>
        <w:rPr>
          <w:spacing w:val="-2"/>
          <w:sz w:val="27"/>
          <w:szCs w:val="27"/>
        </w:rPr>
        <w:t>且&lt;6</w:t>
      </w:r>
      <w:r>
        <w:rPr>
          <w:spacing w:val="-72"/>
          <w:sz w:val="27"/>
          <w:szCs w:val="27"/>
        </w:rPr>
        <w:t xml:space="preserve"> </w:t>
      </w:r>
      <w:r>
        <w:rPr>
          <w:spacing w:val="-2"/>
          <w:sz w:val="27"/>
          <w:szCs w:val="27"/>
        </w:rPr>
        <w:t>.2</w:t>
      </w:r>
      <w:r>
        <w:rPr>
          <w:spacing w:val="-2"/>
          <w:sz w:val="27"/>
          <w:szCs w:val="27"/>
        </w:rPr>
        <w:t xml:space="preserve"> </w:t>
      </w:r>
      <w:r>
        <w:rPr>
          <w:spacing w:val="-2"/>
          <w:sz w:val="27"/>
          <w:szCs w:val="27"/>
        </w:rPr>
        <w:t>·</w:t>
      </w:r>
      <w:r>
        <w:rPr>
          <w:rFonts w:ascii="SimSun" w:eastAsia="SimSun" w:hAnsi="SimSun" w:cs="SimSun"/>
          <w:spacing w:val="-2"/>
          <w:sz w:val="27"/>
          <w:szCs w:val="27"/>
        </w:rPr>
        <w:t xml:space="preserve">LDL-C≥3.4 </w:t>
      </w:r>
      <w:r>
        <w:rPr>
          <w:spacing w:val="-2"/>
          <w:sz w:val="27"/>
          <w:szCs w:val="27"/>
        </w:rPr>
        <w:t>且&lt;</w:t>
      </w:r>
      <w:r>
        <w:rPr>
          <w:spacing w:val="-3"/>
          <w:sz w:val="27"/>
          <w:szCs w:val="27"/>
        </w:rPr>
        <w:t>4</w:t>
      </w:r>
      <w:r>
        <w:rPr>
          <w:spacing w:val="-76"/>
          <w:sz w:val="27"/>
          <w:szCs w:val="27"/>
        </w:rPr>
        <w:t xml:space="preserve"> </w:t>
      </w:r>
      <w:r>
        <w:rPr>
          <w:spacing w:val="-3"/>
          <w:sz w:val="27"/>
          <w:szCs w:val="27"/>
        </w:rPr>
        <w:t>.</w:t>
      </w:r>
      <w:r>
        <w:rPr>
          <w:spacing w:val="-73"/>
          <w:sz w:val="27"/>
          <w:szCs w:val="27"/>
        </w:rPr>
        <w:t xml:space="preserve"> </w:t>
      </w:r>
      <w:r>
        <w:rPr>
          <w:spacing w:val="-3"/>
          <w:sz w:val="27"/>
          <w:szCs w:val="27"/>
        </w:rPr>
        <w:t>1</w:t>
      </w:r>
      <w:r>
        <w:rPr>
          <w:spacing w:val="-3"/>
          <w:sz w:val="27"/>
          <w:szCs w:val="27"/>
        </w:rPr>
        <w:t xml:space="preserve"> </w:t>
      </w:r>
      <w:r>
        <w:rPr>
          <w:spacing w:val="-3"/>
          <w:sz w:val="27"/>
          <w:szCs w:val="27"/>
        </w:rPr>
        <w:t>·</w:t>
      </w:r>
      <w:r>
        <w:rPr>
          <w:rFonts w:ascii="SimSun" w:eastAsia="SimSun" w:hAnsi="SimSun" w:cs="SimSun"/>
          <w:spacing w:val="-3"/>
          <w:sz w:val="27"/>
          <w:szCs w:val="27"/>
        </w:rPr>
        <w:t>HDL-C:-·TG:</w:t>
      </w:r>
    </w:p>
    <w:p>
      <w:pPr>
        <w:spacing w:line="221" w:lineRule="auto"/>
        <w:rPr>
          <w:rFonts w:ascii="SimSun" w:eastAsia="SimSun" w:hAnsi="SimSun" w:cs="SimSun"/>
          <w:sz w:val="27"/>
          <w:szCs w:val="27"/>
        </w:rPr>
        <w:sectPr>
          <w:type w:val="nextPage"/>
          <w:pgSz w:w="11910" w:h="16840"/>
          <w:pgMar w:top="1431" w:right="1786" w:bottom="0" w:left="1786" w:header="0" w:footer="0" w:gutter="0"/>
          <w:pgNumType w:start="18"/>
          <w:cols w:space="708"/>
          <w:titlePg w:val="0"/>
        </w:sectPr>
      </w:pPr>
    </w:p>
    <w:p>
      <w:pPr>
        <w:pStyle w:val="BodyText"/>
        <w:spacing w:before="148" w:line="212" w:lineRule="auto"/>
        <w:ind w:left="13"/>
        <w:rPr>
          <w:rFonts w:ascii="Arial" w:eastAsia="Arial" w:hAnsi="Arial" w:cs="Arial"/>
          <w:sz w:val="30"/>
          <w:szCs w:val="30"/>
        </w:rPr>
      </w:pPr>
      <w:r>
        <w:rPr>
          <w:spacing w:val="-7"/>
          <w:sz w:val="30"/>
          <w:szCs w:val="30"/>
        </w:rPr>
        <w:t>≥1.7且&lt;2.3·非</w:t>
      </w:r>
      <w:r>
        <w:rPr>
          <w:rFonts w:ascii="Arial" w:eastAsia="Arial" w:hAnsi="Arial" w:cs="Arial"/>
          <w:spacing w:val="-7"/>
          <w:sz w:val="30"/>
          <w:szCs w:val="30"/>
        </w:rPr>
        <w:t>HDL-C:≥4.1</w:t>
      </w:r>
      <w:r>
        <w:rPr>
          <w:rFonts w:ascii="Arial" w:eastAsia="Arial" w:hAnsi="Arial" w:cs="Arial"/>
          <w:spacing w:val="50"/>
          <w:sz w:val="30"/>
          <w:szCs w:val="30"/>
        </w:rPr>
        <w:t xml:space="preserve"> </w:t>
      </w:r>
      <w:r>
        <w:rPr>
          <w:spacing w:val="-7"/>
          <w:sz w:val="30"/>
          <w:szCs w:val="30"/>
        </w:rPr>
        <w:t>且&lt;4.9</w:t>
      </w:r>
      <w:r>
        <w:rPr>
          <w:spacing w:val="-7"/>
          <w:sz w:val="30"/>
          <w:szCs w:val="30"/>
        </w:rPr>
        <w:t xml:space="preserve"> </w:t>
      </w:r>
      <w:r>
        <w:rPr>
          <w:spacing w:val="-7"/>
          <w:sz w:val="30"/>
          <w:szCs w:val="30"/>
        </w:rPr>
        <w:t>·</w:t>
      </w:r>
      <w:r>
        <w:rPr>
          <w:spacing w:val="-7"/>
          <w:sz w:val="30"/>
          <w:szCs w:val="30"/>
        </w:rPr>
        <w:t xml:space="preserve"> </w:t>
      </w:r>
      <w:r>
        <w:rPr>
          <w:rFonts w:ascii="Arial" w:eastAsia="Arial" w:hAnsi="Arial" w:cs="Arial"/>
          <w:spacing w:val="-8"/>
          <w:sz w:val="30"/>
          <w:szCs w:val="30"/>
        </w:rPr>
        <w:t>Lp(a):-</w:t>
      </w:r>
    </w:p>
    <w:p>
      <w:pPr>
        <w:spacing w:before="60"/>
      </w:pPr>
    </w:p>
    <w:p>
      <w:pPr>
        <w:spacing w:before="60"/>
      </w:pPr>
    </w:p>
    <w:p>
      <w:pPr>
        <w:spacing w:before="60"/>
      </w:pPr>
    </w:p>
    <w:p>
      <w:pPr>
        <w:sectPr>
          <w:pgSz w:w="11910" w:h="16840"/>
          <w:pgMar w:top="1431" w:right="1669" w:bottom="0" w:left="1786" w:header="0" w:footer="0" w:gutter="0"/>
          <w:pgNumType w:start="19"/>
          <w:cols w:num="1" w:space="708" w:equalWidth="0">
            <w:col w:w="8454" w:space="0"/>
          </w:cols>
        </w:sectPr>
      </w:pPr>
    </w:p>
    <w:p>
      <w:pPr>
        <w:pStyle w:val="BodyText"/>
        <w:spacing w:before="52" w:line="662" w:lineRule="exact"/>
        <w:ind w:left="13"/>
        <w:rPr>
          <w:rFonts w:ascii="Arial" w:eastAsia="Arial" w:hAnsi="Arial" w:cs="Arial"/>
        </w:rPr>
      </w:pPr>
      <w:r>
        <w:rPr>
          <w:position w:val="30"/>
        </w:rPr>
        <w:t>升高</w:t>
      </w:r>
      <w:r>
        <w:rPr>
          <w:position w:val="30"/>
        </w:rPr>
        <w:t xml:space="preserve"> </w:t>
      </w:r>
      <w:r>
        <w:rPr>
          <w:rFonts w:ascii="Arial" w:eastAsia="Arial" w:hAnsi="Arial" w:cs="Arial"/>
          <w:position w:val="30"/>
        </w:rPr>
        <w:t>TC:≥6.2·LDL-C:≥4.1·HDL-C-·TG:≥2.3</w:t>
      </w:r>
      <w:r>
        <w:rPr>
          <w:rFonts w:ascii="Arial" w:eastAsia="Arial" w:hAnsi="Arial" w:cs="Arial"/>
          <w:spacing w:val="-43"/>
          <w:position w:val="30"/>
        </w:rPr>
        <w:t xml:space="preserve"> </w:t>
      </w:r>
      <w:r>
        <w:rPr>
          <w:rFonts w:ascii="Arial" w:eastAsia="Arial" w:hAnsi="Arial" w:cs="Arial"/>
          <w:position w:val="30"/>
        </w:rPr>
        <w:t>·</w:t>
      </w:r>
    </w:p>
    <w:p>
      <w:pPr>
        <w:spacing w:before="1" w:line="197" w:lineRule="auto"/>
        <w:ind w:left="13"/>
        <w:rPr>
          <w:rFonts w:ascii="Arial" w:eastAsia="Arial" w:hAnsi="Arial" w:cs="Arial"/>
          <w:sz w:val="26"/>
          <w:szCs w:val="26"/>
        </w:rPr>
      </w:pPr>
      <w:r>
        <w:rPr>
          <w:rFonts w:ascii="Arial" w:eastAsia="Arial" w:hAnsi="Arial" w:cs="Arial"/>
          <w:spacing w:val="-1"/>
          <w:sz w:val="26"/>
          <w:szCs w:val="26"/>
        </w:rPr>
        <w:t>≥4.9·Lp(a):≥300</w:t>
      </w:r>
    </w:p>
    <w:p>
      <w:pPr>
        <w:spacing w:line="14" w:lineRule="auto"/>
        <w:rPr>
          <w:rFonts w:ascii="Arial"/>
          <w:sz w:val="2"/>
        </w:rPr>
      </w:pPr>
      <w:r>
        <w:rPr>
          <w:rFonts w:ascii="Arial" w:eastAsia="Arial" w:hAnsi="Arial" w:cs="Arial"/>
          <w:sz w:val="2"/>
          <w:szCs w:val="2"/>
        </w:rPr>
        <w:br w:type="column"/>
      </w:r>
    </w:p>
    <w:p>
      <w:pPr>
        <w:pStyle w:val="BodyText"/>
        <w:spacing w:before="51" w:line="224" w:lineRule="auto"/>
        <w:rPr>
          <w:rFonts w:ascii="Arial" w:eastAsia="Arial" w:hAnsi="Arial" w:cs="Arial"/>
        </w:rPr>
      </w:pPr>
      <w:r>
        <w:rPr>
          <w:spacing w:val="-6"/>
        </w:rPr>
        <w:t>非</w:t>
      </w:r>
      <w:r>
        <w:rPr>
          <w:spacing w:val="-21"/>
        </w:rPr>
        <w:t xml:space="preserve"> </w:t>
      </w:r>
      <w:r>
        <w:rPr>
          <w:rFonts w:ascii="Arial" w:eastAsia="Arial" w:hAnsi="Arial" w:cs="Arial"/>
          <w:spacing w:val="-6"/>
        </w:rPr>
        <w:t>HDL-C:</w:t>
      </w:r>
    </w:p>
    <w:p>
      <w:pPr>
        <w:spacing w:line="224" w:lineRule="auto"/>
        <w:rPr>
          <w:rFonts w:ascii="Arial" w:eastAsia="Arial" w:hAnsi="Arial" w:cs="Arial"/>
        </w:rPr>
        <w:sectPr>
          <w:type w:val="continuous"/>
          <w:pgSz w:w="11910" w:h="16840"/>
          <w:pgMar w:top="1431" w:right="1669" w:bottom="0" w:left="1786" w:header="0" w:footer="0" w:gutter="0"/>
          <w:pgNumType w:start="20"/>
          <w:cols w:num="2" w:space="708" w:equalWidth="0">
            <w:col w:w="6784" w:space="100"/>
            <w:col w:w="1571" w:space="0"/>
          </w:cols>
        </w:sectPr>
      </w:pPr>
    </w:p>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before="85" w:line="224" w:lineRule="auto"/>
        <w:ind w:left="13"/>
        <w:rPr>
          <w:rFonts w:ascii="SimSun" w:eastAsia="SimSun" w:hAnsi="SimSun" w:cs="SimSun"/>
          <w:sz w:val="26"/>
          <w:szCs w:val="26"/>
        </w:rPr>
      </w:pPr>
      <w:r>
        <w:rPr>
          <w:rFonts w:ascii="YouYuan" w:eastAsia="YouYuan" w:hAnsi="YouYuan" w:cs="YouYuan"/>
          <w:spacing w:val="-5"/>
          <w:sz w:val="26"/>
          <w:szCs w:val="26"/>
        </w:rPr>
        <w:t>降低</w:t>
      </w:r>
      <w:r>
        <w:rPr>
          <w:rFonts w:ascii="YouYuan" w:eastAsia="YouYuan" w:hAnsi="YouYuan" w:cs="YouYuan"/>
          <w:spacing w:val="28"/>
          <w:sz w:val="26"/>
          <w:szCs w:val="26"/>
        </w:rPr>
        <w:t xml:space="preserve"> </w:t>
      </w:r>
      <w:r>
        <w:rPr>
          <w:rFonts w:ascii="SimSun" w:eastAsia="SimSun" w:hAnsi="SimSun" w:cs="SimSun"/>
          <w:spacing w:val="-5"/>
          <w:sz w:val="26"/>
          <w:szCs w:val="26"/>
        </w:rPr>
        <w:t>TC:</w:t>
      </w:r>
      <w:r>
        <w:rPr>
          <w:rFonts w:ascii="SimSun" w:eastAsia="SimSun" w:hAnsi="SimSun" w:cs="SimSun"/>
          <w:spacing w:val="-30"/>
          <w:sz w:val="26"/>
          <w:szCs w:val="26"/>
        </w:rPr>
        <w:t xml:space="preserve"> </w:t>
      </w:r>
      <w:r>
        <w:rPr>
          <w:rFonts w:ascii="SimSun" w:eastAsia="SimSun" w:hAnsi="SimSun" w:cs="SimSun"/>
          <w:spacing w:val="-5"/>
          <w:sz w:val="26"/>
          <w:szCs w:val="26"/>
        </w:rPr>
        <w:t>·   LDL-C:·HDL-C:&lt;1.0·TG:</w:t>
      </w:r>
      <w:r>
        <w:rPr>
          <w:rFonts w:ascii="SimSun" w:eastAsia="SimSun" w:hAnsi="SimSun" w:cs="SimSun"/>
          <w:spacing w:val="-31"/>
          <w:sz w:val="26"/>
          <w:szCs w:val="26"/>
        </w:rPr>
        <w:t xml:space="preserve"> </w:t>
      </w:r>
      <w:r>
        <w:rPr>
          <w:rFonts w:ascii="SimSun" w:eastAsia="SimSun" w:hAnsi="SimSun" w:cs="SimSun"/>
          <w:spacing w:val="-5"/>
          <w:sz w:val="26"/>
          <w:szCs w:val="26"/>
        </w:rPr>
        <w:t xml:space="preserve">·        </w:t>
      </w:r>
      <w:r>
        <w:rPr>
          <w:rFonts w:ascii="YouYuan" w:eastAsia="YouYuan" w:hAnsi="YouYuan" w:cs="YouYuan"/>
          <w:spacing w:val="-5"/>
          <w:sz w:val="26"/>
          <w:szCs w:val="26"/>
        </w:rPr>
        <w:t>非</w:t>
      </w:r>
      <w:r>
        <w:rPr>
          <w:rFonts w:ascii="YouYuan" w:eastAsia="YouYuan" w:hAnsi="YouYuan" w:cs="YouYuan"/>
          <w:spacing w:val="-44"/>
          <w:sz w:val="26"/>
          <w:szCs w:val="26"/>
        </w:rPr>
        <w:t xml:space="preserve"> </w:t>
      </w:r>
      <w:r>
        <w:rPr>
          <w:rFonts w:ascii="SimSun" w:eastAsia="SimSun" w:hAnsi="SimSun" w:cs="SimSun"/>
          <w:spacing w:val="-5"/>
          <w:sz w:val="26"/>
          <w:szCs w:val="26"/>
        </w:rPr>
        <w:t>HDL-C:·Lp</w:t>
      </w:r>
      <w:r>
        <w:rPr>
          <w:rFonts w:ascii="SimSun" w:eastAsia="SimSun" w:hAnsi="SimSun" w:cs="SimSun"/>
          <w:spacing w:val="-6"/>
          <w:sz w:val="26"/>
          <w:szCs w:val="26"/>
        </w:rPr>
        <w:t>(a):</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BodyText"/>
        <w:spacing w:before="85" w:line="221" w:lineRule="auto"/>
        <w:ind w:left="13"/>
      </w:pPr>
      <w:r>
        <w:rPr>
          <w:spacing w:val="3"/>
        </w:rPr>
        <w:t>6</w:t>
      </w:r>
      <w:r>
        <w:rPr>
          <w:spacing w:val="92"/>
        </w:rPr>
        <w:t xml:space="preserve"> </w:t>
      </w:r>
      <w:r>
        <w:rPr>
          <w:spacing w:val="3"/>
        </w:rPr>
        <w:t>血脂异常分类</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2" w:lineRule="auto"/>
        <w:ind w:left="313"/>
      </w:pPr>
      <w:r>
        <w:rPr>
          <w:spacing w:val="-2"/>
        </w:rPr>
        <w:t>要点提示</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BodyText"/>
        <w:spacing w:before="85" w:line="631" w:lineRule="exact"/>
        <w:ind w:left="13"/>
      </w:pPr>
      <w:r>
        <w:rPr>
          <w:spacing w:val="-1"/>
          <w:position w:val="29"/>
        </w:rPr>
        <w:t>血脂异常分类比较复杂，常用的有病因分类和临床分类两种，最实用的是</w:t>
      </w:r>
    </w:p>
    <w:p>
      <w:pPr>
        <w:pStyle w:val="BodyText"/>
        <w:spacing w:before="1" w:line="220" w:lineRule="auto"/>
        <w:ind w:left="13"/>
      </w:pPr>
      <w:r>
        <w:rPr>
          <w:spacing w:val="-9"/>
        </w:rPr>
        <w:t>临床分类。</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1" w:lineRule="auto"/>
        <w:ind w:left="13"/>
      </w:pPr>
      <w:r>
        <w:rPr>
          <w:spacing w:val="-4"/>
        </w:rPr>
        <w:t>6.1</w:t>
      </w:r>
      <w:r>
        <w:rPr>
          <w:spacing w:val="107"/>
        </w:rPr>
        <w:t xml:space="preserve"> </w:t>
      </w:r>
      <w:r>
        <w:rPr>
          <w:spacing w:val="-4"/>
        </w:rPr>
        <w:t>血脂异常病因分类</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85" w:line="221" w:lineRule="auto"/>
        <w:ind w:left="13"/>
        <w:sectPr>
          <w:type w:val="continuous"/>
          <w:pgSz w:w="11910" w:h="16840"/>
          <w:pgMar w:top="1431" w:right="1669" w:bottom="0" w:left="1786" w:header="0" w:footer="0" w:gutter="0"/>
          <w:pgNumType w:start="21"/>
          <w:cols w:num="1" w:space="708" w:equalWidth="0">
            <w:col w:w="8454" w:space="0"/>
          </w:cols>
        </w:sectPr>
      </w:pPr>
      <w:r>
        <w:rPr>
          <w:spacing w:val="4"/>
        </w:rPr>
        <w:t>6.1.1</w:t>
      </w:r>
      <w:r>
        <w:rPr>
          <w:spacing w:val="125"/>
        </w:rPr>
        <w:t xml:space="preserve"> </w:t>
      </w:r>
      <w:r>
        <w:rPr>
          <w:spacing w:val="4"/>
        </w:rPr>
        <w:t>原发性(遗传性</w:t>
      </w:r>
      <w:r>
        <w:rPr>
          <w:spacing w:val="75"/>
        </w:rPr>
        <w:t xml:space="preserve"> </w:t>
      </w:r>
      <w:r>
        <w:rPr>
          <w:spacing w:val="4"/>
        </w:rPr>
        <w:t>)血脂异常</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85" w:line="643" w:lineRule="exact"/>
        <w:jc w:val="right"/>
      </w:pPr>
      <w:r>
        <w:rPr>
          <w:spacing w:val="-4"/>
          <w:position w:val="29"/>
        </w:rPr>
        <w:t>原发性血脂异常是指无明确可引起血脂异常的继发因素</w:t>
      </w:r>
      <w:r>
        <w:rPr>
          <w:spacing w:val="-5"/>
          <w:position w:val="29"/>
        </w:rPr>
        <w:t>，如疾病、药物等，</w:t>
      </w:r>
    </w:p>
    <w:p>
      <w:pPr>
        <w:pStyle w:val="BodyText"/>
        <w:spacing w:before="1" w:line="222" w:lineRule="auto"/>
        <w:ind w:left="13"/>
      </w:pPr>
      <w:r>
        <w:rPr>
          <w:spacing w:val="-8"/>
        </w:rPr>
        <w:t>所致的血脂异常。</w:t>
      </w:r>
    </w:p>
    <w:p>
      <w:pPr>
        <w:pStyle w:val="BodyText"/>
        <w:spacing w:before="314" w:line="187" w:lineRule="auto"/>
        <w:ind w:left="13"/>
      </w:pPr>
      <w:r>
        <w:rPr>
          <w:spacing w:val="-10"/>
        </w:rPr>
        <w:t>家族性高胆固醇血症</w:t>
      </w:r>
      <w:r>
        <w:rPr>
          <w:rFonts w:ascii="SimSun" w:eastAsia="SimSun" w:hAnsi="SimSun" w:cs="SimSun"/>
          <w:spacing w:val="-10"/>
        </w:rPr>
        <w:t>(FH</w:t>
      </w:r>
      <w:r>
        <w:rPr>
          <w:rFonts w:ascii="SimSun" w:eastAsia="SimSun" w:hAnsi="SimSun" w:cs="SimSun"/>
          <w:spacing w:val="32"/>
        </w:rPr>
        <w:t xml:space="preserve">  </w:t>
      </w:r>
      <w:r>
        <w:rPr>
          <w:rFonts w:ascii="SimSun" w:eastAsia="SimSun" w:hAnsi="SimSun" w:cs="SimSun"/>
          <w:spacing w:val="-10"/>
        </w:rPr>
        <w:t>)</w:t>
      </w:r>
      <w:r>
        <w:rPr>
          <w:spacing w:val="-10"/>
        </w:rPr>
        <w:t>属于单基因、常染色体遗传性胆</w:t>
      </w:r>
      <w:r>
        <w:rPr>
          <w:spacing w:val="-11"/>
        </w:rPr>
        <w:t>固醇代谢异常，</w:t>
      </w:r>
    </w:p>
    <w:p>
      <w:pPr>
        <w:spacing w:line="187" w:lineRule="auto"/>
        <w:sectPr>
          <w:type w:val="nextPage"/>
          <w:pgSz w:w="11910" w:h="16840"/>
          <w:pgMar w:top="1431" w:right="1669" w:bottom="0" w:left="1786" w:header="0" w:footer="0" w:gutter="0"/>
          <w:pgNumType w:start="22"/>
          <w:cols w:num="1" w:space="708" w:equalWidth="0">
            <w:col w:w="8454" w:space="0"/>
          </w:cols>
          <w:titlePg w:val="0"/>
        </w:sectPr>
      </w:pPr>
    </w:p>
    <w:p>
      <w:pPr>
        <w:pStyle w:val="BodyText"/>
        <w:spacing w:before="185" w:line="213" w:lineRule="auto"/>
        <w:ind w:left="13"/>
      </w:pPr>
      <w:r>
        <w:rPr>
          <w:spacing w:val="-4"/>
        </w:rPr>
        <w:t>多为显性遗传，隐性遗传罕见。</w:t>
      </w: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BodyText"/>
        <w:spacing w:before="84" w:line="221" w:lineRule="auto"/>
        <w:ind w:left="13"/>
      </w:pPr>
      <w:r>
        <w:rPr>
          <w:spacing w:val="6"/>
        </w:rPr>
        <w:t>6.1.2</w:t>
      </w:r>
      <w:r>
        <w:rPr>
          <w:spacing w:val="91"/>
        </w:rPr>
        <w:t xml:space="preserve"> </w:t>
      </w:r>
      <w:r>
        <w:rPr>
          <w:spacing w:val="6"/>
        </w:rPr>
        <w:t>继发性(获得性</w:t>
      </w:r>
      <w:r>
        <w:rPr>
          <w:spacing w:val="85"/>
        </w:rPr>
        <w:t xml:space="preserve"> </w:t>
      </w:r>
      <w:r>
        <w:rPr>
          <w:spacing w:val="6"/>
        </w:rPr>
        <w:t>)血脂异常</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84" w:line="440" w:lineRule="auto"/>
        <w:ind w:left="13" w:right="11"/>
        <w:jc w:val="both"/>
      </w:pPr>
      <w:r>
        <w:rPr>
          <w:spacing w:val="7"/>
        </w:rPr>
        <w:t>继发性血脂异常通常是指由导致血清脂质和脂蛋白代谢改变的潜在的系</w:t>
      </w:r>
      <w:r>
        <w:rPr>
          <w:spacing w:val="5"/>
        </w:rPr>
        <w:t xml:space="preserve"> </w:t>
      </w:r>
      <w:r>
        <w:t>统性疾病、代谢状态改变、不健康饮食以及某些药</w:t>
      </w:r>
      <w:r>
        <w:rPr>
          <w:spacing w:val="-1"/>
        </w:rPr>
        <w:t>物引起的血脂异常。继</w:t>
      </w:r>
    </w:p>
    <w:p>
      <w:pPr>
        <w:pStyle w:val="BodyText"/>
        <w:spacing w:before="1" w:line="220" w:lineRule="auto"/>
        <w:ind w:left="13"/>
      </w:pPr>
      <w:r>
        <w:rPr>
          <w:spacing w:val="-2"/>
        </w:rPr>
        <w:t>发性血脂异常与原发性血脂异常可能产生相似的后果。</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85" w:line="221" w:lineRule="auto"/>
        <w:ind w:left="13"/>
      </w:pPr>
      <w:r>
        <w:rPr>
          <w:spacing w:val="-2"/>
        </w:rPr>
        <w:t>6.2</w:t>
      </w:r>
      <w:r>
        <w:rPr>
          <w:spacing w:val="86"/>
        </w:rPr>
        <w:t xml:space="preserve"> </w:t>
      </w:r>
      <w:r>
        <w:rPr>
          <w:spacing w:val="-2"/>
        </w:rPr>
        <w:t>血脂异常临床分类</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BodyText"/>
        <w:spacing w:before="86" w:line="213" w:lineRule="auto"/>
        <w:ind w:left="13"/>
      </w:pPr>
      <w:r>
        <w:rPr>
          <w:spacing w:val="11"/>
        </w:rPr>
        <w:t>从实用角度出发，血脂异常可进行简易的临床分类(表5)</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84" w:line="221" w:lineRule="auto"/>
        <w:ind w:left="13"/>
        <w:rPr>
          <w:rFonts w:ascii="Times New Roman" w:eastAsia="Times New Roman" w:hAnsi="Times New Roman" w:cs="Times New Roman"/>
        </w:rPr>
      </w:pPr>
      <w:r>
        <w:rPr>
          <w:spacing w:val="-11"/>
        </w:rPr>
        <w:t>高</w:t>
      </w:r>
      <w:r>
        <w:rPr>
          <w:spacing w:val="-58"/>
        </w:rPr>
        <w:t xml:space="preserve"> </w:t>
      </w:r>
      <w:r>
        <w:rPr>
          <w:rFonts w:ascii="Times New Roman" w:eastAsia="Times New Roman" w:hAnsi="Times New Roman" w:cs="Times New Roman"/>
          <w:spacing w:val="-11"/>
        </w:rPr>
        <w:t>TC</w:t>
      </w:r>
      <w:r>
        <w:rPr>
          <w:rFonts w:ascii="Times New Roman" w:eastAsia="Times New Roman" w:hAnsi="Times New Roman" w:cs="Times New Roman"/>
          <w:spacing w:val="-19"/>
        </w:rPr>
        <w:t xml:space="preserve"> </w:t>
      </w:r>
      <w:r>
        <w:rPr>
          <w:spacing w:val="-11"/>
        </w:rPr>
        <w:t>血症：</w:t>
      </w:r>
      <w:r>
        <w:rPr>
          <w:spacing w:val="100"/>
        </w:rPr>
        <w:t xml:space="preserve"> </w:t>
      </w:r>
      <w:r>
        <w:rPr>
          <w:rFonts w:ascii="Times New Roman" w:eastAsia="Times New Roman" w:hAnsi="Times New Roman" w:cs="Times New Roman"/>
          <w:spacing w:val="-11"/>
        </w:rPr>
        <w:t xml:space="preserve">TC </w:t>
      </w:r>
      <w:r>
        <w:rPr>
          <w:spacing w:val="-11"/>
        </w:rPr>
        <w:t>增高</w:t>
      </w:r>
      <w:r>
        <w:rPr>
          <w:spacing w:val="34"/>
        </w:rPr>
        <w:t xml:space="preserve"> </w:t>
      </w:r>
      <w:r>
        <w:rPr>
          <w:spacing w:val="-11"/>
        </w:rPr>
        <w:t>·</w:t>
      </w:r>
      <w:r>
        <w:rPr>
          <w:rFonts w:ascii="Times New Roman" w:eastAsia="Times New Roman" w:hAnsi="Times New Roman" w:cs="Times New Roman"/>
          <w:spacing w:val="-11"/>
        </w:rPr>
        <w:t>TG-·HDL-C-</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1" w:lineRule="auto"/>
        <w:ind w:left="13"/>
        <w:rPr>
          <w:rFonts w:ascii="SimSun" w:eastAsia="SimSun" w:hAnsi="SimSun" w:cs="SimSun"/>
        </w:rPr>
      </w:pPr>
      <w:r>
        <w:rPr>
          <w:spacing w:val="-7"/>
        </w:rPr>
        <w:t>高</w:t>
      </w:r>
      <w:r>
        <w:rPr>
          <w:spacing w:val="-73"/>
        </w:rPr>
        <w:t xml:space="preserve"> </w:t>
      </w:r>
      <w:r>
        <w:rPr>
          <w:rFonts w:ascii="SimSun" w:eastAsia="SimSun" w:hAnsi="SimSun" w:cs="SimSun"/>
          <w:spacing w:val="-7"/>
        </w:rPr>
        <w:t xml:space="preserve">TG </w:t>
      </w:r>
      <w:r>
        <w:rPr>
          <w:spacing w:val="-7"/>
        </w:rPr>
        <w:t>血症：</w:t>
      </w:r>
      <w:r>
        <w:rPr>
          <w:spacing w:val="40"/>
        </w:rPr>
        <w:t xml:space="preserve"> </w:t>
      </w:r>
      <w:r>
        <w:rPr>
          <w:rFonts w:ascii="SimSun" w:eastAsia="SimSun" w:hAnsi="SimSun" w:cs="SimSun"/>
          <w:spacing w:val="-7"/>
        </w:rPr>
        <w:t>TC-·TG</w:t>
      </w:r>
      <w:r>
        <w:rPr>
          <w:rFonts w:ascii="SimSun" w:eastAsia="SimSun" w:hAnsi="SimSun" w:cs="SimSun"/>
          <w:spacing w:val="28"/>
        </w:rPr>
        <w:t xml:space="preserve">  </w:t>
      </w:r>
      <w:r>
        <w:rPr>
          <w:spacing w:val="-7"/>
        </w:rPr>
        <w:t>增高</w:t>
      </w:r>
      <w:r>
        <w:rPr>
          <w:spacing w:val="35"/>
        </w:rPr>
        <w:t xml:space="preserve"> </w:t>
      </w:r>
      <w:r>
        <w:rPr>
          <w:spacing w:val="-7"/>
        </w:rPr>
        <w:t>·</w:t>
      </w:r>
      <w:r>
        <w:rPr>
          <w:rFonts w:ascii="SimSun" w:eastAsia="SimSun" w:hAnsi="SimSun" w:cs="SimSun"/>
          <w:spacing w:val="-7"/>
        </w:rPr>
        <w:t>HDL-C-</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1" w:lineRule="auto"/>
        <w:ind w:left="13"/>
        <w:rPr>
          <w:rFonts w:ascii="SimSun" w:eastAsia="SimSun" w:hAnsi="SimSun" w:cs="SimSun"/>
        </w:rPr>
      </w:pPr>
      <w:r>
        <w:rPr>
          <w:spacing w:val="-12"/>
        </w:rPr>
        <w:t>混合型高脂血症：</w:t>
      </w:r>
      <w:r>
        <w:rPr>
          <w:spacing w:val="108"/>
        </w:rPr>
        <w:t xml:space="preserve"> </w:t>
      </w:r>
      <w:r>
        <w:rPr>
          <w:rFonts w:ascii="SimSun" w:eastAsia="SimSun" w:hAnsi="SimSun" w:cs="SimSun"/>
          <w:spacing w:val="-12"/>
        </w:rPr>
        <w:t xml:space="preserve">TC </w:t>
      </w:r>
      <w:r>
        <w:rPr>
          <w:spacing w:val="-12"/>
        </w:rPr>
        <w:t>增高</w:t>
      </w:r>
      <w:r>
        <w:rPr>
          <w:spacing w:val="39"/>
        </w:rPr>
        <w:t xml:space="preserve"> </w:t>
      </w:r>
      <w:r>
        <w:rPr>
          <w:spacing w:val="-12"/>
        </w:rPr>
        <w:t>·</w:t>
      </w:r>
      <w:r>
        <w:rPr>
          <w:rFonts w:ascii="SimSun" w:eastAsia="SimSun" w:hAnsi="SimSun" w:cs="SimSun"/>
          <w:spacing w:val="-12"/>
        </w:rPr>
        <w:t xml:space="preserve">TG </w:t>
      </w:r>
      <w:r>
        <w:rPr>
          <w:spacing w:val="-12"/>
        </w:rPr>
        <w:t>增高</w:t>
      </w:r>
      <w:r>
        <w:rPr>
          <w:spacing w:val="39"/>
        </w:rPr>
        <w:t xml:space="preserve"> </w:t>
      </w:r>
      <w:r>
        <w:rPr>
          <w:spacing w:val="-12"/>
        </w:rPr>
        <w:t>·</w:t>
      </w:r>
      <w:r>
        <w:rPr>
          <w:rFonts w:ascii="SimSun" w:eastAsia="SimSun" w:hAnsi="SimSun" w:cs="SimSun"/>
          <w:spacing w:val="-12"/>
        </w:rPr>
        <w:t>HDL-C-</w:t>
      </w:r>
    </w:p>
    <w:p>
      <w:pPr>
        <w:spacing w:line="279" w:lineRule="auto"/>
        <w:rPr>
          <w:rFonts w:ascii="Arial"/>
          <w:sz w:val="21"/>
        </w:rPr>
      </w:pPr>
    </w:p>
    <w:p>
      <w:pPr>
        <w:spacing w:line="279" w:lineRule="auto"/>
        <w:rPr>
          <w:rFonts w:ascii="Arial"/>
          <w:sz w:val="21"/>
        </w:rPr>
        <w:sectPr>
          <w:pgSz w:w="11910" w:h="16840"/>
          <w:pgMar w:top="1431" w:right="1786" w:bottom="0" w:left="1786" w:header="0" w:footer="0" w:gutter="0"/>
          <w:pgNumType w:start="23"/>
          <w:cols w:space="708"/>
        </w:sectPr>
      </w:pPr>
    </w:p>
    <w:p>
      <w:pPr>
        <w:spacing w:line="279" w:lineRule="auto"/>
        <w:rPr>
          <w:rFonts w:ascii="Arial"/>
          <w:sz w:val="21"/>
        </w:rPr>
      </w:pPr>
    </w:p>
    <w:p>
      <w:pPr>
        <w:spacing w:before="84" w:line="225" w:lineRule="auto"/>
        <w:ind w:left="13"/>
        <w:rPr>
          <w:rFonts w:ascii="YouYuan" w:eastAsia="YouYuan" w:hAnsi="YouYuan" w:cs="YouYuan"/>
          <w:sz w:val="26"/>
          <w:szCs w:val="26"/>
        </w:rPr>
      </w:pPr>
      <w:r>
        <w:rPr>
          <w:rFonts w:ascii="YouYuan" w:eastAsia="YouYuan" w:hAnsi="YouYuan" w:cs="YouYuan"/>
          <w:spacing w:val="-4"/>
          <w:sz w:val="26"/>
          <w:szCs w:val="26"/>
        </w:rPr>
        <w:t>低</w:t>
      </w:r>
      <w:r>
        <w:rPr>
          <w:rFonts w:ascii="YouYuan" w:eastAsia="YouYuan" w:hAnsi="YouYuan" w:cs="YouYuan"/>
          <w:spacing w:val="-49"/>
          <w:sz w:val="26"/>
          <w:szCs w:val="26"/>
        </w:rPr>
        <w:t xml:space="preserve"> </w:t>
      </w:r>
      <w:r>
        <w:rPr>
          <w:rFonts w:ascii="SimSun" w:eastAsia="SimSun" w:hAnsi="SimSun" w:cs="SimSun"/>
          <w:spacing w:val="-4"/>
          <w:sz w:val="26"/>
          <w:szCs w:val="26"/>
        </w:rPr>
        <w:t>HDL-C</w:t>
      </w:r>
      <w:r>
        <w:rPr>
          <w:rFonts w:ascii="SimSun" w:eastAsia="SimSun" w:hAnsi="SimSun" w:cs="SimSun"/>
          <w:spacing w:val="75"/>
          <w:sz w:val="26"/>
          <w:szCs w:val="26"/>
        </w:rPr>
        <w:t xml:space="preserve"> </w:t>
      </w:r>
      <w:r>
        <w:rPr>
          <w:rFonts w:ascii="YouYuan" w:eastAsia="YouYuan" w:hAnsi="YouYuan" w:cs="YouYuan"/>
          <w:spacing w:val="-4"/>
          <w:sz w:val="26"/>
          <w:szCs w:val="26"/>
        </w:rPr>
        <w:t>血症：</w:t>
      </w:r>
      <w:r>
        <w:rPr>
          <w:rFonts w:ascii="YouYuan" w:eastAsia="YouYuan" w:hAnsi="YouYuan" w:cs="YouYuan"/>
          <w:spacing w:val="120"/>
          <w:sz w:val="26"/>
          <w:szCs w:val="26"/>
        </w:rPr>
        <w:t xml:space="preserve"> </w:t>
      </w:r>
      <w:r>
        <w:rPr>
          <w:rFonts w:ascii="SimSun" w:eastAsia="SimSun" w:hAnsi="SimSun" w:cs="SimSun"/>
          <w:spacing w:val="-4"/>
          <w:sz w:val="26"/>
          <w:szCs w:val="26"/>
        </w:rPr>
        <w:t>TC-·TG-·HDL-C</w:t>
      </w:r>
      <w:r>
        <w:rPr>
          <w:rFonts w:ascii="SimSun" w:eastAsia="SimSun" w:hAnsi="SimSun" w:cs="SimSun"/>
          <w:spacing w:val="21"/>
          <w:sz w:val="26"/>
          <w:szCs w:val="26"/>
        </w:rPr>
        <w:t xml:space="preserve">    </w:t>
      </w:r>
      <w:r>
        <w:rPr>
          <w:rFonts w:ascii="YouYuan" w:eastAsia="YouYuan" w:hAnsi="YouYuan" w:cs="YouYuan"/>
          <w:spacing w:val="-4"/>
          <w:sz w:val="26"/>
          <w:szCs w:val="26"/>
        </w:rPr>
        <w:t>降低</w:t>
      </w: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85" w:line="630" w:lineRule="exact"/>
        <w:ind w:left="13"/>
      </w:pPr>
      <w:r>
        <w:rPr>
          <w:spacing w:val="4"/>
          <w:position w:val="28"/>
        </w:rPr>
        <w:t>7</w:t>
      </w:r>
      <w:r>
        <w:rPr>
          <w:spacing w:val="101"/>
          <w:position w:val="28"/>
        </w:rPr>
        <w:t xml:space="preserve"> </w:t>
      </w:r>
      <w:r>
        <w:rPr>
          <w:spacing w:val="4"/>
          <w:position w:val="28"/>
        </w:rPr>
        <w:t>血脂筛查</w:t>
      </w:r>
    </w:p>
    <w:p>
      <w:pPr>
        <w:pStyle w:val="BodyText"/>
        <w:spacing w:before="1" w:line="221" w:lineRule="auto"/>
        <w:ind w:left="13"/>
      </w:pPr>
      <w:r>
        <w:rPr>
          <w:spacing w:val="4"/>
        </w:rPr>
        <w:t>要点提示</w:t>
      </w:r>
    </w:p>
    <w:p>
      <w:pPr>
        <w:spacing w:line="221" w:lineRule="auto"/>
        <w:sectPr>
          <w:type w:val="nextPage"/>
          <w:pgSz w:w="11910" w:h="16840"/>
          <w:pgMar w:top="1431" w:right="1786" w:bottom="0" w:left="1786" w:header="0" w:footer="0" w:gutter="0"/>
          <w:pgNumType w:start="24"/>
          <w:cols w:space="708"/>
          <w:titlePg w:val="0"/>
        </w:sectPr>
      </w:pPr>
    </w:p>
    <w:p>
      <w:pPr>
        <w:pStyle w:val="BodyText"/>
        <w:spacing w:before="206" w:line="221" w:lineRule="auto"/>
        <w:ind w:right="12"/>
        <w:jc w:val="right"/>
      </w:pPr>
      <w:r>
        <w:rPr>
          <w:spacing w:val="6"/>
        </w:rPr>
        <w:t>(1)血脂检测是发现血脂异常、评估</w:t>
      </w:r>
      <w:r>
        <w:rPr>
          <w:spacing w:val="6"/>
        </w:rPr>
        <w:t xml:space="preserve"> </w:t>
      </w:r>
      <w:r>
        <w:rPr>
          <w:rFonts w:ascii="SimSun" w:eastAsia="SimSun" w:hAnsi="SimSun" w:cs="SimSun"/>
        </w:rPr>
        <w:t>ASCVD</w:t>
      </w:r>
      <w:r>
        <w:rPr>
          <w:rFonts w:ascii="SimSun" w:eastAsia="SimSun" w:hAnsi="SimSun" w:cs="SimSun"/>
          <w:spacing w:val="56"/>
        </w:rPr>
        <w:t xml:space="preserve">  </w:t>
      </w:r>
      <w:r>
        <w:rPr>
          <w:spacing w:val="6"/>
        </w:rPr>
        <w:t>风险和确定</w:t>
      </w:r>
      <w:r>
        <w:rPr>
          <w:spacing w:val="5"/>
        </w:rPr>
        <w:t>干预策略的基</w:t>
      </w:r>
    </w:p>
    <w:p>
      <w:pPr>
        <w:pStyle w:val="BodyText"/>
        <w:spacing w:before="288" w:line="221" w:lineRule="auto"/>
      </w:pPr>
      <w:r>
        <w:rPr>
          <w:spacing w:val="-5"/>
        </w:rPr>
        <w:t>础。</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pStyle w:val="BodyText"/>
        <w:spacing w:before="85" w:line="221" w:lineRule="auto"/>
        <w:ind w:left="120"/>
      </w:pPr>
      <w:r>
        <w:rPr>
          <w:spacing w:val="4"/>
        </w:rPr>
        <w:t>(2)血脂筛查是提高血脂异常早期检出率和知晓</w:t>
      </w:r>
      <w:r>
        <w:rPr>
          <w:spacing w:val="3"/>
        </w:rPr>
        <w:t>率的有效方式。</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2" w:lineRule="auto"/>
        <w:ind w:left="120"/>
      </w:pPr>
      <w:r>
        <w:rPr>
          <w:spacing w:val="3"/>
        </w:rPr>
        <w:t>(3)血脂检测的频率应依据年龄、</w:t>
      </w:r>
      <w:r>
        <w:rPr>
          <w:rFonts w:ascii="SimSun" w:eastAsia="SimSun" w:hAnsi="SimSun" w:cs="SimSun"/>
        </w:rPr>
        <w:t>ASCVD</w:t>
      </w:r>
      <w:r>
        <w:rPr>
          <w:rFonts w:ascii="SimSun" w:eastAsia="SimSun" w:hAnsi="SimSun" w:cs="SimSun"/>
          <w:spacing w:val="3"/>
        </w:rPr>
        <w:t xml:space="preserve">  </w:t>
      </w:r>
      <w:r>
        <w:rPr>
          <w:spacing w:val="3"/>
        </w:rPr>
        <w:t>风险及治疗措施监测的需要而</w:t>
      </w:r>
    </w:p>
    <w:p>
      <w:pPr>
        <w:pStyle w:val="BodyText"/>
        <w:spacing w:before="292" w:line="224" w:lineRule="auto"/>
      </w:pPr>
      <w:r>
        <w:rPr>
          <w:spacing w:val="-5"/>
        </w:rPr>
        <w:t>定。</w: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BodyText"/>
        <w:spacing w:before="86" w:line="442" w:lineRule="auto"/>
        <w:ind w:right="42"/>
        <w:jc w:val="both"/>
      </w:pPr>
      <w:r>
        <w:rPr>
          <w:spacing w:val="3"/>
        </w:rPr>
        <w:t>提高血脂异常的检出率和知晓率的主要策略是：(1)提高大众对血脂定期</w:t>
      </w:r>
      <w:r>
        <w:rPr>
          <w:spacing w:val="8"/>
        </w:rPr>
        <w:t xml:space="preserve"> </w:t>
      </w:r>
      <w:r>
        <w:rPr>
          <w:spacing w:val="3"/>
        </w:rPr>
        <w:t>检测重要性的认识；(2)增加常规医疗服务中为就诊者提供的血脂检测机</w:t>
      </w:r>
      <w:r>
        <w:t xml:space="preserve"> </w:t>
      </w:r>
      <w:r>
        <w:rPr>
          <w:spacing w:val="7"/>
        </w:rPr>
        <w:t>会；(3)鼓励健康体检服务将血脂检测作为常规检查项目；(4)将儿童和</w:t>
      </w:r>
    </w:p>
    <w:p>
      <w:pPr>
        <w:pStyle w:val="BodyText"/>
        <w:spacing w:before="1" w:line="220" w:lineRule="auto"/>
      </w:pPr>
      <w:r>
        <w:rPr>
          <w:spacing w:val="-2"/>
        </w:rPr>
        <w:t>青少年血脂检测列入小学、初中和高中入学体检的常规项目。</w:t>
      </w: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439" w:lineRule="auto"/>
        <w:ind w:right="31"/>
        <w:jc w:val="both"/>
      </w:pPr>
      <w:r>
        <w:rPr>
          <w:spacing w:val="-7"/>
        </w:rPr>
        <w:t>血脂筛查的频率和检测指标建议如下：</w:t>
      </w:r>
      <w:r>
        <w:rPr>
          <w:spacing w:val="135"/>
        </w:rPr>
        <w:t xml:space="preserve"> </w:t>
      </w:r>
      <w:r>
        <w:rPr>
          <w:spacing w:val="39"/>
        </w:rPr>
        <w:t>(1)&lt;40岁成年人每2～5年进</w:t>
      </w:r>
      <w:r>
        <w:t xml:space="preserve"> </w:t>
      </w:r>
      <w:r>
        <w:rPr>
          <w:spacing w:val="10"/>
        </w:rPr>
        <w:t>行1次血脂检测(包括</w:t>
      </w:r>
      <w:r>
        <w:rPr>
          <w:rFonts w:ascii="SimSun" w:eastAsia="SimSun" w:hAnsi="SimSun" w:cs="SimSun"/>
        </w:rPr>
        <w:t>TC</w:t>
      </w:r>
      <w:r>
        <w:rPr>
          <w:rFonts w:ascii="SimSun" w:eastAsia="SimSun" w:hAnsi="SimSun" w:cs="SimSun"/>
          <w:spacing w:val="10"/>
        </w:rPr>
        <w:t>、</w:t>
      </w:r>
      <w:r>
        <w:rPr>
          <w:rFonts w:ascii="SimSun" w:eastAsia="SimSun" w:hAnsi="SimSun" w:cs="SimSun"/>
        </w:rPr>
        <w:t>LDL</w:t>
      </w:r>
      <w:r>
        <w:rPr>
          <w:rFonts w:ascii="SimSun" w:eastAsia="SimSun" w:hAnsi="SimSun" w:cs="SimSun"/>
          <w:spacing w:val="10"/>
        </w:rPr>
        <w:t>-C、</w:t>
      </w:r>
      <w:r>
        <w:rPr>
          <w:rFonts w:ascii="SimSun" w:eastAsia="SimSun" w:hAnsi="SimSun" w:cs="SimSun"/>
        </w:rPr>
        <w:t>HDL</w:t>
      </w:r>
      <w:r>
        <w:rPr>
          <w:rFonts w:ascii="SimSun" w:eastAsia="SimSun" w:hAnsi="SimSun" w:cs="SimSun"/>
          <w:spacing w:val="10"/>
        </w:rPr>
        <w:t>-C</w:t>
      </w:r>
      <w:r>
        <w:rPr>
          <w:rFonts w:ascii="SimSun" w:eastAsia="SimSun" w:hAnsi="SimSun" w:cs="SimSun"/>
          <w:spacing w:val="51"/>
        </w:rPr>
        <w:t xml:space="preserve">  </w:t>
      </w:r>
      <w:r>
        <w:rPr>
          <w:spacing w:val="10"/>
        </w:rPr>
        <w:t>和</w:t>
      </w:r>
      <w:r>
        <w:rPr>
          <w:spacing w:val="-48"/>
        </w:rPr>
        <w:t xml:space="preserve"> </w:t>
      </w:r>
      <w:r>
        <w:rPr>
          <w:rFonts w:ascii="SimSun" w:eastAsia="SimSun" w:hAnsi="SimSun" w:cs="SimSun"/>
        </w:rPr>
        <w:t>TG</w:t>
      </w:r>
      <w:r>
        <w:rPr>
          <w:rFonts w:ascii="SimSun" w:eastAsia="SimSun" w:hAnsi="SimSun" w:cs="SimSun"/>
          <w:spacing w:val="10"/>
        </w:rPr>
        <w:t xml:space="preserve">),≥40  </w:t>
      </w:r>
      <w:r>
        <w:rPr>
          <w:spacing w:val="10"/>
        </w:rPr>
        <w:t>岁成年人每年</w:t>
      </w:r>
      <w:r>
        <w:t xml:space="preserve"> </w:t>
      </w:r>
      <w:r>
        <w:rPr>
          <w:spacing w:val="14"/>
        </w:rPr>
        <w:t>至少应进行1次；(2)</w:t>
      </w:r>
      <w:r>
        <w:rPr>
          <w:rFonts w:ascii="SimSun" w:eastAsia="SimSun" w:hAnsi="SimSun" w:cs="SimSun"/>
        </w:rPr>
        <w:t>ASCVD</w:t>
      </w:r>
      <w:r>
        <w:rPr>
          <w:rFonts w:ascii="SimSun" w:eastAsia="SimSun" w:hAnsi="SimSun" w:cs="SimSun"/>
          <w:spacing w:val="6"/>
        </w:rPr>
        <w:t xml:space="preserve">   </w:t>
      </w:r>
      <w:r>
        <w:rPr>
          <w:spacing w:val="14"/>
        </w:rPr>
        <w:t>高危人群(参见</w:t>
      </w:r>
      <w:r>
        <w:rPr>
          <w:spacing w:val="-18"/>
        </w:rPr>
        <w:t xml:space="preserve"> </w:t>
      </w:r>
      <w:r>
        <w:rPr>
          <w:rFonts w:ascii="SimSun" w:eastAsia="SimSun" w:hAnsi="SimSun" w:cs="SimSun"/>
        </w:rPr>
        <w:t>ASCVD</w:t>
      </w:r>
      <w:r>
        <w:rPr>
          <w:rFonts w:ascii="SimSun" w:eastAsia="SimSun" w:hAnsi="SimSun" w:cs="SimSun"/>
          <w:spacing w:val="14"/>
        </w:rPr>
        <w:t xml:space="preserve">  </w:t>
      </w:r>
      <w:r>
        <w:rPr>
          <w:spacing w:val="14"/>
        </w:rPr>
        <w:t>总体风险评估部</w:t>
      </w:r>
      <w:r>
        <w:t xml:space="preserve"> </w:t>
      </w:r>
      <w:r>
        <w:rPr>
          <w:spacing w:val="7"/>
        </w:rPr>
        <w:t>分)应根据个体化防治的需求进行血脂检测；(3)在上述人群接受的血脂</w:t>
      </w:r>
      <w:r>
        <w:rPr>
          <w:spacing w:val="3"/>
        </w:rPr>
        <w:t xml:space="preserve"> </w:t>
      </w:r>
      <w:r>
        <w:rPr>
          <w:spacing w:val="9"/>
        </w:rPr>
        <w:t>检测中，应至少包括1次</w:t>
      </w:r>
      <w:r>
        <w:rPr>
          <w:spacing w:val="9"/>
        </w:rPr>
        <w:t xml:space="preserve"> </w:t>
      </w:r>
      <w:r>
        <w:rPr>
          <w:rFonts w:ascii="Arial" w:eastAsia="Arial" w:hAnsi="Arial" w:cs="Arial"/>
        </w:rPr>
        <w:t>Lp</w:t>
      </w:r>
      <w:r>
        <w:rPr>
          <w:rFonts w:ascii="Arial" w:eastAsia="Arial" w:hAnsi="Arial" w:cs="Arial"/>
          <w:spacing w:val="9"/>
        </w:rPr>
        <w:t>(a)</w:t>
      </w:r>
      <w:r>
        <w:rPr>
          <w:spacing w:val="9"/>
        </w:rPr>
        <w:t>的检测；(4</w:t>
      </w:r>
      <w:r>
        <w:rPr>
          <w:spacing w:val="8"/>
        </w:rPr>
        <w:t>)血脂检测应列入小学、初中</w:t>
      </w:r>
      <w:r>
        <w:t xml:space="preserve"> </w:t>
      </w:r>
      <w:r>
        <w:rPr>
          <w:spacing w:val="4"/>
        </w:rPr>
        <w:t>和高中体检的常规项目；(5)</w:t>
      </w:r>
      <w:r>
        <w:rPr>
          <w:rFonts w:ascii="SimSun" w:eastAsia="SimSun" w:hAnsi="SimSun" w:cs="SimSun"/>
        </w:rPr>
        <w:t>FH</w:t>
      </w:r>
      <w:r>
        <w:rPr>
          <w:rFonts w:ascii="SimSun" w:eastAsia="SimSun" w:hAnsi="SimSun" w:cs="SimSun"/>
          <w:spacing w:val="90"/>
        </w:rPr>
        <w:t xml:space="preserve"> </w:t>
      </w:r>
      <w:r>
        <w:rPr>
          <w:spacing w:val="4"/>
        </w:rPr>
        <w:t>先证者的一级和二级亲属均应进行血脂</w:t>
      </w:r>
    </w:p>
    <w:p>
      <w:pPr>
        <w:pStyle w:val="BodyText"/>
        <w:spacing w:before="1" w:line="212" w:lineRule="auto"/>
      </w:pPr>
      <w:r>
        <w:rPr>
          <w:spacing w:val="-8"/>
        </w:rPr>
        <w:t>筛查，增加</w:t>
      </w:r>
      <w:r>
        <w:rPr>
          <w:spacing w:val="-20"/>
        </w:rPr>
        <w:t xml:space="preserve"> </w:t>
      </w:r>
      <w:r>
        <w:rPr>
          <w:rFonts w:ascii="Arial" w:eastAsia="Arial" w:hAnsi="Arial" w:cs="Arial"/>
          <w:spacing w:val="-8"/>
        </w:rPr>
        <w:t>FH</w:t>
      </w:r>
      <w:r>
        <w:rPr>
          <w:rFonts w:ascii="Arial" w:eastAsia="Arial" w:hAnsi="Arial" w:cs="Arial"/>
          <w:spacing w:val="53"/>
        </w:rPr>
        <w:t xml:space="preserve"> </w:t>
      </w:r>
      <w:r>
        <w:rPr>
          <w:spacing w:val="-8"/>
        </w:rPr>
        <w:t>的早期检出率。</w:t>
      </w:r>
    </w:p>
    <w:p>
      <w:pPr>
        <w:spacing w:line="303" w:lineRule="auto"/>
        <w:rPr>
          <w:rFonts w:ascii="Arial"/>
          <w:sz w:val="21"/>
        </w:rPr>
        <w:sectPr>
          <w:pgSz w:w="11910" w:h="16840"/>
          <w:pgMar w:top="1431" w:right="1786" w:bottom="0" w:left="1779" w:header="0" w:footer="0" w:gutter="0"/>
          <w:pgNumType w:start="25"/>
          <w:cols w:space="708"/>
        </w:sectPr>
      </w:pPr>
    </w:p>
    <w:p>
      <w:pPr>
        <w:spacing w:line="304" w:lineRule="auto"/>
        <w:rPr>
          <w:rFonts w:ascii="Arial"/>
          <w:sz w:val="21"/>
        </w:rPr>
      </w:pPr>
    </w:p>
    <w:p>
      <w:pPr>
        <w:spacing w:line="304" w:lineRule="auto"/>
        <w:rPr>
          <w:rFonts w:ascii="Arial"/>
          <w:sz w:val="21"/>
        </w:rPr>
      </w:pPr>
    </w:p>
    <w:p>
      <w:pPr>
        <w:pStyle w:val="BodyText"/>
        <w:spacing w:before="85" w:line="222" w:lineRule="auto"/>
        <w:rPr>
          <w:rFonts w:ascii="Arial" w:eastAsia="Arial" w:hAnsi="Arial" w:cs="Arial"/>
        </w:rPr>
      </w:pPr>
      <w:r>
        <w:rPr>
          <w:spacing w:val="10"/>
        </w:rPr>
        <w:t>血脂检查的重点对象为：(1)有</w:t>
      </w:r>
      <w:r>
        <w:rPr>
          <w:rFonts w:ascii="Arial" w:eastAsia="Arial" w:hAnsi="Arial" w:cs="Arial"/>
        </w:rPr>
        <w:t>ASCVD</w:t>
      </w:r>
      <w:r>
        <w:rPr>
          <w:rFonts w:ascii="Arial" w:eastAsia="Arial" w:hAnsi="Arial" w:cs="Arial"/>
          <w:spacing w:val="63"/>
        </w:rPr>
        <w:t xml:space="preserve"> </w:t>
      </w:r>
      <w:r>
        <w:rPr>
          <w:spacing w:val="10"/>
        </w:rPr>
        <w:t>病史者。(2)存在</w:t>
      </w:r>
      <w:r>
        <w:rPr>
          <w:spacing w:val="9"/>
        </w:rPr>
        <w:t>多项</w:t>
      </w:r>
      <w:r>
        <w:rPr>
          <w:spacing w:val="9"/>
        </w:rPr>
        <w:t xml:space="preserve"> </w:t>
      </w:r>
      <w:r>
        <w:rPr>
          <w:rFonts w:ascii="Arial" w:eastAsia="Arial" w:hAnsi="Arial" w:cs="Arial"/>
        </w:rPr>
        <w:t>ASCVD</w:t>
      </w:r>
    </w:p>
    <w:p>
      <w:pPr>
        <w:spacing w:line="222" w:lineRule="auto"/>
        <w:rPr>
          <w:rFonts w:ascii="Arial" w:eastAsia="Arial" w:hAnsi="Arial" w:cs="Arial"/>
        </w:rPr>
        <w:sectPr>
          <w:type w:val="nextPage"/>
          <w:pgSz w:w="11910" w:h="16840"/>
          <w:pgMar w:top="1431" w:right="1786" w:bottom="0" w:left="1779" w:header="0" w:footer="0" w:gutter="0"/>
          <w:pgNumType w:start="26"/>
          <w:cols w:space="708"/>
          <w:titlePg w:val="0"/>
        </w:sectPr>
      </w:pPr>
    </w:p>
    <w:p>
      <w:pPr>
        <w:pStyle w:val="BodyText"/>
        <w:spacing w:before="206" w:line="441" w:lineRule="auto"/>
        <w:ind w:left="13" w:right="34"/>
      </w:pPr>
      <w:r>
        <w:rPr>
          <w:spacing w:val="15"/>
        </w:rPr>
        <w:t>危险因素(如高血压、糖尿病、肥胖、吸烟)的人群。(3)</w:t>
      </w:r>
      <w:r>
        <w:rPr>
          <w:spacing w:val="14"/>
        </w:rPr>
        <w:t>有早发</w:t>
      </w:r>
      <w:r>
        <w:rPr>
          <w:spacing w:val="14"/>
        </w:rPr>
        <w:t xml:space="preserve"> </w:t>
      </w:r>
      <w:r>
        <w:rPr>
          <w:rFonts w:ascii="SimSun" w:eastAsia="SimSun" w:hAnsi="SimSun" w:cs="SimSun"/>
        </w:rPr>
        <w:t xml:space="preserve">CVD  </w:t>
      </w:r>
      <w:r>
        <w:rPr>
          <w:spacing w:val="11"/>
        </w:rPr>
        <w:t>家族史者(指男性一级直系亲属在55岁前或女性一级直系亲属</w:t>
      </w:r>
      <w:r>
        <w:rPr>
          <w:spacing w:val="10"/>
        </w:rPr>
        <w:t>在65岁前</w:t>
      </w:r>
      <w:r>
        <w:t xml:space="preserve"> </w:t>
      </w:r>
      <w:r>
        <w:rPr>
          <w:spacing w:val="8"/>
        </w:rPr>
        <w:t>患</w:t>
      </w:r>
      <w:r>
        <w:rPr>
          <w:spacing w:val="8"/>
        </w:rPr>
        <w:t xml:space="preserve"> </w:t>
      </w:r>
      <w:r>
        <w:rPr>
          <w:rFonts w:ascii="SimSun" w:eastAsia="SimSun" w:hAnsi="SimSun" w:cs="SimSun"/>
        </w:rPr>
        <w:t>ASCVD</w:t>
      </w:r>
      <w:r>
        <w:rPr>
          <w:rFonts w:ascii="SimSun" w:eastAsia="SimSun" w:hAnsi="SimSun" w:cs="SimSun"/>
          <w:spacing w:val="8"/>
        </w:rPr>
        <w:t>),</w:t>
      </w:r>
      <w:r>
        <w:rPr>
          <w:rFonts w:ascii="SimSun" w:eastAsia="SimSun" w:hAnsi="SimSun" w:cs="SimSun"/>
          <w:spacing w:val="59"/>
        </w:rPr>
        <w:t xml:space="preserve">  </w:t>
      </w:r>
      <w:r>
        <w:rPr>
          <w:spacing w:val="8"/>
        </w:rPr>
        <w:t>或有家族性高脂血症患者。(4)皮肤或肌腱黄色瘤及跟腱</w:t>
      </w:r>
    </w:p>
    <w:p>
      <w:pPr>
        <w:pStyle w:val="BodyText"/>
        <w:spacing w:line="223" w:lineRule="auto"/>
        <w:ind w:left="13"/>
      </w:pPr>
      <w:r>
        <w:rPr>
          <w:spacing w:val="-8"/>
        </w:rPr>
        <w:t>增厚者。</w:t>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BodyText"/>
        <w:spacing w:before="85" w:line="222" w:lineRule="auto"/>
        <w:ind w:left="13"/>
      </w:pPr>
      <w:r>
        <w:rPr>
          <w:spacing w:val="-6"/>
        </w:rPr>
        <w:t>8</w:t>
      </w:r>
      <w:r>
        <w:rPr>
          <w:spacing w:val="93"/>
        </w:rPr>
        <w:t xml:space="preserve"> </w:t>
      </w:r>
      <w:r>
        <w:rPr>
          <w:spacing w:val="-6"/>
        </w:rPr>
        <w:t>血脂异常治疗原则</w:t>
      </w: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85" w:line="222" w:lineRule="auto"/>
        <w:ind w:left="13"/>
      </w:pPr>
      <w:r>
        <w:rPr>
          <w:spacing w:val="-2"/>
        </w:rPr>
        <w:t>要点提示</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BodyText"/>
        <w:spacing w:before="85" w:line="212" w:lineRule="auto"/>
        <w:ind w:left="113"/>
      </w:pPr>
      <w:r>
        <w:rPr>
          <w:rFonts w:ascii="Arial" w:eastAsia="Arial" w:hAnsi="Arial" w:cs="Arial"/>
          <w:spacing w:val="-2"/>
        </w:rPr>
        <w:t xml:space="preserve">(1)LDL-C     </w:t>
      </w:r>
      <w:r>
        <w:rPr>
          <w:spacing w:val="-2"/>
        </w:rPr>
        <w:t>是防治</w:t>
      </w:r>
      <w:r>
        <w:rPr>
          <w:spacing w:val="-24"/>
        </w:rPr>
        <w:t xml:space="preserve"> </w:t>
      </w:r>
      <w:r>
        <w:rPr>
          <w:rFonts w:ascii="Arial" w:eastAsia="Arial" w:hAnsi="Arial" w:cs="Arial"/>
          <w:spacing w:val="-2"/>
        </w:rPr>
        <w:t xml:space="preserve">ASCVD  </w:t>
      </w:r>
      <w:r>
        <w:rPr>
          <w:spacing w:val="-2"/>
        </w:rPr>
        <w:t>的首要干预靶点，非</w:t>
      </w:r>
      <w:r>
        <w:rPr>
          <w:spacing w:val="-29"/>
        </w:rPr>
        <w:t xml:space="preserve"> </w:t>
      </w:r>
      <w:r>
        <w:rPr>
          <w:rFonts w:ascii="Arial" w:eastAsia="Arial" w:hAnsi="Arial" w:cs="Arial"/>
          <w:spacing w:val="-2"/>
        </w:rPr>
        <w:t>HDL</w:t>
      </w:r>
      <w:r>
        <w:rPr>
          <w:rFonts w:ascii="Arial" w:eastAsia="Arial" w:hAnsi="Arial" w:cs="Arial"/>
          <w:spacing w:val="-3"/>
        </w:rPr>
        <w:t>-C</w:t>
      </w:r>
      <w:r>
        <w:rPr>
          <w:rFonts w:ascii="Arial" w:eastAsia="Arial" w:hAnsi="Arial" w:cs="Arial"/>
          <w:spacing w:val="55"/>
        </w:rPr>
        <w:t xml:space="preserve"> </w:t>
      </w:r>
      <w:r>
        <w:rPr>
          <w:spacing w:val="-3"/>
        </w:rPr>
        <w:t>为次要干预靶</w:t>
      </w:r>
    </w:p>
    <w:p>
      <w:pPr>
        <w:spacing w:line="264" w:lineRule="auto"/>
        <w:rPr>
          <w:rFonts w:ascii="Arial"/>
          <w:sz w:val="21"/>
        </w:rPr>
      </w:pPr>
    </w:p>
    <w:p>
      <w:pPr>
        <w:pStyle w:val="BodyText"/>
        <w:spacing w:before="85" w:line="223" w:lineRule="auto"/>
        <w:ind w:left="13"/>
      </w:pPr>
      <w:r>
        <w:rPr>
          <w:spacing w:val="-12"/>
        </w:rPr>
        <w:t>点。</w:t>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85" w:line="222" w:lineRule="auto"/>
        <w:ind w:left="113"/>
      </w:pPr>
      <w:r>
        <w:rPr>
          <w:spacing w:val="8"/>
        </w:rPr>
        <w:t>(2)根据个体的</w:t>
      </w:r>
      <w:r>
        <w:rPr>
          <w:spacing w:val="-62"/>
        </w:rPr>
        <w:t xml:space="preserve"> </w:t>
      </w:r>
      <w:r>
        <w:rPr>
          <w:rFonts w:ascii="Arial" w:eastAsia="Arial" w:hAnsi="Arial" w:cs="Arial"/>
        </w:rPr>
        <w:t>ASCVD</w:t>
      </w:r>
      <w:r>
        <w:rPr>
          <w:spacing w:val="8"/>
        </w:rPr>
        <w:t>风险确定相应的</w:t>
      </w:r>
      <w:r>
        <w:rPr>
          <w:spacing w:val="-53"/>
        </w:rPr>
        <w:t xml:space="preserve"> </w:t>
      </w:r>
      <w:r>
        <w:rPr>
          <w:rFonts w:ascii="Arial" w:eastAsia="Arial" w:hAnsi="Arial" w:cs="Arial"/>
        </w:rPr>
        <w:t>LDL</w:t>
      </w:r>
      <w:r>
        <w:rPr>
          <w:rFonts w:ascii="Arial" w:eastAsia="Arial" w:hAnsi="Arial" w:cs="Arial"/>
          <w:spacing w:val="8"/>
        </w:rPr>
        <w:t>-C</w:t>
      </w:r>
      <w:r>
        <w:rPr>
          <w:spacing w:val="8"/>
        </w:rPr>
        <w:t>及非</w:t>
      </w:r>
      <w:r>
        <w:rPr>
          <w:spacing w:val="8"/>
        </w:rPr>
        <w:t xml:space="preserve"> </w:t>
      </w:r>
      <w:r>
        <w:rPr>
          <w:rFonts w:ascii="Arial" w:eastAsia="Arial" w:hAnsi="Arial" w:cs="Arial"/>
        </w:rPr>
        <w:t>HDL</w:t>
      </w:r>
      <w:r>
        <w:rPr>
          <w:rFonts w:ascii="Arial" w:eastAsia="Arial" w:hAnsi="Arial" w:cs="Arial"/>
          <w:spacing w:val="8"/>
        </w:rPr>
        <w:t>-C</w:t>
      </w:r>
      <w:r>
        <w:rPr>
          <w:rFonts w:ascii="Arial" w:eastAsia="Arial" w:hAnsi="Arial" w:cs="Arial"/>
          <w:spacing w:val="45"/>
        </w:rPr>
        <w:t xml:space="preserve"> </w:t>
      </w:r>
      <w:r>
        <w:rPr>
          <w:spacing w:val="8"/>
        </w:rPr>
        <w:t>目标值。</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BodyText"/>
        <w:spacing w:before="84" w:line="221" w:lineRule="auto"/>
        <w:ind w:left="113"/>
      </w:pPr>
      <w:r>
        <w:rPr>
          <w:spacing w:val="5"/>
        </w:rPr>
        <w:t>(3)健康的生活方式是降低</w:t>
      </w:r>
      <w:r>
        <w:rPr>
          <w:spacing w:val="-39"/>
        </w:rPr>
        <w:t xml:space="preserve"> </w:t>
      </w:r>
      <w:r>
        <w:rPr>
          <w:rFonts w:ascii="SimSun" w:eastAsia="SimSun" w:hAnsi="SimSun" w:cs="SimSun"/>
        </w:rPr>
        <w:t>LDL</w:t>
      </w:r>
      <w:r>
        <w:rPr>
          <w:rFonts w:ascii="SimSun" w:eastAsia="SimSun" w:hAnsi="SimSun" w:cs="SimSun"/>
          <w:spacing w:val="5"/>
        </w:rPr>
        <w:t xml:space="preserve">-C </w:t>
      </w:r>
      <w:r>
        <w:rPr>
          <w:spacing w:val="5"/>
        </w:rPr>
        <w:t>及非</w:t>
      </w:r>
      <w:r>
        <w:rPr>
          <w:spacing w:val="-30"/>
        </w:rPr>
        <w:t xml:space="preserve"> </w:t>
      </w:r>
      <w:r>
        <w:rPr>
          <w:rFonts w:ascii="SimSun" w:eastAsia="SimSun" w:hAnsi="SimSun" w:cs="SimSun"/>
        </w:rPr>
        <w:t>HDL</w:t>
      </w:r>
      <w:r>
        <w:rPr>
          <w:rFonts w:ascii="SimSun" w:eastAsia="SimSun" w:hAnsi="SimSun" w:cs="SimSun"/>
          <w:spacing w:val="5"/>
        </w:rPr>
        <w:t>-C</w:t>
      </w:r>
      <w:r>
        <w:rPr>
          <w:rFonts w:ascii="SimSun" w:eastAsia="SimSun" w:hAnsi="SimSun" w:cs="SimSun"/>
          <w:spacing w:val="64"/>
        </w:rPr>
        <w:t xml:space="preserve"> </w:t>
      </w:r>
      <w:r>
        <w:rPr>
          <w:spacing w:val="5"/>
        </w:rPr>
        <w:t>的基础。</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BodyText"/>
        <w:spacing w:before="85" w:line="221" w:lineRule="auto"/>
        <w:ind w:left="113"/>
      </w:pPr>
      <w:r>
        <w:rPr>
          <w:spacing w:val="-6"/>
        </w:rPr>
        <w:t>(</w:t>
      </w:r>
      <w:r>
        <w:rPr>
          <w:spacing w:val="-42"/>
        </w:rPr>
        <w:t xml:space="preserve"> </w:t>
      </w:r>
      <w:r>
        <w:rPr>
          <w:spacing w:val="-6"/>
        </w:rPr>
        <w:t>4</w:t>
      </w:r>
      <w:r>
        <w:rPr>
          <w:spacing w:val="-49"/>
        </w:rPr>
        <w:t xml:space="preserve"> </w:t>
      </w:r>
      <w:r>
        <w:rPr>
          <w:spacing w:val="-6"/>
        </w:rPr>
        <w:t>)</w:t>
      </w:r>
      <w:r>
        <w:rPr>
          <w:spacing w:val="-34"/>
        </w:rPr>
        <w:t xml:space="preserve"> </w:t>
      </w:r>
      <w:r>
        <w:rPr>
          <w:spacing w:val="-6"/>
        </w:rPr>
        <w:t>降</w:t>
      </w:r>
      <w:r>
        <w:rPr>
          <w:spacing w:val="-38"/>
        </w:rPr>
        <w:t xml:space="preserve"> </w:t>
      </w:r>
      <w:r>
        <w:rPr>
          <w:rFonts w:ascii="Arial" w:eastAsia="Arial" w:hAnsi="Arial" w:cs="Arial"/>
          <w:spacing w:val="-6"/>
        </w:rPr>
        <w:t>LDL-C</w:t>
      </w:r>
      <w:r>
        <w:rPr>
          <w:rFonts w:ascii="Arial" w:eastAsia="Arial" w:hAnsi="Arial" w:cs="Arial"/>
          <w:spacing w:val="-24"/>
        </w:rPr>
        <w:t xml:space="preserve"> </w:t>
      </w:r>
      <w:r>
        <w:rPr>
          <w:spacing w:val="-6"/>
        </w:rPr>
        <w:t>治疗以中等剂量他汀类药物为初始治疗。</w:t>
      </w:r>
    </w:p>
    <w:p>
      <w:pPr>
        <w:spacing w:line="283" w:lineRule="auto"/>
        <w:rPr>
          <w:rFonts w:ascii="Arial"/>
          <w:sz w:val="21"/>
        </w:rPr>
      </w:pPr>
    </w:p>
    <w:p>
      <w:pPr>
        <w:spacing w:line="283" w:lineRule="auto"/>
        <w:rPr>
          <w:rFonts w:ascii="Arial"/>
          <w:sz w:val="21"/>
        </w:rPr>
      </w:pPr>
    </w:p>
    <w:p>
      <w:pPr>
        <w:spacing w:line="283" w:lineRule="auto"/>
        <w:rPr>
          <w:rFonts w:ascii="Arial"/>
          <w:sz w:val="21"/>
        </w:rPr>
        <w:sectPr>
          <w:pgSz w:w="11910" w:h="16840"/>
          <w:pgMar w:top="1431" w:right="1786" w:bottom="0" w:left="1786" w:header="0" w:footer="0" w:gutter="0"/>
          <w:pgNumType w:start="27"/>
          <w:cols w:space="708"/>
        </w:sectPr>
      </w:pPr>
    </w:p>
    <w:p>
      <w:pPr>
        <w:pStyle w:val="BodyText"/>
        <w:spacing w:before="84" w:line="611" w:lineRule="exact"/>
        <w:ind w:left="113"/>
      </w:pPr>
      <w:r>
        <w:rPr>
          <w:spacing w:val="8"/>
          <w:position w:val="26"/>
        </w:rPr>
        <w:t>(5)他汀类药物治疗后</w:t>
      </w:r>
      <w:r>
        <w:rPr>
          <w:rFonts w:ascii="SimSun" w:eastAsia="SimSun" w:hAnsi="SimSun" w:cs="SimSun"/>
          <w:position w:val="26"/>
        </w:rPr>
        <w:t>LDL</w:t>
      </w:r>
      <w:r>
        <w:rPr>
          <w:rFonts w:ascii="SimSun" w:eastAsia="SimSun" w:hAnsi="SimSun" w:cs="SimSun"/>
          <w:spacing w:val="8"/>
          <w:position w:val="26"/>
        </w:rPr>
        <w:t xml:space="preserve">-C </w:t>
      </w:r>
      <w:r>
        <w:rPr>
          <w:spacing w:val="8"/>
          <w:position w:val="26"/>
        </w:rPr>
        <w:t>未达标时应考虑联合胆固醇吸收抑制剂和</w:t>
      </w:r>
    </w:p>
    <w:p>
      <w:pPr>
        <w:pStyle w:val="BodyText"/>
        <w:spacing w:before="1" w:line="221" w:lineRule="auto"/>
        <w:ind w:left="113"/>
      </w:pPr>
      <w:r>
        <w:rPr>
          <w:spacing w:val="-9"/>
        </w:rPr>
        <w:t>(</w:t>
      </w:r>
      <w:r>
        <w:rPr>
          <w:spacing w:val="-14"/>
        </w:rPr>
        <w:t xml:space="preserve"> </w:t>
      </w:r>
      <w:r>
        <w:rPr>
          <w:spacing w:val="-9"/>
        </w:rPr>
        <w:t>或</w:t>
      </w:r>
      <w:r>
        <w:rPr>
          <w:spacing w:val="-34"/>
        </w:rPr>
        <w:t xml:space="preserve"> </w:t>
      </w:r>
      <w:r>
        <w:rPr>
          <w:spacing w:val="-9"/>
        </w:rPr>
        <w:t>)</w:t>
      </w:r>
      <w:r>
        <w:rPr>
          <w:rFonts w:ascii="Arial" w:eastAsia="Arial" w:hAnsi="Arial" w:cs="Arial"/>
          <w:spacing w:val="-9"/>
        </w:rPr>
        <w:t>PCSK9</w:t>
      </w:r>
      <w:r>
        <w:rPr>
          <w:spacing w:val="-9"/>
        </w:rPr>
        <w:t>抑制剂。</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BodyText"/>
        <w:spacing w:before="85" w:line="221" w:lineRule="auto"/>
        <w:ind w:right="11"/>
        <w:jc w:val="right"/>
      </w:pPr>
      <w:r>
        <w:rPr>
          <w:spacing w:val="9"/>
        </w:rPr>
        <w:t>(6)他汀类药物治疗后</w:t>
      </w:r>
      <w:r>
        <w:rPr>
          <w:rFonts w:ascii="Arial" w:eastAsia="Arial" w:hAnsi="Arial" w:cs="Arial"/>
        </w:rPr>
        <w:t>TG</w:t>
      </w:r>
      <w:r>
        <w:rPr>
          <w:spacing w:val="9"/>
        </w:rPr>
        <w:t>仍升高的高危</w:t>
      </w:r>
      <w:r>
        <w:rPr>
          <w:rFonts w:ascii="Arial" w:eastAsia="Arial" w:hAnsi="Arial" w:cs="Arial"/>
        </w:rPr>
        <w:t>ASCVD</w:t>
      </w:r>
      <w:r>
        <w:rPr>
          <w:rFonts w:ascii="Arial" w:eastAsia="Arial" w:hAnsi="Arial" w:cs="Arial"/>
          <w:spacing w:val="9"/>
        </w:rPr>
        <w:t xml:space="preserve"> </w:t>
      </w:r>
      <w:r>
        <w:rPr>
          <w:spacing w:val="9"/>
        </w:rPr>
        <w:t>患者可联合高纯度二十</w:t>
      </w:r>
    </w:p>
    <w:p>
      <w:pPr>
        <w:spacing w:line="221" w:lineRule="auto"/>
        <w:sectPr>
          <w:type w:val="nextPage"/>
          <w:pgSz w:w="11910" w:h="16840"/>
          <w:pgMar w:top="1431" w:right="1786" w:bottom="0" w:left="1786" w:header="0" w:footer="0" w:gutter="0"/>
          <w:pgNumType w:start="28"/>
          <w:cols w:space="708"/>
          <w:titlePg w:val="0"/>
        </w:sectPr>
      </w:pPr>
    </w:p>
    <w:p>
      <w:pPr>
        <w:pStyle w:val="BodyText"/>
        <w:spacing w:before="207" w:line="221" w:lineRule="auto"/>
        <w:rPr>
          <w:sz w:val="27"/>
          <w:szCs w:val="27"/>
        </w:rPr>
      </w:pPr>
      <w:r>
        <w:rPr>
          <w:spacing w:val="-10"/>
          <w:sz w:val="27"/>
          <w:szCs w:val="27"/>
        </w:rPr>
        <w:t>碳五烯酸</w:t>
      </w:r>
      <w:r>
        <w:rPr>
          <w:rFonts w:ascii="SimSun" w:eastAsia="SimSun" w:hAnsi="SimSun" w:cs="SimSun"/>
          <w:spacing w:val="-10"/>
          <w:sz w:val="27"/>
          <w:szCs w:val="27"/>
        </w:rPr>
        <w:t>(EPA</w:t>
      </w:r>
      <w:r>
        <w:rPr>
          <w:rFonts w:ascii="SimSun" w:eastAsia="SimSun" w:hAnsi="SimSun" w:cs="SimSun"/>
          <w:spacing w:val="93"/>
          <w:sz w:val="27"/>
          <w:szCs w:val="27"/>
        </w:rPr>
        <w:t xml:space="preserve"> </w:t>
      </w:r>
      <w:r>
        <w:rPr>
          <w:rFonts w:ascii="SimSun" w:eastAsia="SimSun" w:hAnsi="SimSun" w:cs="SimSun"/>
          <w:spacing w:val="-10"/>
          <w:sz w:val="27"/>
          <w:szCs w:val="27"/>
        </w:rPr>
        <w:t>)</w:t>
      </w:r>
      <w:r>
        <w:rPr>
          <w:spacing w:val="-10"/>
          <w:sz w:val="27"/>
          <w:szCs w:val="27"/>
        </w:rPr>
        <w:t>或高纯度</w:t>
      </w:r>
      <w:r>
        <w:rPr>
          <w:rFonts w:ascii="SimSun" w:eastAsia="SimSun" w:hAnsi="SimSun" w:cs="SimSun"/>
          <w:spacing w:val="-10"/>
          <w:sz w:val="27"/>
          <w:szCs w:val="27"/>
        </w:rPr>
        <w:t xml:space="preserve">w-3 </w:t>
      </w:r>
      <w:r>
        <w:rPr>
          <w:spacing w:val="-10"/>
          <w:sz w:val="27"/>
          <w:szCs w:val="27"/>
        </w:rPr>
        <w:t>脂肪酸或贝特类药物以降低</w:t>
      </w:r>
      <w:r>
        <w:rPr>
          <w:spacing w:val="-65"/>
          <w:sz w:val="27"/>
          <w:szCs w:val="27"/>
        </w:rPr>
        <w:t xml:space="preserve"> </w:t>
      </w:r>
      <w:r>
        <w:rPr>
          <w:rFonts w:ascii="SimSun" w:eastAsia="SimSun" w:hAnsi="SimSun" w:cs="SimSun"/>
          <w:spacing w:val="-10"/>
          <w:sz w:val="27"/>
          <w:szCs w:val="27"/>
        </w:rPr>
        <w:t xml:space="preserve">ASCVD  </w:t>
      </w:r>
      <w:r>
        <w:rPr>
          <w:spacing w:val="-10"/>
          <w:sz w:val="27"/>
          <w:szCs w:val="27"/>
        </w:rPr>
        <w:t>风险。</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BodyText"/>
        <w:spacing w:before="88" w:line="222" w:lineRule="auto"/>
        <w:rPr>
          <w:sz w:val="27"/>
          <w:szCs w:val="27"/>
        </w:rPr>
      </w:pPr>
      <w:r>
        <w:rPr>
          <w:spacing w:val="-12"/>
          <w:sz w:val="27"/>
          <w:szCs w:val="27"/>
        </w:rPr>
        <w:t>8.1</w:t>
      </w:r>
      <w:r>
        <w:rPr>
          <w:spacing w:val="112"/>
          <w:sz w:val="27"/>
          <w:szCs w:val="27"/>
        </w:rPr>
        <w:t xml:space="preserve"> </w:t>
      </w:r>
      <w:r>
        <w:rPr>
          <w:spacing w:val="-12"/>
          <w:sz w:val="27"/>
          <w:szCs w:val="27"/>
        </w:rPr>
        <w:t>血脂干预靶点及管理</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88" w:line="222" w:lineRule="auto"/>
        <w:rPr>
          <w:sz w:val="27"/>
          <w:szCs w:val="27"/>
        </w:rPr>
      </w:pPr>
      <w:r>
        <w:rPr>
          <w:spacing w:val="-10"/>
          <w:sz w:val="27"/>
          <w:szCs w:val="27"/>
        </w:rPr>
        <w:t>血脂干预靶点及管理建议</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88" w:line="212" w:lineRule="auto"/>
        <w:rPr>
          <w:rFonts w:ascii="Arial" w:eastAsia="Arial" w:hAnsi="Arial" w:cs="Arial"/>
          <w:sz w:val="27"/>
          <w:szCs w:val="27"/>
        </w:rPr>
      </w:pPr>
      <w:r>
        <w:rPr>
          <w:rFonts w:ascii="Arial" w:eastAsia="Arial" w:hAnsi="Arial" w:cs="Arial"/>
          <w:spacing w:val="-3"/>
          <w:sz w:val="27"/>
          <w:szCs w:val="27"/>
        </w:rPr>
        <w:t>·LDL-C</w:t>
      </w:r>
      <w:r>
        <w:rPr>
          <w:spacing w:val="-3"/>
          <w:sz w:val="27"/>
          <w:szCs w:val="27"/>
        </w:rPr>
        <w:t>作为</w:t>
      </w:r>
      <w:r>
        <w:rPr>
          <w:rFonts w:ascii="Arial" w:eastAsia="Arial" w:hAnsi="Arial" w:cs="Arial"/>
          <w:spacing w:val="-3"/>
          <w:sz w:val="27"/>
          <w:szCs w:val="27"/>
        </w:rPr>
        <w:t xml:space="preserve">ASCVD </w:t>
      </w:r>
      <w:r>
        <w:rPr>
          <w:spacing w:val="-3"/>
          <w:sz w:val="27"/>
          <w:szCs w:val="27"/>
        </w:rPr>
        <w:t>风险干预的首要靶点</w:t>
      </w:r>
      <w:r>
        <w:rPr>
          <w:spacing w:val="-66"/>
          <w:sz w:val="27"/>
          <w:szCs w:val="27"/>
        </w:rPr>
        <w:t xml:space="preserve"> </w:t>
      </w:r>
      <w:r>
        <w:rPr>
          <w:rFonts w:ascii="Arial" w:eastAsia="Arial" w:hAnsi="Arial" w:cs="Arial"/>
          <w:spacing w:val="-3"/>
          <w:sz w:val="27"/>
          <w:szCs w:val="27"/>
        </w:rPr>
        <w:t>(A)</w:t>
      </w: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BodyText"/>
        <w:spacing w:before="88" w:line="621" w:lineRule="exact"/>
        <w:rPr>
          <w:rFonts w:ascii="Arial" w:eastAsia="Arial" w:hAnsi="Arial" w:cs="Arial"/>
          <w:sz w:val="27"/>
          <w:szCs w:val="27"/>
        </w:rPr>
      </w:pPr>
      <w:r>
        <w:rPr>
          <w:spacing w:val="-9"/>
          <w:position w:val="26"/>
          <w:sz w:val="27"/>
          <w:szCs w:val="27"/>
        </w:rPr>
        <w:t>·非</w:t>
      </w:r>
      <w:r>
        <w:rPr>
          <w:rFonts w:ascii="Arial" w:eastAsia="Arial" w:hAnsi="Arial" w:cs="Arial"/>
          <w:spacing w:val="-9"/>
          <w:position w:val="26"/>
          <w:sz w:val="27"/>
          <w:szCs w:val="27"/>
        </w:rPr>
        <w:t xml:space="preserve">HDL-C </w:t>
      </w:r>
      <w:r>
        <w:rPr>
          <w:spacing w:val="-9"/>
          <w:position w:val="26"/>
          <w:sz w:val="27"/>
          <w:szCs w:val="27"/>
        </w:rPr>
        <w:t>作为糖尿病、代谢综合征、高</w:t>
      </w:r>
      <w:r>
        <w:rPr>
          <w:rFonts w:ascii="Arial" w:eastAsia="Arial" w:hAnsi="Arial" w:cs="Arial"/>
          <w:spacing w:val="-9"/>
          <w:position w:val="26"/>
          <w:sz w:val="27"/>
          <w:szCs w:val="27"/>
        </w:rPr>
        <w:t>TG</w:t>
      </w:r>
      <w:r>
        <w:rPr>
          <w:rFonts w:ascii="SimSun" w:eastAsia="SimSun" w:hAnsi="SimSun" w:cs="SimSun"/>
          <w:spacing w:val="-9"/>
          <w:position w:val="26"/>
          <w:sz w:val="27"/>
          <w:szCs w:val="27"/>
        </w:rPr>
        <w:t>、</w:t>
      </w:r>
      <w:r>
        <w:rPr>
          <w:spacing w:val="-9"/>
          <w:position w:val="26"/>
          <w:sz w:val="27"/>
          <w:szCs w:val="27"/>
        </w:rPr>
        <w:t>极低</w:t>
      </w:r>
      <w:r>
        <w:rPr>
          <w:spacing w:val="-37"/>
          <w:position w:val="26"/>
          <w:sz w:val="27"/>
          <w:szCs w:val="27"/>
        </w:rPr>
        <w:t xml:space="preserve"> </w:t>
      </w:r>
      <w:r>
        <w:rPr>
          <w:rFonts w:ascii="Arial" w:eastAsia="Arial" w:hAnsi="Arial" w:cs="Arial"/>
          <w:spacing w:val="-9"/>
          <w:position w:val="26"/>
          <w:sz w:val="27"/>
          <w:szCs w:val="27"/>
        </w:rPr>
        <w:t>LDL</w:t>
      </w:r>
      <w:r>
        <w:rPr>
          <w:rFonts w:ascii="Arial" w:eastAsia="Arial" w:hAnsi="Arial" w:cs="Arial"/>
          <w:spacing w:val="-10"/>
          <w:position w:val="26"/>
          <w:sz w:val="27"/>
          <w:szCs w:val="27"/>
        </w:rPr>
        <w:t xml:space="preserve">-C </w:t>
      </w:r>
      <w:r>
        <w:rPr>
          <w:spacing w:val="-10"/>
          <w:position w:val="26"/>
          <w:sz w:val="27"/>
          <w:szCs w:val="27"/>
        </w:rPr>
        <w:t>患者</w:t>
      </w:r>
      <w:r>
        <w:rPr>
          <w:spacing w:val="-57"/>
          <w:position w:val="26"/>
          <w:sz w:val="27"/>
          <w:szCs w:val="27"/>
        </w:rPr>
        <w:t xml:space="preserve"> </w:t>
      </w:r>
      <w:r>
        <w:rPr>
          <w:rFonts w:ascii="Arial" w:eastAsia="Arial" w:hAnsi="Arial" w:cs="Arial"/>
          <w:spacing w:val="-10"/>
          <w:position w:val="26"/>
          <w:sz w:val="27"/>
          <w:szCs w:val="27"/>
        </w:rPr>
        <w:t>ASCVD</w:t>
      </w:r>
    </w:p>
    <w:p>
      <w:pPr>
        <w:pStyle w:val="BodyText"/>
        <w:spacing w:before="1" w:line="221" w:lineRule="auto"/>
        <w:rPr>
          <w:rFonts w:ascii="SimSun" w:eastAsia="SimSun" w:hAnsi="SimSun" w:cs="SimSun"/>
          <w:sz w:val="27"/>
          <w:szCs w:val="27"/>
        </w:rPr>
      </w:pPr>
      <w:r>
        <w:rPr>
          <w:spacing w:val="-3"/>
          <w:sz w:val="27"/>
          <w:szCs w:val="27"/>
        </w:rPr>
        <w:t>风险干预的靶点</w:t>
      </w:r>
      <w:r>
        <w:rPr>
          <w:rFonts w:ascii="SimSun" w:eastAsia="SimSun" w:hAnsi="SimSun" w:cs="SimSun"/>
          <w:spacing w:val="-3"/>
          <w:sz w:val="27"/>
          <w:szCs w:val="27"/>
        </w:rPr>
        <w:t>(B)</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87" w:line="666" w:lineRule="exact"/>
        <w:rPr>
          <w:sz w:val="27"/>
          <w:szCs w:val="27"/>
        </w:rPr>
      </w:pPr>
      <w:r>
        <w:rPr>
          <w:rFonts w:ascii="Arial" w:eastAsia="Arial" w:hAnsi="Arial" w:cs="Arial"/>
          <w:spacing w:val="-6"/>
          <w:position w:val="30"/>
          <w:sz w:val="27"/>
          <w:szCs w:val="27"/>
        </w:rPr>
        <w:t>·ApoB</w:t>
      </w:r>
      <w:r>
        <w:rPr>
          <w:rFonts w:ascii="Arial" w:eastAsia="Arial" w:hAnsi="Arial" w:cs="Arial"/>
          <w:spacing w:val="26"/>
          <w:position w:val="30"/>
          <w:sz w:val="27"/>
          <w:szCs w:val="27"/>
        </w:rPr>
        <w:t xml:space="preserve"> </w:t>
      </w:r>
      <w:r>
        <w:rPr>
          <w:spacing w:val="-6"/>
          <w:position w:val="30"/>
          <w:sz w:val="27"/>
          <w:szCs w:val="27"/>
        </w:rPr>
        <w:t>作为糖尿病、代谢综合征、高</w:t>
      </w:r>
      <w:r>
        <w:rPr>
          <w:rFonts w:ascii="Arial" w:eastAsia="Arial" w:hAnsi="Arial" w:cs="Arial"/>
          <w:spacing w:val="-6"/>
          <w:position w:val="30"/>
          <w:sz w:val="27"/>
          <w:szCs w:val="27"/>
        </w:rPr>
        <w:t>TG</w:t>
      </w:r>
      <w:r>
        <w:rPr>
          <w:rFonts w:ascii="SimSun" w:eastAsia="SimSun" w:hAnsi="SimSun" w:cs="SimSun"/>
          <w:spacing w:val="-6"/>
          <w:position w:val="30"/>
          <w:sz w:val="27"/>
          <w:szCs w:val="27"/>
        </w:rPr>
        <w:t>、</w:t>
      </w:r>
      <w:r>
        <w:rPr>
          <w:spacing w:val="-6"/>
          <w:position w:val="30"/>
          <w:sz w:val="27"/>
          <w:szCs w:val="27"/>
        </w:rPr>
        <w:t>极低</w:t>
      </w:r>
      <w:r>
        <w:rPr>
          <w:spacing w:val="-65"/>
          <w:position w:val="30"/>
          <w:sz w:val="27"/>
          <w:szCs w:val="27"/>
        </w:rPr>
        <w:t xml:space="preserve"> </w:t>
      </w:r>
      <w:r>
        <w:rPr>
          <w:rFonts w:ascii="Arial" w:eastAsia="Arial" w:hAnsi="Arial" w:cs="Arial"/>
          <w:spacing w:val="-6"/>
          <w:position w:val="30"/>
          <w:sz w:val="27"/>
          <w:szCs w:val="27"/>
        </w:rPr>
        <w:t>LDL-C</w:t>
      </w:r>
      <w:r>
        <w:rPr>
          <w:spacing w:val="-6"/>
          <w:position w:val="30"/>
          <w:sz w:val="27"/>
          <w:szCs w:val="27"/>
        </w:rPr>
        <w:t>患</w:t>
      </w:r>
      <w:r>
        <w:rPr>
          <w:spacing w:val="-7"/>
          <w:position w:val="30"/>
          <w:sz w:val="27"/>
          <w:szCs w:val="27"/>
        </w:rPr>
        <w:t>者</w:t>
      </w:r>
      <w:r>
        <w:rPr>
          <w:spacing w:val="-67"/>
          <w:position w:val="30"/>
          <w:sz w:val="27"/>
          <w:szCs w:val="27"/>
        </w:rPr>
        <w:t xml:space="preserve"> </w:t>
      </w:r>
      <w:r>
        <w:rPr>
          <w:rFonts w:ascii="Arial" w:eastAsia="Arial" w:hAnsi="Arial" w:cs="Arial"/>
          <w:spacing w:val="-7"/>
          <w:position w:val="30"/>
          <w:sz w:val="27"/>
          <w:szCs w:val="27"/>
        </w:rPr>
        <w:t xml:space="preserve">ASCVD </w:t>
      </w:r>
      <w:r>
        <w:rPr>
          <w:spacing w:val="-7"/>
          <w:position w:val="30"/>
          <w:sz w:val="27"/>
          <w:szCs w:val="27"/>
        </w:rPr>
        <w:t>风险</w:t>
      </w:r>
    </w:p>
    <w:p>
      <w:pPr>
        <w:pStyle w:val="BodyText"/>
        <w:spacing w:before="1" w:line="221" w:lineRule="auto"/>
        <w:rPr>
          <w:rFonts w:ascii="SimSun" w:eastAsia="SimSun" w:hAnsi="SimSun" w:cs="SimSun"/>
          <w:sz w:val="27"/>
          <w:szCs w:val="27"/>
        </w:rPr>
      </w:pPr>
      <w:r>
        <w:rPr>
          <w:spacing w:val="-7"/>
          <w:sz w:val="27"/>
          <w:szCs w:val="27"/>
        </w:rPr>
        <w:t>干预的次要靶点</w:t>
      </w:r>
      <w:r>
        <w:rPr>
          <w:rFonts w:ascii="SimSun" w:eastAsia="SimSun" w:hAnsi="SimSun" w:cs="SimSun"/>
          <w:spacing w:val="-7"/>
          <w:sz w:val="27"/>
          <w:szCs w:val="27"/>
        </w:rPr>
        <w:t>(aC)</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88" w:line="212" w:lineRule="auto"/>
        <w:rPr>
          <w:rFonts w:ascii="Arial" w:eastAsia="Arial" w:hAnsi="Arial" w:cs="Arial"/>
          <w:sz w:val="27"/>
          <w:szCs w:val="27"/>
        </w:rPr>
      </w:pPr>
      <w:r>
        <w:rPr>
          <w:spacing w:val="-9"/>
          <w:sz w:val="27"/>
          <w:szCs w:val="27"/>
        </w:rPr>
        <w:t>·高</w:t>
      </w:r>
      <w:r>
        <w:rPr>
          <w:rFonts w:ascii="Arial" w:eastAsia="Arial" w:hAnsi="Arial" w:cs="Arial"/>
          <w:spacing w:val="-9"/>
          <w:sz w:val="27"/>
          <w:szCs w:val="27"/>
        </w:rPr>
        <w:t>TG</w:t>
      </w:r>
      <w:r>
        <w:rPr>
          <w:spacing w:val="-9"/>
          <w:sz w:val="27"/>
          <w:szCs w:val="27"/>
        </w:rPr>
        <w:t>作为</w:t>
      </w:r>
      <w:r>
        <w:rPr>
          <w:spacing w:val="-37"/>
          <w:sz w:val="27"/>
          <w:szCs w:val="27"/>
        </w:rPr>
        <w:t xml:space="preserve"> </w:t>
      </w:r>
      <w:r>
        <w:rPr>
          <w:rFonts w:ascii="Arial" w:eastAsia="Arial" w:hAnsi="Arial" w:cs="Arial"/>
          <w:spacing w:val="-9"/>
          <w:sz w:val="27"/>
          <w:szCs w:val="27"/>
        </w:rPr>
        <w:t xml:space="preserve">LDL-C </w:t>
      </w:r>
      <w:r>
        <w:rPr>
          <w:spacing w:val="-9"/>
          <w:sz w:val="27"/>
          <w:szCs w:val="27"/>
        </w:rPr>
        <w:t>达标后</w:t>
      </w:r>
      <w:r>
        <w:rPr>
          <w:rFonts w:ascii="Arial" w:eastAsia="Arial" w:hAnsi="Arial" w:cs="Arial"/>
          <w:spacing w:val="-9"/>
          <w:sz w:val="27"/>
          <w:szCs w:val="27"/>
        </w:rPr>
        <w:t>ASCVD</w:t>
      </w:r>
      <w:r>
        <w:rPr>
          <w:rFonts w:ascii="Arial" w:eastAsia="Arial" w:hAnsi="Arial" w:cs="Arial"/>
          <w:spacing w:val="-18"/>
          <w:sz w:val="27"/>
          <w:szCs w:val="27"/>
        </w:rPr>
        <w:t xml:space="preserve"> </w:t>
      </w:r>
      <w:r>
        <w:rPr>
          <w:spacing w:val="-9"/>
          <w:sz w:val="27"/>
          <w:szCs w:val="27"/>
        </w:rPr>
        <w:t>高危患者管理指标</w:t>
      </w:r>
      <w:r>
        <w:rPr>
          <w:spacing w:val="-74"/>
          <w:sz w:val="27"/>
          <w:szCs w:val="27"/>
        </w:rPr>
        <w:t xml:space="preserve"> </w:t>
      </w:r>
      <w:r>
        <w:rPr>
          <w:rFonts w:ascii="Arial" w:eastAsia="Arial" w:hAnsi="Arial" w:cs="Arial"/>
          <w:spacing w:val="-10"/>
          <w:sz w:val="27"/>
          <w:szCs w:val="27"/>
        </w:rPr>
        <w:t>(aB)</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BodyText"/>
        <w:spacing w:before="89" w:line="212" w:lineRule="auto"/>
        <w:rPr>
          <w:sz w:val="27"/>
          <w:szCs w:val="27"/>
        </w:rPr>
      </w:pPr>
      <w:r>
        <w:rPr>
          <w:spacing w:val="-16"/>
          <w:sz w:val="27"/>
          <w:szCs w:val="27"/>
        </w:rPr>
        <w:t>·高</w:t>
      </w:r>
      <w:r>
        <w:rPr>
          <w:spacing w:val="-48"/>
          <w:sz w:val="27"/>
          <w:szCs w:val="27"/>
        </w:rPr>
        <w:t xml:space="preserve"> </w:t>
      </w:r>
      <w:r>
        <w:rPr>
          <w:rFonts w:ascii="Arial" w:eastAsia="Arial" w:hAnsi="Arial" w:cs="Arial"/>
          <w:spacing w:val="-16"/>
          <w:sz w:val="27"/>
          <w:szCs w:val="27"/>
        </w:rPr>
        <w:t>Lp(a)</w:t>
      </w:r>
      <w:r>
        <w:rPr>
          <w:spacing w:val="-16"/>
          <w:sz w:val="27"/>
          <w:szCs w:val="27"/>
        </w:rPr>
        <w:t>作为</w:t>
      </w:r>
      <w:r>
        <w:rPr>
          <w:spacing w:val="-77"/>
          <w:sz w:val="27"/>
          <w:szCs w:val="27"/>
        </w:rPr>
        <w:t xml:space="preserve"> </w:t>
      </w:r>
      <w:r>
        <w:rPr>
          <w:rFonts w:ascii="Arial" w:eastAsia="Arial" w:hAnsi="Arial" w:cs="Arial"/>
          <w:spacing w:val="-16"/>
          <w:sz w:val="27"/>
          <w:szCs w:val="27"/>
        </w:rPr>
        <w:t xml:space="preserve">ASCVD </w:t>
      </w:r>
      <w:r>
        <w:rPr>
          <w:spacing w:val="-16"/>
          <w:sz w:val="27"/>
          <w:szCs w:val="27"/>
        </w:rPr>
        <w:t>高危患者的管理指标</w:t>
      </w:r>
    </w:p>
    <w:p>
      <w:pPr>
        <w:spacing w:line="291" w:lineRule="auto"/>
        <w:rPr>
          <w:rFonts w:ascii="Arial"/>
          <w:sz w:val="21"/>
        </w:rPr>
      </w:pPr>
    </w:p>
    <w:p>
      <w:pPr>
        <w:spacing w:line="291" w:lineRule="auto"/>
        <w:rPr>
          <w:rFonts w:ascii="Arial"/>
          <w:sz w:val="21"/>
        </w:rPr>
        <w:sectPr>
          <w:pgSz w:w="11910" w:h="16840"/>
          <w:pgMar w:top="1431" w:right="1786" w:bottom="0" w:left="1779" w:header="0" w:footer="0" w:gutter="0"/>
          <w:pgNumType w:start="29"/>
          <w:cols w:space="708"/>
        </w:sectPr>
      </w:pPr>
    </w:p>
    <w:p>
      <w:pPr>
        <w:spacing w:line="292" w:lineRule="auto"/>
        <w:rPr>
          <w:rFonts w:ascii="Arial"/>
          <w:sz w:val="21"/>
        </w:rPr>
      </w:pPr>
    </w:p>
    <w:p>
      <w:pPr>
        <w:pStyle w:val="BodyText"/>
        <w:spacing w:before="88" w:line="222" w:lineRule="auto"/>
        <w:rPr>
          <w:rFonts w:ascii="SimSun" w:eastAsia="SimSun" w:hAnsi="SimSun" w:cs="SimSun"/>
          <w:sz w:val="27"/>
          <w:szCs w:val="27"/>
        </w:rPr>
      </w:pPr>
      <w:r>
        <w:rPr>
          <w:spacing w:val="-16"/>
          <w:sz w:val="27"/>
          <w:szCs w:val="27"/>
        </w:rPr>
        <w:t>·不推荐</w:t>
      </w:r>
      <w:r>
        <w:rPr>
          <w:spacing w:val="-20"/>
          <w:sz w:val="27"/>
          <w:szCs w:val="27"/>
        </w:rPr>
        <w:t xml:space="preserve"> </w:t>
      </w:r>
      <w:r>
        <w:rPr>
          <w:rFonts w:ascii="SimSun" w:eastAsia="SimSun" w:hAnsi="SimSun" w:cs="SimSun"/>
          <w:spacing w:val="-16"/>
          <w:sz w:val="27"/>
          <w:szCs w:val="27"/>
        </w:rPr>
        <w:t>HDL-C</w:t>
      </w:r>
      <w:r>
        <w:rPr>
          <w:rFonts w:ascii="SimSun" w:eastAsia="SimSun" w:hAnsi="SimSun" w:cs="SimSun"/>
          <w:spacing w:val="25"/>
          <w:sz w:val="27"/>
          <w:szCs w:val="27"/>
        </w:rPr>
        <w:t xml:space="preserve"> </w:t>
      </w:r>
      <w:r>
        <w:rPr>
          <w:spacing w:val="-16"/>
          <w:sz w:val="27"/>
          <w:szCs w:val="27"/>
        </w:rPr>
        <w:t>作为干预靶点</w:t>
      </w:r>
      <w:r>
        <w:rPr>
          <w:spacing w:val="33"/>
          <w:sz w:val="27"/>
          <w:szCs w:val="27"/>
        </w:rPr>
        <w:t xml:space="preserve"> </w:t>
      </w:r>
      <w:r>
        <w:rPr>
          <w:rFonts w:ascii="SimSun" w:eastAsia="SimSun" w:hAnsi="SimSun" w:cs="SimSun"/>
          <w:spacing w:val="-16"/>
          <w:sz w:val="27"/>
          <w:szCs w:val="27"/>
        </w:rPr>
        <w:t>(A)</w:t>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89" w:line="222" w:lineRule="auto"/>
        <w:rPr>
          <w:sz w:val="27"/>
          <w:szCs w:val="27"/>
        </w:rPr>
      </w:pPr>
      <w:r>
        <w:rPr>
          <w:spacing w:val="-11"/>
          <w:sz w:val="27"/>
          <w:szCs w:val="27"/>
        </w:rPr>
        <w:t>8.1.1</w:t>
      </w:r>
      <w:r>
        <w:rPr>
          <w:spacing w:val="100"/>
          <w:sz w:val="27"/>
          <w:szCs w:val="27"/>
        </w:rPr>
        <w:t xml:space="preserve"> </w:t>
      </w:r>
      <w:r>
        <w:rPr>
          <w:rFonts w:ascii="SimSun" w:eastAsia="SimSun" w:hAnsi="SimSun" w:cs="SimSun"/>
          <w:spacing w:val="-11"/>
          <w:sz w:val="27"/>
          <w:szCs w:val="27"/>
        </w:rPr>
        <w:t>LDL-C:</w:t>
      </w:r>
      <w:r>
        <w:rPr>
          <w:rFonts w:ascii="SimSun" w:eastAsia="SimSun" w:hAnsi="SimSun" w:cs="SimSun"/>
          <w:spacing w:val="63"/>
          <w:sz w:val="27"/>
          <w:szCs w:val="27"/>
        </w:rPr>
        <w:t xml:space="preserve"> </w:t>
      </w:r>
      <w:r>
        <w:rPr>
          <w:spacing w:val="-11"/>
          <w:sz w:val="27"/>
          <w:szCs w:val="27"/>
        </w:rPr>
        <w:t>首要降脂靶点</w:t>
      </w:r>
    </w:p>
    <w:p>
      <w:pPr>
        <w:pStyle w:val="BodyText"/>
        <w:spacing w:before="295" w:line="222" w:lineRule="auto"/>
        <w:rPr>
          <w:sz w:val="27"/>
          <w:szCs w:val="27"/>
        </w:rPr>
      </w:pPr>
      <w:r>
        <w:rPr>
          <w:spacing w:val="-9"/>
          <w:sz w:val="27"/>
          <w:szCs w:val="27"/>
        </w:rPr>
        <w:t>8.1.2</w:t>
      </w:r>
      <w:r>
        <w:rPr>
          <w:spacing w:val="112"/>
          <w:sz w:val="27"/>
          <w:szCs w:val="27"/>
        </w:rPr>
        <w:t xml:space="preserve"> </w:t>
      </w:r>
      <w:r>
        <w:rPr>
          <w:spacing w:val="-9"/>
          <w:sz w:val="27"/>
          <w:szCs w:val="27"/>
        </w:rPr>
        <w:t>非</w:t>
      </w:r>
      <w:r>
        <w:rPr>
          <w:spacing w:val="-9"/>
          <w:sz w:val="27"/>
          <w:szCs w:val="27"/>
        </w:rPr>
        <w:t xml:space="preserve"> </w:t>
      </w:r>
      <w:r>
        <w:rPr>
          <w:rFonts w:ascii="SimSun" w:eastAsia="SimSun" w:hAnsi="SimSun" w:cs="SimSun"/>
          <w:spacing w:val="-9"/>
          <w:sz w:val="27"/>
          <w:szCs w:val="27"/>
        </w:rPr>
        <w:t xml:space="preserve">HDL-C:  </w:t>
      </w:r>
      <w:r>
        <w:rPr>
          <w:spacing w:val="-9"/>
          <w:sz w:val="27"/>
          <w:szCs w:val="27"/>
        </w:rPr>
        <w:t>次要降脂靶点</w:t>
      </w:r>
    </w:p>
    <w:p>
      <w:pPr>
        <w:spacing w:line="222" w:lineRule="auto"/>
        <w:rPr>
          <w:sz w:val="27"/>
          <w:szCs w:val="27"/>
        </w:rPr>
        <w:sectPr>
          <w:type w:val="nextPage"/>
          <w:pgSz w:w="11910" w:h="16840"/>
          <w:pgMar w:top="1431" w:right="1786" w:bottom="0" w:left="1779" w:header="0" w:footer="0" w:gutter="0"/>
          <w:pgNumType w:start="30"/>
          <w:cols w:space="708"/>
          <w:titlePg w:val="0"/>
        </w:sectPr>
      </w:pPr>
    </w:p>
    <w:p>
      <w:pPr>
        <w:pStyle w:val="BodyText"/>
        <w:spacing w:before="197" w:line="222" w:lineRule="auto"/>
        <w:ind w:left="13"/>
      </w:pPr>
      <w:r>
        <w:rPr>
          <w:spacing w:val="-7"/>
        </w:rPr>
        <w:t>8.1.3</w:t>
      </w:r>
      <w:r>
        <w:rPr>
          <w:spacing w:val="105"/>
        </w:rPr>
        <w:t xml:space="preserve"> </w:t>
      </w:r>
      <w:r>
        <w:rPr>
          <w:spacing w:val="-7"/>
        </w:rPr>
        <w:t>其他干预及管理指标</w:t>
      </w:r>
    </w:p>
    <w:p>
      <w:pPr>
        <w:spacing w:line="300" w:lineRule="auto"/>
        <w:rPr>
          <w:rFonts w:ascii="Arial"/>
          <w:sz w:val="21"/>
        </w:rPr>
      </w:pPr>
    </w:p>
    <w:p>
      <w:pPr>
        <w:spacing w:line="300" w:lineRule="auto"/>
        <w:rPr>
          <w:rFonts w:ascii="Arial"/>
          <w:sz w:val="21"/>
        </w:rPr>
      </w:pPr>
    </w:p>
    <w:p>
      <w:pPr>
        <w:spacing w:line="301" w:lineRule="auto"/>
        <w:rPr>
          <w:rFonts w:ascii="Arial"/>
          <w:sz w:val="21"/>
        </w:rPr>
      </w:pPr>
    </w:p>
    <w:p>
      <w:pPr>
        <w:spacing w:before="75" w:line="198" w:lineRule="auto"/>
        <w:ind w:left="103"/>
        <w:rPr>
          <w:rFonts w:ascii="Arial" w:eastAsia="Arial" w:hAnsi="Arial" w:cs="Arial"/>
          <w:sz w:val="26"/>
          <w:szCs w:val="26"/>
        </w:rPr>
      </w:pPr>
      <w:r>
        <w:rPr>
          <w:rFonts w:ascii="Arial" w:eastAsia="Arial" w:hAnsi="Arial" w:cs="Arial"/>
          <w:spacing w:val="-3"/>
          <w:sz w:val="26"/>
          <w:szCs w:val="26"/>
        </w:rPr>
        <w:t>(1)ApoB:</w:t>
      </w: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84" w:line="632" w:lineRule="exact"/>
        <w:ind w:left="13"/>
      </w:pPr>
      <w:r>
        <w:rPr>
          <w:spacing w:val="-1"/>
          <w:position w:val="29"/>
        </w:rPr>
        <w:t>目前</w:t>
      </w:r>
      <w:r>
        <w:rPr>
          <w:spacing w:val="-67"/>
          <w:position w:val="29"/>
        </w:rPr>
        <w:t xml:space="preserve"> </w:t>
      </w:r>
      <w:r>
        <w:rPr>
          <w:rFonts w:ascii="Arial" w:eastAsia="Arial" w:hAnsi="Arial" w:cs="Arial"/>
          <w:spacing w:val="-1"/>
          <w:position w:val="29"/>
        </w:rPr>
        <w:t xml:space="preserve">ApoB </w:t>
      </w:r>
      <w:r>
        <w:rPr>
          <w:spacing w:val="-1"/>
          <w:position w:val="29"/>
        </w:rPr>
        <w:t>测量尚未推广，检测成本相对较高，且相关临床</w:t>
      </w:r>
      <w:r>
        <w:rPr>
          <w:spacing w:val="-2"/>
          <w:position w:val="29"/>
        </w:rPr>
        <w:t>干预研究的证</w:t>
      </w:r>
    </w:p>
    <w:p>
      <w:pPr>
        <w:pStyle w:val="BodyText"/>
        <w:spacing w:before="1" w:line="212" w:lineRule="auto"/>
        <w:ind w:left="13"/>
      </w:pPr>
      <w:r>
        <w:rPr>
          <w:spacing w:val="-1"/>
        </w:rPr>
        <w:t>据缺乏，主要作为糖尿病、代谢</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BodyText"/>
        <w:spacing w:before="84" w:line="221" w:lineRule="auto"/>
        <w:ind w:left="13"/>
      </w:pPr>
      <w:r>
        <w:rPr>
          <w:spacing w:val="-3"/>
        </w:rPr>
        <w:t>综合征、高</w:t>
      </w:r>
      <w:r>
        <w:rPr>
          <w:rFonts w:ascii="Times New Roman" w:eastAsia="Times New Roman" w:hAnsi="Times New Roman" w:cs="Times New Roman"/>
          <w:spacing w:val="-3"/>
        </w:rPr>
        <w:t>TG</w:t>
      </w:r>
      <w:r>
        <w:rPr>
          <w:rFonts w:ascii="Times New Roman" w:eastAsia="Times New Roman" w:hAnsi="Times New Roman" w:cs="Times New Roman"/>
          <w:spacing w:val="-25"/>
        </w:rPr>
        <w:t xml:space="preserve"> </w:t>
      </w:r>
      <w:r>
        <w:rPr>
          <w:rFonts w:ascii="SimSun" w:eastAsia="SimSun" w:hAnsi="SimSun" w:cs="SimSun"/>
          <w:spacing w:val="-3"/>
        </w:rPr>
        <w:t>、</w:t>
      </w:r>
      <w:r>
        <w:rPr>
          <w:spacing w:val="-3"/>
        </w:rPr>
        <w:t>极低</w:t>
      </w:r>
      <w:r>
        <w:rPr>
          <w:spacing w:val="-40"/>
        </w:rPr>
        <w:t xml:space="preserve"> </w:t>
      </w:r>
      <w:r>
        <w:rPr>
          <w:rFonts w:ascii="Times New Roman" w:eastAsia="Times New Roman" w:hAnsi="Times New Roman" w:cs="Times New Roman"/>
          <w:spacing w:val="-3"/>
        </w:rPr>
        <w:t>LDL-C</w:t>
      </w:r>
      <w:r>
        <w:rPr>
          <w:rFonts w:ascii="Times New Roman" w:eastAsia="Times New Roman" w:hAnsi="Times New Roman" w:cs="Times New Roman"/>
          <w:spacing w:val="17"/>
        </w:rPr>
        <w:t xml:space="preserve"> </w:t>
      </w:r>
      <w:r>
        <w:rPr>
          <w:spacing w:val="-3"/>
        </w:rPr>
        <w:t>患者</w:t>
      </w:r>
      <w:r>
        <w:rPr>
          <w:spacing w:val="-62"/>
        </w:rPr>
        <w:t xml:space="preserve"> </w:t>
      </w:r>
      <w:r>
        <w:rPr>
          <w:rFonts w:ascii="Times New Roman" w:eastAsia="Times New Roman" w:hAnsi="Times New Roman" w:cs="Times New Roman"/>
          <w:spacing w:val="-3"/>
        </w:rPr>
        <w:t>ASCVD</w:t>
      </w:r>
      <w:r>
        <w:rPr>
          <w:rFonts w:ascii="Times New Roman" w:eastAsia="Times New Roman" w:hAnsi="Times New Roman" w:cs="Times New Roman"/>
          <w:spacing w:val="-14"/>
        </w:rPr>
        <w:t xml:space="preserve"> </w:t>
      </w:r>
      <w:r>
        <w:rPr>
          <w:spacing w:val="-3"/>
        </w:rPr>
        <w:t>风险干预的次要靶点。</w:t>
      </w: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BodyText"/>
        <w:spacing w:before="85" w:line="213" w:lineRule="auto"/>
        <w:ind w:left="103"/>
      </w:pPr>
      <w:r>
        <w:rPr>
          <w:rFonts w:ascii="SimSun" w:eastAsia="SimSun" w:hAnsi="SimSun" w:cs="SimSun"/>
          <w:spacing w:val="-1"/>
        </w:rPr>
        <w:t xml:space="preserve">(2)TG:LDL-C    </w:t>
      </w:r>
      <w:r>
        <w:rPr>
          <w:spacing w:val="-1"/>
        </w:rPr>
        <w:t>达标后，</w:t>
      </w:r>
      <w:r>
        <w:rPr>
          <w:rFonts w:ascii="SimSun" w:eastAsia="SimSun" w:hAnsi="SimSun" w:cs="SimSun"/>
          <w:spacing w:val="-1"/>
        </w:rPr>
        <w:t xml:space="preserve">TG </w:t>
      </w:r>
      <w:r>
        <w:rPr>
          <w:spacing w:val="-1"/>
        </w:rPr>
        <w:t>仍高的患者，为进一步降低</w:t>
      </w:r>
      <w:r>
        <w:rPr>
          <w:rFonts w:ascii="SimSun" w:eastAsia="SimSun" w:hAnsi="SimSun" w:cs="SimSun"/>
          <w:spacing w:val="-1"/>
        </w:rPr>
        <w:t>ASCVD</w:t>
      </w:r>
      <w:r>
        <w:rPr>
          <w:rFonts w:ascii="SimSun" w:eastAsia="SimSun" w:hAnsi="SimSun" w:cs="SimSun"/>
          <w:spacing w:val="30"/>
        </w:rPr>
        <w:t xml:space="preserve">  </w:t>
      </w:r>
      <w:r>
        <w:rPr>
          <w:spacing w:val="-1"/>
        </w:rPr>
        <w:t>风险，</w:t>
      </w:r>
    </w:p>
    <w:p>
      <w:pPr>
        <w:pStyle w:val="BodyText"/>
        <w:spacing w:before="320" w:line="632" w:lineRule="exact"/>
        <w:ind w:left="13"/>
      </w:pPr>
      <w:r>
        <w:rPr>
          <w:spacing w:val="6"/>
          <w:position w:val="29"/>
        </w:rPr>
        <w:t>应同时降</w:t>
      </w:r>
      <w:r>
        <w:rPr>
          <w:spacing w:val="-38"/>
          <w:position w:val="29"/>
        </w:rPr>
        <w:t xml:space="preserve"> </w:t>
      </w:r>
      <w:r>
        <w:rPr>
          <w:rFonts w:ascii="Arial" w:eastAsia="Arial" w:hAnsi="Arial" w:cs="Arial"/>
          <w:position w:val="29"/>
        </w:rPr>
        <w:t>TG</w:t>
      </w:r>
      <w:r>
        <w:rPr>
          <w:spacing w:val="6"/>
          <w:position w:val="29"/>
        </w:rPr>
        <w:t>治疗。此外，严重高</w:t>
      </w:r>
      <w:r>
        <w:rPr>
          <w:rFonts w:ascii="Arial" w:eastAsia="Arial" w:hAnsi="Arial" w:cs="Arial"/>
          <w:position w:val="29"/>
        </w:rPr>
        <w:t>TG</w:t>
      </w:r>
      <w:r>
        <w:rPr>
          <w:rFonts w:ascii="Arial" w:eastAsia="Arial" w:hAnsi="Arial" w:cs="Arial"/>
          <w:spacing w:val="53"/>
          <w:w w:val="101"/>
          <w:position w:val="29"/>
        </w:rPr>
        <w:t xml:space="preserve"> </w:t>
      </w:r>
      <w:r>
        <w:rPr>
          <w:spacing w:val="6"/>
          <w:position w:val="29"/>
        </w:rPr>
        <w:t>的患者，降低</w:t>
      </w:r>
      <w:r>
        <w:rPr>
          <w:spacing w:val="-50"/>
          <w:position w:val="29"/>
        </w:rPr>
        <w:t xml:space="preserve"> </w:t>
      </w:r>
      <w:r>
        <w:rPr>
          <w:rFonts w:ascii="Arial" w:eastAsia="Arial" w:hAnsi="Arial" w:cs="Arial"/>
          <w:position w:val="29"/>
        </w:rPr>
        <w:t>TG</w:t>
      </w:r>
      <w:r>
        <w:rPr>
          <w:spacing w:val="6"/>
          <w:position w:val="29"/>
        </w:rPr>
        <w:t>可减少胰腺炎发</w:t>
      </w:r>
    </w:p>
    <w:p>
      <w:pPr>
        <w:pStyle w:val="BodyText"/>
        <w:spacing w:before="1" w:line="221" w:lineRule="auto"/>
        <w:ind w:left="13"/>
      </w:pPr>
      <w:r>
        <w:rPr>
          <w:spacing w:val="-8"/>
        </w:rPr>
        <w:t>生风险。</w:t>
      </w: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76" w:line="198" w:lineRule="auto"/>
        <w:ind w:left="103"/>
        <w:rPr>
          <w:rFonts w:ascii="Arial" w:eastAsia="Arial" w:hAnsi="Arial" w:cs="Arial"/>
          <w:sz w:val="26"/>
          <w:szCs w:val="26"/>
        </w:rPr>
      </w:pPr>
      <w:r>
        <w:rPr>
          <w:rFonts w:ascii="Arial" w:eastAsia="Arial" w:hAnsi="Arial" w:cs="Arial"/>
          <w:spacing w:val="-2"/>
          <w:sz w:val="26"/>
          <w:szCs w:val="26"/>
        </w:rPr>
        <w:t>(3)Lp(a):</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pStyle w:val="BodyText"/>
        <w:spacing w:before="84" w:line="648" w:lineRule="exact"/>
        <w:ind w:left="13"/>
      </w:pPr>
      <w:r>
        <w:rPr>
          <w:spacing w:val="-1"/>
          <w:position w:val="30"/>
        </w:rPr>
        <w:t>目前</w:t>
      </w:r>
      <w:r>
        <w:rPr>
          <w:spacing w:val="-37"/>
          <w:position w:val="30"/>
        </w:rPr>
        <w:t xml:space="preserve"> </w:t>
      </w:r>
      <w:r>
        <w:rPr>
          <w:rFonts w:ascii="Arial" w:eastAsia="Arial" w:hAnsi="Arial" w:cs="Arial"/>
          <w:spacing w:val="-1"/>
          <w:position w:val="30"/>
        </w:rPr>
        <w:t>Lp(a)</w:t>
      </w:r>
      <w:r>
        <w:rPr>
          <w:spacing w:val="-1"/>
          <w:position w:val="30"/>
        </w:rPr>
        <w:t>主要作为</w:t>
      </w:r>
      <w:r>
        <w:rPr>
          <w:rFonts w:ascii="Arial" w:eastAsia="Arial" w:hAnsi="Arial" w:cs="Arial"/>
          <w:spacing w:val="-1"/>
          <w:position w:val="30"/>
        </w:rPr>
        <w:t>ASCVD</w:t>
      </w:r>
      <w:r>
        <w:rPr>
          <w:rFonts w:ascii="Arial" w:eastAsia="Arial" w:hAnsi="Arial" w:cs="Arial"/>
          <w:spacing w:val="-17"/>
          <w:position w:val="30"/>
        </w:rPr>
        <w:t xml:space="preserve"> </w:t>
      </w:r>
      <w:r>
        <w:rPr>
          <w:spacing w:val="-1"/>
          <w:position w:val="30"/>
        </w:rPr>
        <w:t>风险增强因素，降低</w:t>
      </w:r>
      <w:r>
        <w:rPr>
          <w:spacing w:val="-69"/>
          <w:position w:val="30"/>
        </w:rPr>
        <w:t xml:space="preserve"> </w:t>
      </w:r>
      <w:r>
        <w:rPr>
          <w:rFonts w:ascii="Arial" w:eastAsia="Arial" w:hAnsi="Arial" w:cs="Arial"/>
          <w:spacing w:val="-1"/>
          <w:position w:val="30"/>
        </w:rPr>
        <w:t>Lp(a)</w:t>
      </w:r>
      <w:r>
        <w:rPr>
          <w:spacing w:val="-1"/>
          <w:position w:val="30"/>
        </w:rPr>
        <w:t>的心血管结局大型</w:t>
      </w:r>
    </w:p>
    <w:p>
      <w:pPr>
        <w:pStyle w:val="BodyText"/>
        <w:spacing w:line="221" w:lineRule="auto"/>
        <w:ind w:left="13"/>
      </w:pPr>
      <w:r>
        <w:rPr>
          <w:spacing w:val="-5"/>
        </w:rPr>
        <w:t>临床研究正在进行中。</w:t>
      </w:r>
    </w:p>
    <w:p>
      <w:pPr>
        <w:pStyle w:val="BodyText"/>
        <w:spacing w:before="306" w:line="213" w:lineRule="auto"/>
        <w:ind w:left="103"/>
      </w:pPr>
      <w:r>
        <w:rPr>
          <w:rFonts w:ascii="SimSun" w:eastAsia="SimSun" w:hAnsi="SimSun" w:cs="SimSun"/>
          <w:spacing w:val="-1"/>
        </w:rPr>
        <w:t xml:space="preserve">(4)HDL-C:    </w:t>
      </w:r>
      <w:r>
        <w:rPr>
          <w:spacing w:val="-1"/>
        </w:rPr>
        <w:t>低</w:t>
      </w:r>
      <w:r>
        <w:rPr>
          <w:spacing w:val="19"/>
        </w:rPr>
        <w:t xml:space="preserve"> </w:t>
      </w:r>
      <w:r>
        <w:rPr>
          <w:rFonts w:ascii="SimSun" w:eastAsia="SimSun" w:hAnsi="SimSun" w:cs="SimSun"/>
          <w:spacing w:val="-1"/>
        </w:rPr>
        <w:t xml:space="preserve">HDL-C  </w:t>
      </w:r>
      <w:r>
        <w:rPr>
          <w:spacing w:val="-1"/>
        </w:rPr>
        <w:t>是</w:t>
      </w:r>
      <w:r>
        <w:rPr>
          <w:spacing w:val="-24"/>
        </w:rPr>
        <w:t xml:space="preserve"> </w:t>
      </w:r>
      <w:r>
        <w:rPr>
          <w:rFonts w:ascii="SimSun" w:eastAsia="SimSun" w:hAnsi="SimSun" w:cs="SimSun"/>
          <w:spacing w:val="-1"/>
        </w:rPr>
        <w:t>ASCVD</w:t>
      </w:r>
      <w:r>
        <w:rPr>
          <w:rFonts w:ascii="SimSun" w:eastAsia="SimSun" w:hAnsi="SimSun" w:cs="SimSun"/>
          <w:spacing w:val="36"/>
        </w:rPr>
        <w:t xml:space="preserve">  </w:t>
      </w:r>
      <w:r>
        <w:rPr>
          <w:spacing w:val="-2"/>
        </w:rPr>
        <w:t>的独立危险因素，但通过药物治疗</w:t>
      </w:r>
    </w:p>
    <w:p>
      <w:pPr>
        <w:pStyle w:val="BodyText"/>
        <w:spacing w:before="320" w:line="213" w:lineRule="auto"/>
        <w:ind w:left="13"/>
        <w:sectPr>
          <w:pgSz w:w="11910" w:h="16840"/>
          <w:pgMar w:top="1431" w:right="1786" w:bottom="0" w:left="1786" w:header="0" w:footer="0" w:gutter="0"/>
          <w:pgNumType w:start="31"/>
          <w:cols w:space="708"/>
        </w:sectPr>
      </w:pPr>
      <w:r>
        <w:rPr>
          <w:spacing w:val="-1"/>
        </w:rPr>
        <w:t>升高</w:t>
      </w:r>
      <w:r>
        <w:rPr>
          <w:spacing w:val="-40"/>
        </w:rPr>
        <w:t xml:space="preserve"> </w:t>
      </w:r>
      <w:r>
        <w:rPr>
          <w:rFonts w:ascii="SimSun" w:eastAsia="SimSun" w:hAnsi="SimSun" w:cs="SimSun"/>
          <w:spacing w:val="-1"/>
        </w:rPr>
        <w:t>HDL-C</w:t>
      </w:r>
      <w:r>
        <w:rPr>
          <w:rFonts w:ascii="SimSun" w:eastAsia="SimSun" w:hAnsi="SimSun" w:cs="SimSun"/>
          <w:spacing w:val="74"/>
        </w:rPr>
        <w:t xml:space="preserve"> </w:t>
      </w:r>
      <w:r>
        <w:rPr>
          <w:spacing w:val="-1"/>
        </w:rPr>
        <w:t>并未能降低</w:t>
      </w:r>
      <w:r>
        <w:rPr>
          <w:spacing w:val="-70"/>
        </w:rPr>
        <w:t xml:space="preserve"> </w:t>
      </w:r>
      <w:r>
        <w:rPr>
          <w:rFonts w:ascii="SimSun" w:eastAsia="SimSun" w:hAnsi="SimSun" w:cs="SimSun"/>
          <w:spacing w:val="-1"/>
        </w:rPr>
        <w:t xml:space="preserve">ASCVD  </w:t>
      </w:r>
      <w:r>
        <w:rPr>
          <w:spacing w:val="-1"/>
        </w:rPr>
        <w:t>风险，因此目前认为</w:t>
      </w:r>
      <w:r>
        <w:rPr>
          <w:spacing w:val="-42"/>
        </w:rPr>
        <w:t xml:space="preserve"> </w:t>
      </w:r>
      <w:r>
        <w:rPr>
          <w:rFonts w:ascii="SimSun" w:eastAsia="SimSun" w:hAnsi="SimSun" w:cs="SimSun"/>
          <w:spacing w:val="-1"/>
        </w:rPr>
        <w:t>HDL-C</w:t>
      </w:r>
      <w:r>
        <w:rPr>
          <w:rFonts w:ascii="SimSun" w:eastAsia="SimSun" w:hAnsi="SimSun" w:cs="SimSun"/>
          <w:spacing w:val="84"/>
        </w:rPr>
        <w:t xml:space="preserve"> </w:t>
      </w:r>
      <w:r>
        <w:rPr>
          <w:spacing w:val="-1"/>
        </w:rPr>
        <w:t>不是血脂干</w:t>
      </w:r>
    </w:p>
    <w:p>
      <w:pPr>
        <w:spacing w:line="245" w:lineRule="auto"/>
        <w:rPr>
          <w:rFonts w:ascii="Arial"/>
          <w:sz w:val="21"/>
        </w:rPr>
      </w:pPr>
    </w:p>
    <w:p>
      <w:pPr>
        <w:pStyle w:val="BodyText"/>
        <w:spacing w:before="85" w:line="222" w:lineRule="auto"/>
        <w:ind w:left="13"/>
      </w:pPr>
      <w:r>
        <w:rPr>
          <w:spacing w:val="-9"/>
        </w:rPr>
        <w:t>预靶点。</w:t>
      </w: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BodyText"/>
        <w:spacing w:before="85" w:line="212" w:lineRule="auto"/>
        <w:ind w:left="13"/>
      </w:pPr>
      <w:r>
        <w:rPr>
          <w:spacing w:val="5"/>
        </w:rPr>
        <w:t>8.2</w:t>
      </w:r>
      <w:r>
        <w:rPr>
          <w:spacing w:val="70"/>
        </w:rPr>
        <w:t xml:space="preserve"> </w:t>
      </w:r>
      <w:r>
        <w:rPr>
          <w:spacing w:val="5"/>
        </w:rPr>
        <w:t>血脂干预靶点</w:t>
      </w:r>
      <w:r>
        <w:rPr>
          <w:spacing w:val="-74"/>
        </w:rPr>
        <w:t xml:space="preserve"> </w:t>
      </w:r>
      <w:r>
        <w:rPr>
          <w:rFonts w:ascii="Arial" w:eastAsia="Arial" w:hAnsi="Arial" w:cs="Arial"/>
          <w:spacing w:val="5"/>
        </w:rPr>
        <w:t>(</w:t>
      </w:r>
      <w:r>
        <w:rPr>
          <w:rFonts w:ascii="Arial" w:eastAsia="Arial" w:hAnsi="Arial" w:cs="Arial"/>
        </w:rPr>
        <w:t>LDL</w:t>
      </w:r>
      <w:r>
        <w:rPr>
          <w:rFonts w:ascii="Arial" w:eastAsia="Arial" w:hAnsi="Arial" w:cs="Arial"/>
          <w:spacing w:val="5"/>
        </w:rPr>
        <w:t xml:space="preserve">-C   </w:t>
      </w:r>
      <w:r>
        <w:rPr>
          <w:spacing w:val="5"/>
        </w:rPr>
        <w:t>推荐目标值)目标值</w:t>
      </w:r>
    </w:p>
    <w:p>
      <w:pPr>
        <w:spacing w:line="21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https://d.book118.com/268041141114006030</w:t>
        </w:r>
      </w:hyperlink>
    </w:p>
    <w:p>
      <w:pPr>
        <w:spacing w:line="212" w:lineRule="auto"/>
      </w:pPr>
    </w:p>
    <w:sectPr>
      <w:type w:val="nextPage"/>
      <w:pgSz w:w="11910" w:h="16840"/>
      <w:pgMar w:top="1431" w:right="1786" w:bottom="0" w:left="1786" w:header="0" w:footer="0" w:gutter="0"/>
      <w:pgNumType w:start="3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6804114111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2024-01-19T14:04:41Z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2024-01-19T14:04:43Z</vt:filetime>
  </property>
  <property fmtid="{D5CDD505-2E9C-101B-9397-08002B2CF9AE}" pid="3" name="CRO">
    <vt:lpwstr>wqlLaW5nc29mdCBQREYgdG8gV1BTIDkw</vt:lpwstr>
  </property>
  <property fmtid="{D5CDD505-2E9C-101B-9397-08002B2CF9AE}" pid="4" name="UsrData">
    <vt:lpwstr>65aa10f0b80a39001fece29fwl</vt:lpwstr>
  </property>
</Properties>
</file>