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2018-2023年上海民航职业技术学院高职单招（数学／语文／英语）历年常考试题库含答案解析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下列作家同属于“文学研究会”的是（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A.鲁迅、沈雁冰、冰心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B.郭沫若、沈雁冰、朱自清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C.鲁迅、郁达夫、冰心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D.沈雁冰、朱自清、冰心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下列诗人中，诗风苍凉悲壮的是（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A.曹操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B.陶渊明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D.王维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苏轼、辛弃疾同为（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A.婉约派词人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B.豪放派词人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C.风雅派词人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D.北宋词人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柳永的词集是（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A.《乐章集》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B.《漱玉词》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C.《淮海词》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D.《珠玉集》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《秋水》中北海若对“自多”的态度是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A.反对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B.赞成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C.无所谓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D.顺其自然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下列画横线的句子，翻译错误的是（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drawing>
          <wp:inline distT="0" distB="0" distL="0" distR="0">
            <wp:extent cx="3486516" cy="2248136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86516" cy="2248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小说《风波》的线索是（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A.九斤老太的八十大寿事件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B.辫子事件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C.张勋复辟事件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D.六斤裹脚事件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ja-JP" w:bidi="ar-SA"/>
        </w:rPr>
        <w:t>8.</w:t>
      </w:r>
      <w:r>
        <w:rPr>
          <w:rFonts w:ascii="黑体" w:eastAsia="黑体" w:hAnsi="黑体" w:cs="Times New Roman"/>
          <w:sz w:val="24"/>
          <w:lang w:val="en-US" w:eastAsia="ja-JP" w:bidi="ar-SA"/>
        </w:rPr>
        <w:t>主张文章应该“有补于世”、“以适用为本”的作家是（  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A.柳宗元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B.韩愈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C.王安石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D.欧阳修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7"/>
        <w:spacing w:after="200" w:line="276" w:lineRule="auto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下面哪部作品的出版成为中国现代小说的开端（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A.《家》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B.《呐喊》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C.《春蚕》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D.《骆驼祥子》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“文章合为时而著，歌诗合为事而作”的口号是谁提出的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C.白居易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下列选项中，不属于辛弃疾《水龙吟·登建康赏心亭》表现手法的一项是（）。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B.用典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D.叠字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郁达夫所创作的散文名篇有（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A.《故都的秋》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B.《荷塘夜色》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C.《白杨礼赞》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https://d.book118.com/268042074132006040</w:t>
        </w:r>
      </w:hyperlink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image" Target="media/image1.png" /><Relationship Id="rId8" Type="http://schemas.openxmlformats.org/officeDocument/2006/relationships/footer" Target="footer3.xml" /><Relationship Id="rId9" Type="http://schemas.openxmlformats.org/officeDocument/2006/relationships/hyperlink" Target="https://d.book118.com/268042074132006040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