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2018-2023年苏州工业园区服务外包职业学院高职单招（数学／语文／英语）历年常考试题库含答案解析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《蜀相》是一首（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ja-JP" w:bidi="ar-SA"/>
        </w:rPr>
        <w:t>2.</w:t>
      </w:r>
      <w:r>
        <w:rPr>
          <w:rFonts w:ascii="黑体" w:eastAsia="黑体" w:hAnsi="黑体" w:cs="Times New Roman"/>
          <w:sz w:val="24"/>
          <w:lang w:val="en-US" w:eastAsia="ja-JP" w:bidi="ar-SA"/>
        </w:rPr>
        <w:t>《报刘一丈书》中“权者”暗指（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A.顾秉谦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B.刘一丈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C.宗臣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D.严嵩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作者用“是以泰山不让土壤，故能成其大”论证“不却众庶，故能明其德”，这里运用的论证方法是（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主张文章应该“有补于世”、“以适用为本”的作家是（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A.柳宗元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下列属于北宋豪放词人的是（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下列诗集中，属于郭沫若的是（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在《灯下漫笔》一文中，鲁迅认为青年的使命是（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A.崇奉国粹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B.赞颂固有精神文明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C.热心复古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D.创造第三样时代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屠格涅夫的成名作是（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A.《罗亭》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B.《猎人笔记》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C.《木木》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D.《阿霞》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“文章合为时而著，歌诗合为事而作”的口号是谁提出的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ja-JP" w:bidi="ar-SA"/>
        </w:rPr>
        <w:t>10.</w:t>
      </w:r>
      <w:r>
        <w:rPr>
          <w:rFonts w:ascii="黑体" w:eastAsia="黑体" w:hAnsi="黑体" w:cs="Times New Roman"/>
          <w:sz w:val="24"/>
          <w:lang w:val="en-US" w:eastAsia="ja-JP" w:bidi="ar-SA"/>
        </w:rPr>
        <w:t>《氓》选自《诗经·国风》中的（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A.王风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B.秦风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C.卫风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9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D.郑风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9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下列句中加点的词属意动用法的是（　　）.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562494" cy="140984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2494" cy="140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“不义不暱，厚将崩”出自（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《苦恼》《猎人笔记》《麦琪的礼物》的作者依次是（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A.屠格涅夫、欧·亨利、契诃夫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B.契诃夫、屠格涅夫、欧·亨利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C.欧·亨利、契诃夫、屠格涅夫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D.契诃夫、欧·亨利、屠格涅夫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https://d.book118.com/268053035132006040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268053035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