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2018-2023年天津广播影视职业学院高职单招（数学／语文／英语）历年常考试题库含答案解析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《天净沙·秋思》的中心画面是（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在下列词作中富有主见的是（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A.李煜《虞美人（春花秋月何时了）》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B.柳永《八声甘州（对潇潇暮雨洒江天）》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C.苏轼《水调歌头（明月几时有）》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D.李清照《声声慢（寻寻觅觅）》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王昌龄《从军行》（其四）的体裁是（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D.杂言诗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《苦恼》中，人与马的对比体现在（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A.人像“幽灵”，马像“蜜糖饼”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B.姚纳挨“脖儿拐”，马挨鞭子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C.姚纳死了儿子，马死了崽儿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D.没有人听姚纳诉说，马却听其诉说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《诗经》中保存民歌最多的是（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A.国风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下列诗句中，表现方法与“脱帽著峭头”相同的是（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B.缃绮为下裙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C.冉冉府中趋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“五十步笑百步”这一典故出自（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A.梁实秋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C.钱锺书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侯方域是明末清初著名的（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A.诗文作家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B.政治家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C.思想家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D.教育家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“赋”作为一种文体，成熟于（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C.唐代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D.宋代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李斯的代表作是（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《灯下漫笔》一文向青年所阐明的最重要的道理是（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A.如何读书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B.改造国民性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C.如何绘画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D.创建新时代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“茕茕孑立，形影相吊”一语出自（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A.李斯《谏逐客书》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B.李密《陈情表》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https://d.book118.com/268057055132006040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68057055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