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64"/>
        <w:ind w:left="170"/>
        <w:rPr>
          <w:rFonts w:ascii="黑体"/>
        </w:rPr>
      </w:pPr>
      <w:r>
        <w:drawing>
          <wp:anchor distT="0" distB="0" distL="0" distR="0" simplePos="0" relativeHeight="251661312"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rFonts w:ascii="Times New Roman"/>
          <w:position w:val="2"/>
        </w:rPr>
        <w:t xml:space="preserve">ICS </w:t>
      </w:r>
      <w:r>
        <w:rPr>
          <w:rFonts w:ascii="黑体"/>
        </w:rPr>
        <w:t>03.120.20</w:t>
      </w:r>
    </w:p>
    <w:p>
      <w:pPr>
        <w:pStyle w:val="BodyText"/>
        <w:spacing w:before="37"/>
        <w:ind w:left="170"/>
        <w:rPr>
          <w:rFonts w:ascii="黑体"/>
        </w:rPr>
      </w:pPr>
      <w:r>
        <w:drawing>
          <wp:anchor distT="0" distB="0" distL="0" distR="0" simplePos="0" relativeHeight="251658240" behindDoc="0" locked="0" layoutInCell="1" allowOverlap="1">
            <wp:simplePos x="0" y="0"/>
            <wp:positionH relativeFrom="page">
              <wp:posOffset>4783835</wp:posOffset>
            </wp:positionH>
            <wp:positionV relativeFrom="paragraph">
              <wp:posOffset>219490</wp:posOffset>
            </wp:positionV>
            <wp:extent cx="804304" cy="401383"/>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804304" cy="401383"/>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62.4pt;height:53.2pt;margin-top:6pt;margin-left:446.4pt;mso-position-horizontal-relative:page;position:absolute;z-index:251659264" filled="f" stroked="f">
            <v:textbox inset="0,0,0,0">
              <w:txbxContent>
                <w:p>
                  <w:pPr>
                    <w:spacing w:before="0" w:line="1063" w:lineRule="exact"/>
                    <w:ind w:left="0" w:right="0" w:firstLine="0"/>
                    <w:jc w:val="left"/>
                    <w:rPr>
                      <w:rFonts w:ascii="Times New Roman"/>
                      <w:b/>
                      <w:i/>
                      <w:sz w:val="96"/>
                    </w:rPr>
                  </w:pPr>
                  <w:r>
                    <w:rPr>
                      <w:rFonts w:ascii="Times New Roman"/>
                      <w:b/>
                      <w:i/>
                      <w:w w:val="130"/>
                      <w:sz w:val="96"/>
                    </w:rPr>
                    <w:t>23</w:t>
                  </w:r>
                </w:p>
              </w:txbxContent>
            </v:textbox>
          </v:shape>
        </w:pict>
      </w:r>
      <w:r>
        <w:rPr>
          <w:rFonts w:ascii="Times New Roman"/>
          <w:position w:val="2"/>
        </w:rPr>
        <w:t xml:space="preserve">CCS </w:t>
      </w:r>
      <w:r>
        <w:rPr>
          <w:rFonts w:ascii="黑体"/>
        </w:rPr>
        <w:t>A 00</w:t>
      </w:r>
    </w:p>
    <w:p>
      <w:pPr>
        <w:pStyle w:val="BodyText"/>
        <w:rPr>
          <w:rFonts w:ascii="黑体"/>
          <w:sz w:val="20"/>
        </w:rPr>
      </w:pPr>
    </w:p>
    <w:p>
      <w:pPr>
        <w:tabs>
          <w:tab w:val="left" w:pos="1307"/>
          <w:tab w:val="left" w:pos="2615"/>
          <w:tab w:val="left" w:pos="3926"/>
          <w:tab w:val="left" w:pos="5231"/>
          <w:tab w:val="left" w:pos="6539"/>
          <w:tab w:val="left" w:pos="7847"/>
          <w:tab w:val="left" w:pos="9158"/>
        </w:tabs>
        <w:spacing w:before="171"/>
        <w:ind w:left="0" w:right="139" w:firstLine="0"/>
        <w:jc w:val="center"/>
        <w:rPr>
          <w:rFonts w:ascii="黑体" w:eastAsia="黑体" w:hint="eastAsia"/>
          <w:sz w:val="48"/>
        </w:rPr>
      </w:pPr>
      <w:r>
        <w:rPr>
          <w:rFonts w:ascii="黑体" w:eastAsia="黑体" w:hint="eastAsia"/>
          <w:sz w:val="48"/>
        </w:rPr>
        <w:t>黑</w:t>
        <w:tab/>
        <w:t>龙</w:t>
        <w:tab/>
        <w:t>江</w:t>
        <w:tab/>
        <w:t>省</w:t>
        <w:tab/>
        <w:t>地</w:t>
        <w:tab/>
        <w:t>方</w:t>
        <w:tab/>
        <w:t>标</w:t>
        <w:tab/>
        <w:t>准</w:t>
      </w:r>
    </w:p>
    <w:p>
      <w:pPr>
        <w:spacing w:before="341"/>
        <w:ind w:left="0" w:right="411" w:firstLine="0"/>
        <w:jc w:val="right"/>
        <w:rPr>
          <w:rFonts w:ascii="黑体" w:hAnsi="黑体"/>
          <w:sz w:val="28"/>
        </w:rPr>
      </w:pPr>
      <w:r>
        <w:rPr>
          <w:rFonts w:ascii="黑体" w:hAnsi="黑体"/>
          <w:sz w:val="28"/>
        </w:rPr>
        <w:t>DB 23/T</w:t>
      </w:r>
      <w:r>
        <w:rPr>
          <w:rFonts w:ascii="黑体" w:hAnsi="黑体"/>
          <w:spacing w:val="-71"/>
          <w:sz w:val="28"/>
        </w:rPr>
        <w:t xml:space="preserve"> </w:t>
      </w:r>
      <w:r>
        <w:rPr>
          <w:rFonts w:ascii="黑体" w:hAnsi="黑体"/>
          <w:sz w:val="28"/>
        </w:rPr>
        <w:t>3662—2023</w:t>
      </w:r>
    </w:p>
    <w:p>
      <w:pPr>
        <w:pStyle w:val="BodyText"/>
        <w:rPr>
          <w:rFonts w:ascii="黑体"/>
          <w:sz w:val="20"/>
        </w:rPr>
      </w:pPr>
    </w:p>
    <w:p>
      <w:pPr>
        <w:pStyle w:val="BodyText"/>
        <w:spacing w:before="5"/>
        <w:rPr>
          <w:rFonts w:ascii="黑体"/>
          <w:sz w:val="28"/>
        </w:rPr>
      </w:pPr>
      <w:r>
        <w:pict>
          <v:rect id="_x0000_s1026" style="width:481.9pt;height:0.75pt;margin-top:20.15pt;margin-left:70.9pt;mso-position-horizontal-relative:page;mso-wrap-distance-left:0;mso-wrap-distance-right:0;position:absolute;z-index:-251654144" filled="t" fillcolor="black" stroked="f">
            <v:fill type="solid"/>
            <w10:wrap type="topAndBottom"/>
          </v:rect>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3"/>
        <w:rPr>
          <w:rFonts w:ascii="黑体"/>
          <w:sz w:val="28"/>
        </w:rPr>
      </w:pPr>
    </w:p>
    <w:p>
      <w:pPr>
        <w:spacing w:before="1"/>
        <w:ind w:left="89" w:right="0" w:firstLine="0"/>
        <w:jc w:val="center"/>
        <w:rPr>
          <w:rFonts w:ascii="黑体" w:eastAsia="黑体" w:hint="eastAsia"/>
          <w:sz w:val="52"/>
        </w:rPr>
      </w:pPr>
      <w:r>
        <w:rPr>
          <w:rFonts w:ascii="黑体" w:eastAsia="黑体" w:hint="eastAsia"/>
          <w:sz w:val="52"/>
        </w:rPr>
        <w:t>绿色餐厅评价规范</w:t>
      </w: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tabs>
          <w:tab w:val="left" w:pos="7474"/>
        </w:tabs>
        <w:spacing w:before="404"/>
        <w:ind w:left="115" w:right="0" w:firstLine="0"/>
        <w:jc w:val="center"/>
        <w:rPr>
          <w:rFonts w:ascii="黑体" w:eastAsia="黑体" w:hint="eastAsia"/>
          <w:sz w:val="28"/>
        </w:rPr>
      </w:pPr>
      <w:r>
        <w:pict>
          <v:rect id="_x0000_s1027" style="width:481.9pt;height:0.75pt;margin-top:39.5pt;margin-left:70.85pt;mso-position-horizontal-relative:page;position:absolute;z-index:251660288" filled="t" fillcolor="black" stroked="f">
            <v:fill type="solid"/>
          </v:rect>
        </w:pict>
      </w:r>
      <w:r>
        <w:rPr>
          <w:rFonts w:ascii="黑体" w:eastAsia="黑体" w:hint="eastAsia"/>
          <w:sz w:val="28"/>
        </w:rPr>
        <w:t>2023</w:t>
      </w:r>
      <w:r>
        <w:rPr>
          <w:rFonts w:ascii="黑体" w:eastAsia="黑体" w:hint="eastAsia"/>
          <w:spacing w:val="-70"/>
          <w:sz w:val="28"/>
        </w:rPr>
        <w:t xml:space="preserve"> </w:t>
      </w:r>
      <w:r>
        <w:rPr>
          <w:rFonts w:ascii="黑体" w:eastAsia="黑体" w:hint="eastAsia"/>
          <w:sz w:val="28"/>
        </w:rPr>
        <w:t>-</w:t>
      </w:r>
      <w:r>
        <w:rPr>
          <w:rFonts w:ascii="黑体" w:eastAsia="黑体" w:hint="eastAsia"/>
          <w:spacing w:val="-72"/>
          <w:sz w:val="28"/>
        </w:rPr>
        <w:t xml:space="preserve"> </w:t>
      </w:r>
      <w:r>
        <w:rPr>
          <w:rFonts w:ascii="黑体" w:eastAsia="黑体" w:hint="eastAsia"/>
          <w:sz w:val="28"/>
        </w:rPr>
        <w:t>12</w:t>
      </w:r>
      <w:r>
        <w:rPr>
          <w:rFonts w:ascii="黑体" w:eastAsia="黑体" w:hint="eastAsia"/>
          <w:spacing w:val="-72"/>
          <w:sz w:val="28"/>
        </w:rPr>
        <w:t xml:space="preserve"> </w:t>
      </w:r>
      <w:r>
        <w:rPr>
          <w:rFonts w:ascii="黑体" w:eastAsia="黑体" w:hint="eastAsia"/>
          <w:sz w:val="28"/>
        </w:rPr>
        <w:t>-</w:t>
      </w:r>
      <w:r>
        <w:rPr>
          <w:rFonts w:ascii="黑体" w:eastAsia="黑体" w:hint="eastAsia"/>
          <w:spacing w:val="-69"/>
          <w:sz w:val="28"/>
        </w:rPr>
        <w:t xml:space="preserve"> </w:t>
      </w:r>
      <w:r>
        <w:rPr>
          <w:rFonts w:ascii="黑体" w:eastAsia="黑体" w:hint="eastAsia"/>
          <w:sz w:val="28"/>
        </w:rPr>
        <w:t>29</w:t>
      </w:r>
      <w:r>
        <w:rPr>
          <w:rFonts w:ascii="黑体" w:eastAsia="黑体" w:hint="eastAsia"/>
          <w:spacing w:val="-70"/>
          <w:sz w:val="28"/>
        </w:rPr>
        <w:t xml:space="preserve"> </w:t>
      </w:r>
      <w:r>
        <w:rPr>
          <w:rFonts w:ascii="黑体" w:eastAsia="黑体" w:hint="eastAsia"/>
          <w:sz w:val="28"/>
        </w:rPr>
        <w:t>发布</w:t>
        <w:tab/>
        <w:t>2024</w:t>
      </w:r>
      <w:r>
        <w:rPr>
          <w:rFonts w:ascii="黑体" w:eastAsia="黑体" w:hint="eastAsia"/>
          <w:spacing w:val="-72"/>
          <w:sz w:val="28"/>
        </w:rPr>
        <w:t xml:space="preserve"> </w:t>
      </w:r>
      <w:r>
        <w:rPr>
          <w:rFonts w:ascii="黑体" w:eastAsia="黑体" w:hint="eastAsia"/>
          <w:sz w:val="28"/>
        </w:rPr>
        <w:t>-</w:t>
      </w:r>
      <w:r>
        <w:rPr>
          <w:rFonts w:ascii="黑体" w:eastAsia="黑体" w:hint="eastAsia"/>
          <w:spacing w:val="-70"/>
          <w:sz w:val="28"/>
        </w:rPr>
        <w:t xml:space="preserve"> </w:t>
      </w:r>
      <w:r>
        <w:rPr>
          <w:rFonts w:ascii="黑体" w:eastAsia="黑体" w:hint="eastAsia"/>
          <w:sz w:val="28"/>
        </w:rPr>
        <w:t>01</w:t>
      </w:r>
      <w:r>
        <w:rPr>
          <w:rFonts w:ascii="黑体" w:eastAsia="黑体" w:hint="eastAsia"/>
          <w:spacing w:val="-71"/>
          <w:sz w:val="28"/>
        </w:rPr>
        <w:t xml:space="preserve"> </w:t>
      </w:r>
      <w:r>
        <w:rPr>
          <w:rFonts w:ascii="黑体" w:eastAsia="黑体" w:hint="eastAsia"/>
          <w:sz w:val="28"/>
        </w:rPr>
        <w:t>-</w:t>
      </w:r>
      <w:r>
        <w:rPr>
          <w:rFonts w:ascii="黑体" w:eastAsia="黑体" w:hint="eastAsia"/>
          <w:spacing w:val="-72"/>
          <w:sz w:val="28"/>
        </w:rPr>
        <w:t xml:space="preserve"> </w:t>
      </w:r>
      <w:r>
        <w:rPr>
          <w:rFonts w:ascii="黑体" w:eastAsia="黑体" w:hint="eastAsia"/>
          <w:sz w:val="28"/>
        </w:rPr>
        <w:t>28</w:t>
      </w:r>
      <w:r>
        <w:rPr>
          <w:rFonts w:ascii="黑体" w:eastAsia="黑体" w:hint="eastAsia"/>
          <w:spacing w:val="-70"/>
          <w:sz w:val="28"/>
        </w:rPr>
        <w:t xml:space="preserve"> </w:t>
      </w:r>
      <w:r>
        <w:rPr>
          <w:rFonts w:ascii="黑体" w:eastAsia="黑体" w:hint="eastAsia"/>
          <w:sz w:val="28"/>
        </w:rPr>
        <w:t>实施</w:t>
      </w:r>
    </w:p>
    <w:p>
      <w:pPr>
        <w:pStyle w:val="BodyText"/>
        <w:rPr>
          <w:rFonts w:ascii="黑体"/>
          <w:sz w:val="28"/>
        </w:rPr>
      </w:pPr>
    </w:p>
    <w:p>
      <w:pPr>
        <w:pStyle w:val="BodyText"/>
        <w:spacing w:before="9"/>
        <w:rPr>
          <w:rFonts w:ascii="黑体"/>
          <w:sz w:val="36"/>
        </w:rPr>
      </w:pPr>
    </w:p>
    <w:p>
      <w:pPr>
        <w:spacing w:before="0"/>
        <w:ind w:left="0" w:right="194" w:firstLine="0"/>
        <w:jc w:val="center"/>
        <w:rPr>
          <w:rFonts w:ascii="黑体" w:eastAsia="黑体" w:hAnsi="黑体" w:hint="eastAsia"/>
          <w:sz w:val="28"/>
        </w:rPr>
      </w:pPr>
      <w:r>
        <w:rPr>
          <w:rFonts w:ascii="黑体" w:eastAsia="黑体" w:hAnsi="黑体" w:hint="eastAsia"/>
          <w:sz w:val="28"/>
        </w:rPr>
        <w:t>黑龙江省市场监督管理局</w:t>
      </w:r>
      <w:r>
        <w:rPr>
          <w:rFonts w:ascii="Times New Roman" w:eastAsia="Times New Roman" w:hAnsi="Times New Roman"/>
          <w:sz w:val="28"/>
        </w:rPr>
        <w:t>  </w:t>
      </w:r>
      <w:r>
        <w:rPr>
          <w:rFonts w:ascii="黑体" w:eastAsia="黑体" w:hAnsi="黑体" w:hint="eastAsia"/>
          <w:sz w:val="28"/>
        </w:rPr>
        <w:t>发 布</w:t>
      </w:r>
    </w:p>
    <w:p>
      <w:pPr>
        <w:spacing w:after="0"/>
        <w:jc w:val="center"/>
        <w:rPr>
          <w:rFonts w:ascii="黑体" w:eastAsia="黑体" w:hAnsi="黑体" w:hint="eastAsia"/>
          <w:sz w:val="28"/>
        </w:rPr>
        <w:sectPr>
          <w:type w:val="continuous"/>
          <w:pgSz w:w="11910" w:h="16840"/>
          <w:pgMar w:top="480" w:right="720" w:bottom="280" w:left="1200" w:header="708" w:footer="708"/>
          <w:cols w:space="708"/>
        </w:sectPr>
      </w:pPr>
    </w:p>
    <w:p>
      <w:pPr>
        <w:pStyle w:val="BodyText"/>
        <w:rPr>
          <w:rFonts w:ascii="黑体"/>
          <w:sz w:val="20"/>
        </w:rPr>
      </w:pPr>
      <w:r>
        <w:drawing>
          <wp:anchor distT="0" distB="0" distL="0" distR="0" simplePos="0" relativeHeight="251663360"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p>
    <w:p>
      <w:pPr>
        <w:pStyle w:val="BodyText"/>
        <w:rPr>
          <w:rFonts w:ascii="黑体"/>
          <w:sz w:val="20"/>
        </w:rPr>
      </w:pPr>
    </w:p>
    <w:p>
      <w:pPr>
        <w:pStyle w:val="BodyText"/>
        <w:spacing w:before="9"/>
        <w:rPr>
          <w:rFonts w:ascii="黑体"/>
          <w:sz w:val="22"/>
        </w:rPr>
      </w:pPr>
    </w:p>
    <w:p>
      <w:pPr>
        <w:pStyle w:val="Heading1"/>
        <w:tabs>
          <w:tab w:val="left" w:pos="959"/>
        </w:tabs>
        <w:ind w:right="194"/>
      </w:pPr>
      <w:r>
        <w:t>目</w:t>
        <w:tab/>
        <w:t>次</w:t>
      </w:r>
    </w:p>
    <w:p>
      <w:pPr>
        <w:pStyle w:val="BodyText"/>
        <w:tabs>
          <w:tab w:val="right" w:leader="dot" w:pos="9562"/>
        </w:tabs>
        <w:spacing w:before="684"/>
        <w:ind w:left="218"/>
      </w:pPr>
      <w:r>
        <w:t>前言</w:t>
      </w:r>
      <w:r>
        <w:rPr>
          <w:rFonts w:ascii="Times New Roman" w:eastAsia="Times New Roman"/>
        </w:rPr>
        <w:tab/>
      </w:r>
      <w:r>
        <w:t>II</w:t>
      </w:r>
    </w:p>
    <w:p>
      <w:pPr>
        <w:pStyle w:val="ListParagraph"/>
        <w:numPr>
          <w:ilvl w:val="0"/>
          <w:numId w:val="6"/>
        </w:numPr>
        <w:tabs>
          <w:tab w:val="left" w:pos="533"/>
          <w:tab w:val="right" w:leader="dot" w:pos="9560"/>
        </w:tabs>
        <w:spacing w:before="132" w:after="0" w:line="240" w:lineRule="auto"/>
        <w:ind w:left="532" w:right="0" w:hanging="315"/>
        <w:jc w:val="left"/>
        <w:rPr>
          <w:sz w:val="21"/>
        </w:rPr>
      </w:pPr>
      <w:r>
        <w:rPr>
          <w:sz w:val="21"/>
        </w:rPr>
        <w:t>范围</w:t>
      </w:r>
      <w:r>
        <w:rPr>
          <w:rFonts w:ascii="Times New Roman" w:eastAsia="Times New Roman"/>
          <w:sz w:val="21"/>
        </w:rPr>
        <w:tab/>
      </w:r>
      <w:r>
        <w:rPr>
          <w:sz w:val="21"/>
        </w:rPr>
        <w:t>1</w:t>
      </w:r>
    </w:p>
    <w:p>
      <w:pPr>
        <w:pStyle w:val="ListParagraph"/>
        <w:numPr>
          <w:ilvl w:val="0"/>
          <w:numId w:val="6"/>
        </w:numPr>
        <w:tabs>
          <w:tab w:val="left" w:pos="533"/>
          <w:tab w:val="right" w:leader="dot" w:pos="9560"/>
        </w:tabs>
        <w:spacing w:before="132" w:after="0" w:line="240" w:lineRule="auto"/>
        <w:ind w:left="532" w:right="0" w:hanging="315"/>
        <w:jc w:val="left"/>
        <w:rPr>
          <w:sz w:val="21"/>
        </w:rPr>
      </w:pPr>
      <w:r>
        <w:rPr>
          <w:sz w:val="21"/>
        </w:rPr>
        <w:t>规范性引用文件</w:t>
      </w:r>
      <w:r>
        <w:rPr>
          <w:rFonts w:ascii="Times New Roman" w:eastAsia="Times New Roman"/>
          <w:sz w:val="21"/>
        </w:rPr>
        <w:tab/>
      </w:r>
      <w:r>
        <w:rPr>
          <w:sz w:val="21"/>
        </w:rPr>
        <w:t>1</w:t>
      </w:r>
    </w:p>
    <w:p>
      <w:pPr>
        <w:pStyle w:val="ListParagraph"/>
        <w:numPr>
          <w:ilvl w:val="0"/>
          <w:numId w:val="6"/>
        </w:numPr>
        <w:tabs>
          <w:tab w:val="left" w:pos="533"/>
          <w:tab w:val="right" w:leader="dot" w:pos="9560"/>
        </w:tabs>
        <w:spacing w:before="129" w:after="0" w:line="240" w:lineRule="auto"/>
        <w:ind w:left="532" w:right="0" w:hanging="315"/>
        <w:jc w:val="left"/>
        <w:rPr>
          <w:sz w:val="21"/>
        </w:rPr>
      </w:pPr>
      <w:r>
        <w:rPr>
          <w:sz w:val="21"/>
        </w:rPr>
        <w:t>术语和定义</w:t>
      </w:r>
      <w:r>
        <w:rPr>
          <w:rFonts w:ascii="Times New Roman" w:eastAsia="Times New Roman"/>
          <w:sz w:val="21"/>
        </w:rPr>
        <w:tab/>
      </w:r>
      <w:r>
        <w:rPr>
          <w:sz w:val="21"/>
        </w:rPr>
        <w:t>1</w:t>
      </w:r>
    </w:p>
    <w:p>
      <w:pPr>
        <w:pStyle w:val="ListParagraph"/>
        <w:numPr>
          <w:ilvl w:val="0"/>
          <w:numId w:val="6"/>
        </w:numPr>
        <w:tabs>
          <w:tab w:val="left" w:pos="533"/>
          <w:tab w:val="right" w:leader="dot" w:pos="9560"/>
        </w:tabs>
        <w:spacing w:before="132" w:after="0" w:line="240" w:lineRule="auto"/>
        <w:ind w:left="532" w:right="0" w:hanging="315"/>
        <w:jc w:val="left"/>
        <w:rPr>
          <w:sz w:val="21"/>
        </w:rPr>
      </w:pPr>
      <w:r>
        <w:rPr>
          <w:sz w:val="21"/>
        </w:rPr>
        <w:t>基本要求</w:t>
      </w:r>
      <w:r>
        <w:rPr>
          <w:rFonts w:ascii="Times New Roman" w:eastAsia="Times New Roman"/>
          <w:sz w:val="21"/>
        </w:rPr>
        <w:tab/>
      </w:r>
      <w:r>
        <w:rPr>
          <w:sz w:val="21"/>
        </w:rPr>
        <w:t>2</w:t>
      </w:r>
    </w:p>
    <w:p>
      <w:pPr>
        <w:pStyle w:val="ListParagraph"/>
        <w:numPr>
          <w:ilvl w:val="1"/>
          <w:numId w:val="6"/>
        </w:numPr>
        <w:tabs>
          <w:tab w:val="left" w:pos="953"/>
          <w:tab w:val="right" w:leader="dot" w:pos="9560"/>
        </w:tabs>
        <w:spacing w:before="50" w:after="0" w:line="240" w:lineRule="auto"/>
        <w:ind w:left="952" w:right="0" w:hanging="526"/>
        <w:jc w:val="left"/>
        <w:rPr>
          <w:sz w:val="21"/>
        </w:rPr>
      </w:pPr>
      <w:r>
        <w:rPr>
          <w:sz w:val="21"/>
        </w:rPr>
        <w:t>基本条件</w:t>
      </w:r>
      <w:r>
        <w:rPr>
          <w:rFonts w:ascii="Times New Roman" w:eastAsia="Times New Roman"/>
          <w:sz w:val="21"/>
        </w:rPr>
        <w:tab/>
      </w:r>
      <w:r>
        <w:rPr>
          <w:sz w:val="21"/>
        </w:rPr>
        <w:t>2</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经营理念</w:t>
      </w:r>
      <w:r>
        <w:rPr>
          <w:rFonts w:ascii="Times New Roman" w:eastAsia="Times New Roman"/>
          <w:sz w:val="21"/>
        </w:rPr>
        <w:tab/>
      </w:r>
      <w:r>
        <w:rPr>
          <w:sz w:val="21"/>
        </w:rPr>
        <w:t>2</w:t>
      </w:r>
    </w:p>
    <w:p>
      <w:pPr>
        <w:pStyle w:val="ListParagraph"/>
        <w:numPr>
          <w:ilvl w:val="0"/>
          <w:numId w:val="6"/>
        </w:numPr>
        <w:tabs>
          <w:tab w:val="left" w:pos="533"/>
          <w:tab w:val="right" w:leader="dot" w:pos="9560"/>
        </w:tabs>
        <w:spacing w:before="112" w:after="0" w:line="240" w:lineRule="auto"/>
        <w:ind w:left="532" w:right="0" w:hanging="315"/>
        <w:jc w:val="left"/>
        <w:rPr>
          <w:sz w:val="21"/>
        </w:rPr>
      </w:pPr>
      <w:r>
        <w:rPr>
          <w:sz w:val="21"/>
        </w:rPr>
        <w:t>创建要求</w:t>
      </w:r>
      <w:r>
        <w:rPr>
          <w:rFonts w:ascii="Times New Roman" w:eastAsia="Times New Roman"/>
          <w:sz w:val="21"/>
        </w:rPr>
        <w:tab/>
      </w:r>
      <w:r>
        <w:rPr>
          <w:sz w:val="21"/>
        </w:rPr>
        <w:t>2</w:t>
      </w:r>
    </w:p>
    <w:p>
      <w:pPr>
        <w:pStyle w:val="ListParagraph"/>
        <w:numPr>
          <w:ilvl w:val="1"/>
          <w:numId w:val="6"/>
        </w:numPr>
        <w:tabs>
          <w:tab w:val="left" w:pos="953"/>
          <w:tab w:val="right" w:leader="dot" w:pos="9560"/>
        </w:tabs>
        <w:spacing w:before="50" w:after="0" w:line="240" w:lineRule="auto"/>
        <w:ind w:left="952" w:right="0" w:hanging="526"/>
        <w:jc w:val="left"/>
        <w:rPr>
          <w:sz w:val="21"/>
        </w:rPr>
      </w:pPr>
      <w:r>
        <w:rPr>
          <w:sz w:val="21"/>
        </w:rPr>
        <w:t>绿色环境</w:t>
      </w:r>
      <w:r>
        <w:rPr>
          <w:rFonts w:ascii="Times New Roman" w:eastAsia="Times New Roman"/>
          <w:sz w:val="21"/>
        </w:rPr>
        <w:tab/>
      </w:r>
      <w:r>
        <w:rPr>
          <w:sz w:val="21"/>
        </w:rPr>
        <w:t>2</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绿色厨房</w:t>
      </w:r>
      <w:r>
        <w:rPr>
          <w:rFonts w:ascii="Times New Roman" w:eastAsia="Times New Roman"/>
          <w:sz w:val="21"/>
        </w:rPr>
        <w:tab/>
      </w:r>
      <w:r>
        <w:rPr>
          <w:sz w:val="21"/>
        </w:rPr>
        <w:t>3</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绿色服务</w:t>
      </w:r>
      <w:r>
        <w:rPr>
          <w:rFonts w:ascii="Times New Roman" w:eastAsia="Times New Roman"/>
          <w:sz w:val="21"/>
        </w:rPr>
        <w:tab/>
      </w:r>
      <w:r>
        <w:rPr>
          <w:sz w:val="21"/>
        </w:rPr>
        <w:t>4</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节能要求</w:t>
      </w:r>
      <w:r>
        <w:rPr>
          <w:rFonts w:ascii="Times New Roman" w:eastAsia="Times New Roman"/>
          <w:sz w:val="21"/>
        </w:rPr>
        <w:tab/>
      </w:r>
      <w:r>
        <w:rPr>
          <w:sz w:val="21"/>
        </w:rPr>
        <w:t>6</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环保要求</w:t>
      </w:r>
      <w:r>
        <w:rPr>
          <w:rFonts w:ascii="Times New Roman" w:eastAsia="Times New Roman"/>
          <w:sz w:val="21"/>
        </w:rPr>
        <w:tab/>
      </w:r>
      <w:r>
        <w:rPr>
          <w:sz w:val="21"/>
        </w:rPr>
        <w:t>6</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绿色宣传</w:t>
      </w:r>
      <w:r>
        <w:rPr>
          <w:rFonts w:ascii="Times New Roman" w:eastAsia="Times New Roman"/>
          <w:sz w:val="21"/>
        </w:rPr>
        <w:tab/>
      </w:r>
      <w:r>
        <w:rPr>
          <w:sz w:val="21"/>
        </w:rPr>
        <w:t>7</w:t>
      </w:r>
    </w:p>
    <w:p>
      <w:pPr>
        <w:pStyle w:val="ListParagraph"/>
        <w:numPr>
          <w:ilvl w:val="0"/>
          <w:numId w:val="6"/>
        </w:numPr>
        <w:tabs>
          <w:tab w:val="left" w:pos="533"/>
          <w:tab w:val="right" w:leader="dot" w:pos="9560"/>
        </w:tabs>
        <w:spacing w:before="110" w:after="0" w:line="240" w:lineRule="auto"/>
        <w:ind w:left="532" w:right="0" w:hanging="315"/>
        <w:jc w:val="left"/>
        <w:rPr>
          <w:sz w:val="21"/>
        </w:rPr>
      </w:pPr>
      <w:r>
        <w:rPr>
          <w:sz w:val="21"/>
        </w:rPr>
        <w:t>评价主体</w:t>
      </w:r>
      <w:r>
        <w:rPr>
          <w:rFonts w:ascii="Times New Roman" w:eastAsia="Times New Roman"/>
          <w:sz w:val="21"/>
        </w:rPr>
        <w:tab/>
      </w:r>
      <w:r>
        <w:rPr>
          <w:sz w:val="21"/>
        </w:rPr>
        <w:t>7</w:t>
      </w:r>
    </w:p>
    <w:p>
      <w:pPr>
        <w:pStyle w:val="ListParagraph"/>
        <w:numPr>
          <w:ilvl w:val="0"/>
          <w:numId w:val="6"/>
        </w:numPr>
        <w:tabs>
          <w:tab w:val="left" w:pos="533"/>
          <w:tab w:val="right" w:leader="dot" w:pos="9560"/>
        </w:tabs>
        <w:spacing w:before="132" w:after="0" w:line="240" w:lineRule="auto"/>
        <w:ind w:left="532" w:right="0" w:hanging="315"/>
        <w:jc w:val="left"/>
        <w:rPr>
          <w:sz w:val="21"/>
        </w:rPr>
      </w:pPr>
      <w:r>
        <w:rPr>
          <w:sz w:val="21"/>
        </w:rPr>
        <w:t>评价原则和评价依据</w:t>
      </w:r>
      <w:r>
        <w:rPr>
          <w:rFonts w:ascii="Times New Roman" w:eastAsia="Times New Roman"/>
          <w:sz w:val="21"/>
        </w:rPr>
        <w:tab/>
      </w:r>
      <w:r>
        <w:rPr>
          <w:sz w:val="21"/>
        </w:rPr>
        <w:t>7</w:t>
      </w:r>
    </w:p>
    <w:p>
      <w:pPr>
        <w:pStyle w:val="ListParagraph"/>
        <w:numPr>
          <w:ilvl w:val="1"/>
          <w:numId w:val="6"/>
        </w:numPr>
        <w:tabs>
          <w:tab w:val="left" w:pos="953"/>
          <w:tab w:val="right" w:leader="dot" w:pos="9560"/>
        </w:tabs>
        <w:spacing w:before="50" w:after="0" w:line="240" w:lineRule="auto"/>
        <w:ind w:left="952" w:right="0" w:hanging="526"/>
        <w:jc w:val="left"/>
        <w:rPr>
          <w:sz w:val="21"/>
        </w:rPr>
      </w:pPr>
      <w:r>
        <w:rPr>
          <w:sz w:val="21"/>
        </w:rPr>
        <w:t>评价原则</w:t>
      </w:r>
      <w:r>
        <w:rPr>
          <w:rFonts w:ascii="Times New Roman" w:eastAsia="Times New Roman"/>
          <w:sz w:val="21"/>
        </w:rPr>
        <w:tab/>
      </w:r>
      <w:r>
        <w:rPr>
          <w:sz w:val="21"/>
        </w:rPr>
        <w:t>7</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评价依据</w:t>
      </w:r>
      <w:r>
        <w:rPr>
          <w:rFonts w:ascii="Times New Roman" w:eastAsia="Times New Roman"/>
          <w:sz w:val="21"/>
        </w:rPr>
        <w:tab/>
      </w:r>
      <w:r>
        <w:rPr>
          <w:sz w:val="21"/>
        </w:rPr>
        <w:t>7</w:t>
      </w:r>
    </w:p>
    <w:p>
      <w:pPr>
        <w:pStyle w:val="ListParagraph"/>
        <w:numPr>
          <w:ilvl w:val="0"/>
          <w:numId w:val="6"/>
        </w:numPr>
        <w:tabs>
          <w:tab w:val="left" w:pos="533"/>
          <w:tab w:val="right" w:leader="dot" w:pos="9560"/>
        </w:tabs>
        <w:spacing w:before="113" w:after="0" w:line="240" w:lineRule="auto"/>
        <w:ind w:left="532" w:right="0" w:hanging="315"/>
        <w:jc w:val="left"/>
        <w:rPr>
          <w:sz w:val="21"/>
        </w:rPr>
      </w:pPr>
      <w:r>
        <w:rPr>
          <w:sz w:val="21"/>
        </w:rPr>
        <w:t>评价指标、评价方法和等级划分</w:t>
      </w:r>
      <w:r>
        <w:rPr>
          <w:rFonts w:ascii="Times New Roman" w:eastAsia="Times New Roman"/>
          <w:sz w:val="21"/>
        </w:rPr>
        <w:tab/>
      </w:r>
      <w:r>
        <w:rPr>
          <w:sz w:val="21"/>
        </w:rPr>
        <w:t>8</w:t>
      </w:r>
    </w:p>
    <w:p>
      <w:pPr>
        <w:pStyle w:val="ListParagraph"/>
        <w:numPr>
          <w:ilvl w:val="1"/>
          <w:numId w:val="6"/>
        </w:numPr>
        <w:tabs>
          <w:tab w:val="left" w:pos="953"/>
          <w:tab w:val="right" w:leader="dot" w:pos="9560"/>
        </w:tabs>
        <w:spacing w:before="50" w:after="0" w:line="240" w:lineRule="auto"/>
        <w:ind w:left="952" w:right="0" w:hanging="526"/>
        <w:jc w:val="left"/>
        <w:rPr>
          <w:sz w:val="21"/>
        </w:rPr>
      </w:pPr>
      <w:r>
        <w:rPr>
          <w:sz w:val="21"/>
        </w:rPr>
        <w:t>评价指标</w:t>
      </w:r>
      <w:r>
        <w:rPr>
          <w:rFonts w:ascii="Times New Roman" w:eastAsia="Times New Roman"/>
          <w:sz w:val="21"/>
        </w:rPr>
        <w:tab/>
      </w:r>
      <w:r>
        <w:rPr>
          <w:sz w:val="21"/>
        </w:rPr>
        <w:t>8</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评价方法</w:t>
      </w:r>
      <w:r>
        <w:rPr>
          <w:rFonts w:ascii="Times New Roman" w:eastAsia="Times New Roman"/>
          <w:sz w:val="21"/>
        </w:rPr>
        <w:tab/>
      </w:r>
      <w:r>
        <w:rPr>
          <w:sz w:val="21"/>
        </w:rPr>
        <w:t>8</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等级划分</w:t>
      </w:r>
      <w:r>
        <w:rPr>
          <w:rFonts w:ascii="Times New Roman" w:eastAsia="Times New Roman"/>
          <w:sz w:val="21"/>
        </w:rPr>
        <w:tab/>
      </w:r>
      <w:r>
        <w:rPr>
          <w:sz w:val="21"/>
        </w:rPr>
        <w:t>8</w:t>
      </w:r>
    </w:p>
    <w:p>
      <w:pPr>
        <w:pStyle w:val="ListParagraph"/>
        <w:numPr>
          <w:ilvl w:val="0"/>
          <w:numId w:val="6"/>
        </w:numPr>
        <w:tabs>
          <w:tab w:val="left" w:pos="533"/>
          <w:tab w:val="right" w:leader="dot" w:pos="9560"/>
        </w:tabs>
        <w:spacing w:before="110" w:after="0" w:line="240" w:lineRule="auto"/>
        <w:ind w:left="532" w:right="0" w:hanging="315"/>
        <w:jc w:val="left"/>
        <w:rPr>
          <w:sz w:val="21"/>
        </w:rPr>
      </w:pPr>
      <w:r>
        <w:rPr>
          <w:sz w:val="21"/>
        </w:rPr>
        <w:t>评价程序</w:t>
      </w:r>
      <w:r>
        <w:rPr>
          <w:rFonts w:ascii="Times New Roman" w:eastAsia="Times New Roman"/>
          <w:sz w:val="21"/>
        </w:rPr>
        <w:tab/>
      </w:r>
      <w:r>
        <w:rPr>
          <w:sz w:val="21"/>
        </w:rPr>
        <w:t>8</w:t>
      </w:r>
    </w:p>
    <w:p>
      <w:pPr>
        <w:pStyle w:val="ListParagraph"/>
        <w:numPr>
          <w:ilvl w:val="1"/>
          <w:numId w:val="6"/>
        </w:numPr>
        <w:tabs>
          <w:tab w:val="left" w:pos="953"/>
          <w:tab w:val="right" w:leader="dot" w:pos="9560"/>
        </w:tabs>
        <w:spacing w:before="52" w:after="0" w:line="240" w:lineRule="auto"/>
        <w:ind w:left="952" w:right="0" w:hanging="526"/>
        <w:jc w:val="left"/>
        <w:rPr>
          <w:sz w:val="21"/>
        </w:rPr>
      </w:pPr>
      <w:r>
        <w:rPr>
          <w:sz w:val="21"/>
        </w:rPr>
        <w:t>申报</w:t>
      </w:r>
      <w:r>
        <w:rPr>
          <w:rFonts w:ascii="Times New Roman" w:eastAsia="Times New Roman"/>
          <w:sz w:val="21"/>
        </w:rPr>
        <w:tab/>
      </w:r>
      <w:r>
        <w:rPr>
          <w:sz w:val="21"/>
        </w:rPr>
        <w:t>8</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受理</w:t>
      </w:r>
      <w:r>
        <w:rPr>
          <w:rFonts w:ascii="Times New Roman" w:eastAsia="Times New Roman"/>
          <w:sz w:val="21"/>
        </w:rPr>
        <w:tab/>
      </w:r>
      <w:r>
        <w:rPr>
          <w:sz w:val="21"/>
        </w:rPr>
        <w:t>8</w:t>
      </w:r>
    </w:p>
    <w:p>
      <w:pPr>
        <w:pStyle w:val="ListParagraph"/>
        <w:numPr>
          <w:ilvl w:val="1"/>
          <w:numId w:val="6"/>
        </w:numPr>
        <w:tabs>
          <w:tab w:val="left" w:pos="953"/>
          <w:tab w:val="right" w:leader="dot" w:pos="9560"/>
        </w:tabs>
        <w:spacing w:before="31" w:after="0" w:line="240" w:lineRule="auto"/>
        <w:ind w:left="952" w:right="0" w:hanging="526"/>
        <w:jc w:val="left"/>
        <w:rPr>
          <w:sz w:val="21"/>
        </w:rPr>
      </w:pPr>
      <w:r>
        <w:rPr>
          <w:sz w:val="21"/>
        </w:rPr>
        <w:t>评价</w:t>
      </w:r>
      <w:r>
        <w:rPr>
          <w:rFonts w:ascii="Times New Roman" w:eastAsia="Times New Roman"/>
          <w:sz w:val="21"/>
        </w:rPr>
        <w:tab/>
      </w:r>
      <w:r>
        <w:rPr>
          <w:sz w:val="21"/>
        </w:rPr>
        <w:t>8</w:t>
      </w:r>
    </w:p>
    <w:p>
      <w:pPr>
        <w:pStyle w:val="ListParagraph"/>
        <w:numPr>
          <w:ilvl w:val="0"/>
          <w:numId w:val="6"/>
        </w:numPr>
        <w:tabs>
          <w:tab w:val="left" w:pos="639"/>
          <w:tab w:val="right" w:leader="dot" w:pos="9560"/>
        </w:tabs>
        <w:spacing w:before="110" w:after="0" w:line="240" w:lineRule="auto"/>
        <w:ind w:left="638" w:right="0" w:hanging="421"/>
        <w:jc w:val="left"/>
        <w:rPr>
          <w:sz w:val="21"/>
        </w:rPr>
      </w:pPr>
      <w:r>
        <w:rPr>
          <w:sz w:val="21"/>
        </w:rPr>
        <w:t>动态管理</w:t>
      </w:r>
      <w:r>
        <w:rPr>
          <w:rFonts w:ascii="Times New Roman" w:eastAsia="Times New Roman"/>
          <w:sz w:val="21"/>
        </w:rPr>
        <w:tab/>
      </w:r>
      <w:r>
        <w:rPr>
          <w:sz w:val="21"/>
        </w:rPr>
        <w:t>9</w:t>
      </w:r>
    </w:p>
    <w:p>
      <w:pPr>
        <w:pStyle w:val="ListParagraph"/>
        <w:numPr>
          <w:ilvl w:val="0"/>
          <w:numId w:val="6"/>
        </w:numPr>
        <w:tabs>
          <w:tab w:val="left" w:pos="639"/>
          <w:tab w:val="right" w:leader="dot" w:pos="9560"/>
        </w:tabs>
        <w:spacing w:before="132" w:after="0" w:line="240" w:lineRule="auto"/>
        <w:ind w:left="638" w:right="0" w:hanging="421"/>
        <w:jc w:val="left"/>
        <w:rPr>
          <w:sz w:val="21"/>
        </w:rPr>
      </w:pPr>
      <w:r>
        <w:rPr>
          <w:sz w:val="21"/>
        </w:rPr>
        <w:t>评定性复核</w:t>
      </w:r>
      <w:r>
        <w:rPr>
          <w:rFonts w:ascii="Times New Roman" w:eastAsia="Times New Roman"/>
          <w:sz w:val="21"/>
        </w:rPr>
        <w:tab/>
      </w:r>
      <w:r>
        <w:rPr>
          <w:sz w:val="21"/>
        </w:rPr>
        <w:t>9</w:t>
      </w:r>
    </w:p>
    <w:p>
      <w:pPr>
        <w:pStyle w:val="BodyText"/>
        <w:tabs>
          <w:tab w:val="right" w:leader="dot" w:pos="9562"/>
        </w:tabs>
        <w:spacing w:before="129"/>
        <w:ind w:left="218"/>
      </w:pPr>
      <w:r>
        <w:t>附录</w:t>
      </w:r>
      <w:r>
        <w:rPr>
          <w:spacing w:val="-54"/>
        </w:rPr>
        <w:t xml:space="preserve"> </w:t>
      </w:r>
      <w:r>
        <w:t xml:space="preserve">A（资料性） </w:t>
      </w:r>
      <w:r>
        <w:rPr>
          <w:spacing w:val="1"/>
        </w:rPr>
        <w:t xml:space="preserve"> </w:t>
      </w:r>
      <w:r>
        <w:t>绿色餐厅申报表</w:t>
      </w:r>
      <w:r>
        <w:rPr>
          <w:rFonts w:ascii="Times New Roman" w:eastAsia="Times New Roman"/>
        </w:rPr>
        <w:tab/>
      </w:r>
      <w:r>
        <w:t>10</w:t>
      </w:r>
    </w:p>
    <w:p>
      <w:pPr>
        <w:pStyle w:val="BodyText"/>
        <w:tabs>
          <w:tab w:val="right" w:leader="dot" w:pos="9562"/>
        </w:tabs>
        <w:spacing w:before="132"/>
        <w:ind w:left="218"/>
      </w:pPr>
      <w:r>
        <w:t>附录</w:t>
      </w:r>
      <w:r>
        <w:rPr>
          <w:spacing w:val="-54"/>
        </w:rPr>
        <w:t xml:space="preserve"> </w:t>
      </w:r>
      <w:r>
        <w:t xml:space="preserve">B（资料性） </w:t>
      </w:r>
      <w:r>
        <w:rPr>
          <w:spacing w:val="1"/>
        </w:rPr>
        <w:t xml:space="preserve"> </w:t>
      </w:r>
      <w:r>
        <w:t>绿色餐厅评价表</w:t>
      </w:r>
      <w:r>
        <w:rPr>
          <w:rFonts w:ascii="Times New Roman" w:eastAsia="Times New Roman"/>
        </w:rPr>
        <w:tab/>
      </w:r>
      <w:r>
        <w:t>12</w:t>
      </w:r>
    </w:p>
    <w:p>
      <w:pPr>
        <w:pStyle w:val="BodyText"/>
        <w:tabs>
          <w:tab w:val="right" w:leader="dot" w:pos="9562"/>
        </w:tabs>
        <w:spacing w:before="132"/>
        <w:ind w:left="218"/>
      </w:pPr>
      <w:r>
        <w:t>参考文献</w:t>
      </w:r>
      <w:r>
        <w:rPr>
          <w:rFonts w:ascii="Times New Roman" w:eastAsia="Times New Roman"/>
        </w:rPr>
        <w:tab/>
      </w:r>
      <w:r>
        <w:t>18</w:t>
      </w:r>
    </w:p>
    <w:p>
      <w:pPr>
        <w:spacing w:after="0"/>
        <w:sectPr>
          <w:headerReference w:type="default" r:id="rId6"/>
          <w:footerReference w:type="default" r:id="rId7"/>
          <w:pgSz w:w="11910" w:h="16840"/>
          <w:pgMar w:top="1640" w:right="720" w:bottom="1340" w:left="1200" w:header="1449" w:footer="1141"/>
          <w:pgNumType w:start="1"/>
          <w:cols w:space="708"/>
        </w:sectPr>
      </w:pPr>
    </w:p>
    <w:p>
      <w:pPr>
        <w:pStyle w:val="BodyText"/>
        <w:spacing w:before="5"/>
        <w:rPr>
          <w:sz w:val="30"/>
        </w:rPr>
      </w:pPr>
      <w:r>
        <w:drawing>
          <wp:anchor distT="0" distB="0" distL="0" distR="0" simplePos="0" relativeHeight="251664384"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p>
    <w:p>
      <w:pPr>
        <w:tabs>
          <w:tab w:val="left" w:pos="1185"/>
        </w:tabs>
        <w:spacing w:before="0"/>
        <w:ind w:left="225" w:right="0" w:firstLine="0"/>
        <w:jc w:val="center"/>
        <w:rPr>
          <w:rFonts w:ascii="黑体" w:eastAsia="黑体" w:hint="eastAsia"/>
          <w:sz w:val="32"/>
        </w:rPr>
      </w:pPr>
      <w:bookmarkStart w:id="0" w:name="前言"/>
      <w:bookmarkEnd w:id="0"/>
      <w:r>
        <w:rPr>
          <w:rFonts w:ascii="黑体" w:eastAsia="黑体" w:hint="eastAsia"/>
          <w:sz w:val="32"/>
        </w:rPr>
        <w:t>前</w:t>
        <w:tab/>
        <w:t>言</w:t>
      </w:r>
    </w:p>
    <w:p>
      <w:pPr>
        <w:pStyle w:val="BodyText"/>
        <w:spacing w:before="6"/>
        <w:rPr>
          <w:rFonts w:ascii="黑体"/>
          <w:sz w:val="46"/>
        </w:rPr>
      </w:pPr>
    </w:p>
    <w:p>
      <w:pPr>
        <w:pStyle w:val="BodyText"/>
        <w:spacing w:line="278" w:lineRule="auto"/>
        <w:ind w:left="218" w:right="415" w:firstLine="420"/>
      </w:pPr>
      <w:r>
        <w:t>本文件按照GB/T 1.1—2020《标准化工作导则 第1部分：标准化文件的结构和起草规则》的规定起草。</w:t>
      </w:r>
    </w:p>
    <w:p>
      <w:pPr>
        <w:pStyle w:val="BodyText"/>
        <w:spacing w:line="278" w:lineRule="auto"/>
        <w:ind w:left="638" w:right="1572" w:firstLine="2"/>
      </w:pPr>
      <w:r>
        <w:rPr>
          <w:w w:val="95"/>
        </w:rPr>
        <w:t xml:space="preserve">请注意本文件的某些内容可能涉及专利。本文件的发布机构不承担识别专利的责任。  </w:t>
      </w:r>
      <w:r>
        <w:t>本文件由黑龙江省商务厅提出并归口。</w:t>
      </w:r>
    </w:p>
    <w:p>
      <w:pPr>
        <w:pStyle w:val="BodyText"/>
        <w:spacing w:line="278" w:lineRule="auto"/>
        <w:ind w:left="218" w:right="415" w:firstLine="420"/>
      </w:pPr>
      <w:r>
        <w:rPr>
          <w:spacing w:val="-7"/>
          <w:w w:val="95"/>
        </w:rPr>
        <w:t xml:space="preserve">本文件起草单位：黑龙江旅游职业技术学院、哈尔滨市双滕餐饮管理有限公司、黑龙江省将军牛排   </w:t>
      </w:r>
      <w:r>
        <w:rPr>
          <w:spacing w:val="-7"/>
        </w:rPr>
        <w:t>餐饮有限公司、黑龙江工程学院昆仑旅游学院、黑龙江省餐饮烹饪行业协会。</w:t>
      </w:r>
    </w:p>
    <w:p>
      <w:pPr>
        <w:pStyle w:val="BodyText"/>
        <w:spacing w:line="278" w:lineRule="auto"/>
        <w:ind w:left="218" w:right="316" w:firstLine="420"/>
      </w:pPr>
      <w:r>
        <w:rPr>
          <w:w w:val="95"/>
        </w:rPr>
        <w:t xml:space="preserve">本文件主要起草人：邓英、张宏欣、张莹、孙朋久、滕飞、滕书磊、任拓、杨学东、刘萍、吴非、   </w:t>
      </w:r>
      <w:r>
        <w:t>吴晶、李建民、刘侃、杨君、夏静、翟晓君、张德彪、刘林舒、梁丽、李欣妍。</w:t>
      </w:r>
    </w:p>
    <w:p>
      <w:pPr>
        <w:spacing w:after="0" w:line="278" w:lineRule="auto"/>
        <w:sectPr>
          <w:headerReference w:type="default" r:id="rId8"/>
          <w:footerReference w:type="default" r:id="rId9"/>
          <w:pgSz w:w="11910" w:h="16840"/>
          <w:pgMar w:top="1640" w:right="720" w:bottom="1340" w:left="1200" w:header="1449" w:footer="1141"/>
          <w:pgNumType w:start="2"/>
          <w:cols w:space="708"/>
        </w:sectPr>
      </w:pPr>
    </w:p>
    <w:p>
      <w:pPr>
        <w:pStyle w:val="BodyText"/>
        <w:spacing w:before="5"/>
        <w:rPr>
          <w:sz w:val="20"/>
        </w:rPr>
      </w:pPr>
      <w:r>
        <w:drawing>
          <wp:anchor distT="0" distB="0" distL="0" distR="0" simplePos="0" relativeHeight="251666432"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p>
    <w:p>
      <w:pPr>
        <w:pStyle w:val="Heading1"/>
        <w:ind w:left="115" w:right="312"/>
      </w:pPr>
      <w:r>
        <w:t>绿色餐厅评价规范</w:t>
      </w:r>
    </w:p>
    <w:p>
      <w:pPr>
        <w:pStyle w:val="BodyText"/>
        <w:rPr>
          <w:rFonts w:ascii="黑体"/>
          <w:sz w:val="20"/>
        </w:rPr>
      </w:pPr>
    </w:p>
    <w:p>
      <w:pPr>
        <w:pStyle w:val="BodyText"/>
        <w:spacing w:before="11"/>
        <w:rPr>
          <w:rFonts w:ascii="黑体"/>
          <w:sz w:val="28"/>
        </w:rPr>
      </w:pPr>
    </w:p>
    <w:p>
      <w:pPr>
        <w:pStyle w:val="ListParagraph"/>
        <w:numPr>
          <w:ilvl w:val="0"/>
          <w:numId w:val="7"/>
        </w:numPr>
        <w:tabs>
          <w:tab w:val="left" w:pos="533"/>
        </w:tabs>
        <w:spacing w:before="70" w:after="0" w:line="240" w:lineRule="auto"/>
        <w:ind w:left="532" w:right="0" w:hanging="315"/>
        <w:jc w:val="left"/>
        <w:rPr>
          <w:rFonts w:ascii="黑体" w:eastAsia="黑体" w:hint="eastAsia"/>
          <w:sz w:val="21"/>
        </w:rPr>
      </w:pPr>
      <w:bookmarkStart w:id="1" w:name="1　范围"/>
      <w:bookmarkEnd w:id="1"/>
      <w:r>
        <w:rPr>
          <w:rFonts w:ascii="黑体" w:eastAsia="黑体" w:hint="eastAsia"/>
          <w:sz w:val="21"/>
        </w:rPr>
        <w:t>范围</w:t>
      </w:r>
    </w:p>
    <w:p>
      <w:pPr>
        <w:pStyle w:val="BodyText"/>
        <w:spacing w:before="9"/>
        <w:rPr>
          <w:rFonts w:ascii="黑体"/>
          <w:sz w:val="27"/>
        </w:rPr>
      </w:pPr>
    </w:p>
    <w:p>
      <w:pPr>
        <w:pStyle w:val="BodyText"/>
        <w:spacing w:line="278" w:lineRule="auto"/>
        <w:ind w:left="218" w:right="417" w:firstLine="427"/>
      </w:pPr>
      <w:r>
        <w:rPr>
          <w:w w:val="95"/>
        </w:rPr>
        <w:t xml:space="preserve">本文件规定了绿色餐厅评价的术语和定义、基本要求、创建要求、评价主体、评价原则和评价依   </w:t>
      </w:r>
      <w:r>
        <w:t>据、评价指标、评价方法、等级划分、评价程序、动态管理、评定性复核等要求。</w:t>
      </w:r>
    </w:p>
    <w:p>
      <w:pPr>
        <w:pStyle w:val="BodyText"/>
        <w:spacing w:line="269" w:lineRule="exact"/>
        <w:ind w:left="633"/>
      </w:pPr>
      <w:r>
        <w:t>本文件适用于黑龙江省绿色餐厅评价工作。</w:t>
      </w:r>
    </w:p>
    <w:p>
      <w:pPr>
        <w:pStyle w:val="BodyText"/>
        <w:spacing w:before="9"/>
        <w:rPr>
          <w:sz w:val="27"/>
        </w:rPr>
      </w:pPr>
    </w:p>
    <w:p>
      <w:pPr>
        <w:pStyle w:val="ListParagraph"/>
        <w:numPr>
          <w:ilvl w:val="0"/>
          <w:numId w:val="7"/>
        </w:numPr>
        <w:tabs>
          <w:tab w:val="left" w:pos="533"/>
        </w:tabs>
        <w:spacing w:before="0" w:after="0" w:line="240" w:lineRule="auto"/>
        <w:ind w:left="532" w:right="0" w:hanging="315"/>
        <w:jc w:val="left"/>
        <w:rPr>
          <w:rFonts w:ascii="黑体" w:eastAsia="黑体" w:hint="eastAsia"/>
          <w:sz w:val="21"/>
        </w:rPr>
      </w:pPr>
      <w:bookmarkStart w:id="2" w:name="2　规范性引用文件"/>
      <w:bookmarkEnd w:id="2"/>
      <w:r>
        <w:rPr>
          <w:rFonts w:ascii="黑体" w:eastAsia="黑体" w:hint="eastAsia"/>
          <w:sz w:val="21"/>
        </w:rPr>
        <w:t>规范性引用文件</w:t>
      </w:r>
    </w:p>
    <w:p>
      <w:pPr>
        <w:pStyle w:val="BodyText"/>
        <w:spacing w:before="9"/>
        <w:rPr>
          <w:rFonts w:ascii="黑体"/>
          <w:sz w:val="27"/>
        </w:rPr>
      </w:pPr>
    </w:p>
    <w:p>
      <w:pPr>
        <w:pStyle w:val="BodyText"/>
        <w:spacing w:line="278" w:lineRule="auto"/>
        <w:ind w:left="218" w:right="308" w:firstLine="420"/>
      </w:pPr>
      <w:r>
        <w:rPr>
          <w:spacing w:val="-7"/>
          <w:w w:val="95"/>
        </w:rPr>
        <w:t xml:space="preserve">下列文件中的内容通过文中的规范性引用而构成本文件必不可少的条款。其中，注日期的引用文件，   </w:t>
      </w:r>
      <w:r>
        <w:rPr>
          <w:spacing w:val="-10"/>
        </w:rPr>
        <w:t>仅该日期对应的版本适用于本文件；不注日期的引用文件，其最新版本</w:t>
      </w:r>
      <w:r>
        <w:t>（包括所有的修改单</w:t>
      </w:r>
      <w:r>
        <w:rPr>
          <w:spacing w:val="-25"/>
        </w:rPr>
        <w:t>）</w:t>
      </w:r>
      <w:r>
        <w:t>适用于本文件。</w:t>
      </w:r>
    </w:p>
    <w:p>
      <w:pPr>
        <w:pStyle w:val="BodyText"/>
        <w:spacing w:line="262" w:lineRule="exact"/>
        <w:ind w:left="638"/>
      </w:pPr>
      <w:r>
        <w:t>GB</w:t>
      </w:r>
      <w:r>
        <w:rPr>
          <w:spacing w:val="-4"/>
        </w:rPr>
        <w:t xml:space="preserve"> </w:t>
      </w:r>
      <w:r>
        <w:t>2760</w:t>
      </w:r>
      <w:r>
        <w:rPr>
          <w:spacing w:val="7"/>
        </w:rPr>
        <w:t xml:space="preserve"> 食品添加剂使用标准</w:t>
      </w:r>
    </w:p>
    <w:p>
      <w:pPr>
        <w:pStyle w:val="BodyText"/>
        <w:spacing w:before="50"/>
        <w:ind w:left="638"/>
      </w:pPr>
      <w:r>
        <w:t>GB</w:t>
      </w:r>
      <w:r>
        <w:rPr>
          <w:spacing w:val="-4"/>
        </w:rPr>
        <w:t xml:space="preserve"> </w:t>
      </w:r>
      <w:r>
        <w:t>5749</w:t>
      </w:r>
      <w:r>
        <w:rPr>
          <w:spacing w:val="7"/>
        </w:rPr>
        <w:t xml:space="preserve"> 生活饮用水卫生标准</w:t>
      </w:r>
    </w:p>
    <w:p>
      <w:pPr>
        <w:pStyle w:val="BodyText"/>
        <w:spacing w:before="36"/>
        <w:ind w:left="638"/>
      </w:pPr>
      <w:r>
        <w:t>GB 12348-2008 工业企业厂界环境噪声排放标准</w:t>
      </w:r>
    </w:p>
    <w:p>
      <w:pPr>
        <w:pStyle w:val="BodyText"/>
        <w:spacing w:before="43"/>
        <w:ind w:left="638"/>
      </w:pPr>
      <w:r>
        <w:t>GB</w:t>
      </w:r>
      <w:r>
        <w:rPr>
          <w:spacing w:val="-3"/>
        </w:rPr>
        <w:t xml:space="preserve"> </w:t>
      </w:r>
      <w:r>
        <w:t>13495.1</w:t>
      </w:r>
      <w:r>
        <w:rPr>
          <w:spacing w:val="12"/>
        </w:rPr>
        <w:t xml:space="preserve"> 消防安全标志</w:t>
      </w:r>
    </w:p>
    <w:p>
      <w:pPr>
        <w:pStyle w:val="BodyText"/>
        <w:spacing w:before="43"/>
        <w:ind w:left="638"/>
      </w:pPr>
      <w:r>
        <w:t>GB/T</w:t>
      </w:r>
      <w:r>
        <w:rPr>
          <w:spacing w:val="-3"/>
        </w:rPr>
        <w:t xml:space="preserve"> </w:t>
      </w:r>
      <w:r>
        <w:t>13869</w:t>
      </w:r>
      <w:r>
        <w:rPr>
          <w:spacing w:val="12"/>
        </w:rPr>
        <w:t xml:space="preserve"> 用电安全导则</w:t>
      </w:r>
    </w:p>
    <w:p>
      <w:pPr>
        <w:pStyle w:val="BodyText"/>
        <w:spacing w:before="43"/>
        <w:ind w:left="638"/>
      </w:pPr>
      <w:r>
        <w:t>GB/T 17981 空气调节系统经济运行</w:t>
      </w:r>
    </w:p>
    <w:p>
      <w:pPr>
        <w:pStyle w:val="BodyText"/>
        <w:spacing w:before="43"/>
        <w:ind w:left="638"/>
      </w:pPr>
      <w:r>
        <w:t>GB/T 18006.1 塑料一次性餐饮具通用技术要求</w:t>
      </w:r>
    </w:p>
    <w:p>
      <w:pPr>
        <w:pStyle w:val="BodyText"/>
        <w:spacing w:before="42"/>
        <w:ind w:left="638"/>
      </w:pPr>
      <w:r>
        <w:t>GB/T 18006.3 一次性可降解餐饮具通用技术要求</w:t>
      </w:r>
    </w:p>
    <w:p>
      <w:pPr>
        <w:pStyle w:val="BodyText"/>
        <w:spacing w:before="43"/>
        <w:ind w:left="638"/>
      </w:pPr>
      <w:r>
        <w:pict>
          <v:shape id="_x0000_s1028" type="#_x0000_t202" style="width:204.45pt;height:134.9pt;margin-top:19.63pt;margin-left:89.42pt;mso-position-horizontal-relative:page;position:absolute;z-index:251665408"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2"/>
                    <w:gridCol w:w="680"/>
                    <w:gridCol w:w="2886"/>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56"/>
                      <w:jc w:val="left"/>
                    </w:trPr>
                    <w:tc>
                      <w:tcPr>
                        <w:tcW w:w="522" w:type="dxa"/>
                      </w:tcPr>
                      <w:p>
                        <w:pPr>
                          <w:pStyle w:val="TableParagraph"/>
                          <w:spacing w:line="237" w:lineRule="exact"/>
                          <w:ind w:left="30" w:right="31"/>
                          <w:jc w:val="center"/>
                          <w:rPr>
                            <w:sz w:val="21"/>
                          </w:rPr>
                        </w:pPr>
                        <w:r>
                          <w:rPr>
                            <w:sz w:val="21"/>
                          </w:rPr>
                          <w:t>GB/T</w:t>
                        </w:r>
                      </w:p>
                    </w:tc>
                    <w:tc>
                      <w:tcPr>
                        <w:tcW w:w="680" w:type="dxa"/>
                      </w:tcPr>
                      <w:p>
                        <w:pPr>
                          <w:pStyle w:val="TableParagraph"/>
                          <w:spacing w:line="237" w:lineRule="exact"/>
                          <w:ind w:left="27" w:right="80"/>
                          <w:jc w:val="center"/>
                          <w:rPr>
                            <w:sz w:val="21"/>
                          </w:rPr>
                        </w:pPr>
                        <w:r>
                          <w:rPr>
                            <w:sz w:val="21"/>
                          </w:rPr>
                          <w:t>18883</w:t>
                        </w:r>
                      </w:p>
                    </w:tc>
                    <w:tc>
                      <w:tcPr>
                        <w:tcW w:w="2886" w:type="dxa"/>
                      </w:tcPr>
                      <w:p>
                        <w:pPr>
                          <w:pStyle w:val="TableParagraph"/>
                          <w:spacing w:line="237" w:lineRule="exact"/>
                          <w:ind w:left="103"/>
                          <w:rPr>
                            <w:sz w:val="21"/>
                          </w:rPr>
                        </w:pPr>
                        <w:r>
                          <w:rPr>
                            <w:sz w:val="21"/>
                          </w:rPr>
                          <w:t>室内空气质量标准</w:t>
                        </w:r>
                      </w:p>
                    </w:tc>
                  </w:tr>
                  <w:tr>
                    <w:tblPrEx>
                      <w:tblW w:w="0" w:type="auto"/>
                      <w:jc w:val="left"/>
                      <w:tblInd w:w="7" w:type="dxa"/>
                      <w:tblLayout w:type="fixed"/>
                      <w:tblCellMar>
                        <w:top w:w="0" w:type="dxa"/>
                        <w:left w:w="0" w:type="dxa"/>
                        <w:bottom w:w="0" w:type="dxa"/>
                        <w:right w:w="0" w:type="dxa"/>
                      </w:tblCellMar>
                      <w:tblLook w:val="01E0"/>
                    </w:tblPrEx>
                    <w:trPr>
                      <w:trHeight w:val="308"/>
                      <w:jc w:val="left"/>
                    </w:trPr>
                    <w:tc>
                      <w:tcPr>
                        <w:tcW w:w="522" w:type="dxa"/>
                      </w:tcPr>
                      <w:p>
                        <w:pPr>
                          <w:pStyle w:val="TableParagraph"/>
                          <w:spacing w:before="17"/>
                          <w:ind w:left="30" w:right="31"/>
                          <w:jc w:val="center"/>
                          <w:rPr>
                            <w:sz w:val="21"/>
                          </w:rPr>
                        </w:pPr>
                        <w:r>
                          <w:rPr>
                            <w:sz w:val="21"/>
                          </w:rPr>
                          <w:t>GB/T</w:t>
                        </w:r>
                      </w:p>
                    </w:tc>
                    <w:tc>
                      <w:tcPr>
                        <w:tcW w:w="680" w:type="dxa"/>
                      </w:tcPr>
                      <w:p>
                        <w:pPr>
                          <w:pStyle w:val="TableParagraph"/>
                          <w:spacing w:before="17"/>
                          <w:ind w:left="29" w:right="80"/>
                          <w:jc w:val="center"/>
                          <w:rPr>
                            <w:sz w:val="21"/>
                          </w:rPr>
                        </w:pPr>
                        <w:r>
                          <w:rPr>
                            <w:sz w:val="21"/>
                          </w:rPr>
                          <w:t>19095</w:t>
                        </w:r>
                      </w:p>
                    </w:tc>
                    <w:tc>
                      <w:tcPr>
                        <w:tcW w:w="2886" w:type="dxa"/>
                      </w:tcPr>
                      <w:p>
                        <w:pPr>
                          <w:pStyle w:val="TableParagraph"/>
                          <w:spacing w:before="17"/>
                          <w:ind w:left="105"/>
                          <w:rPr>
                            <w:sz w:val="21"/>
                          </w:rPr>
                        </w:pPr>
                        <w:r>
                          <w:rPr>
                            <w:sz w:val="21"/>
                          </w:rPr>
                          <w:t>生活垃圾分类标志</w:t>
                        </w:r>
                      </w:p>
                    </w:tc>
                  </w:tr>
                  <w:tr>
                    <w:tblPrEx>
                      <w:tblW w:w="0" w:type="auto"/>
                      <w:jc w:val="left"/>
                      <w:tblInd w:w="7" w:type="dxa"/>
                      <w:tblLayout w:type="fixed"/>
                      <w:tblCellMar>
                        <w:top w:w="0" w:type="dxa"/>
                        <w:left w:w="0" w:type="dxa"/>
                        <w:bottom w:w="0" w:type="dxa"/>
                        <w:right w:w="0" w:type="dxa"/>
                      </w:tblCellMar>
                      <w:tblLook w:val="01E0"/>
                    </w:tblPrEx>
                    <w:trPr>
                      <w:trHeight w:val="260"/>
                      <w:jc w:val="left"/>
                    </w:trPr>
                    <w:tc>
                      <w:tcPr>
                        <w:tcW w:w="522" w:type="dxa"/>
                      </w:tcPr>
                      <w:p>
                        <w:pPr>
                          <w:pStyle w:val="TableParagraph"/>
                          <w:spacing w:before="21" w:line="219" w:lineRule="exact"/>
                          <w:ind w:left="30" w:right="30"/>
                          <w:jc w:val="center"/>
                          <w:rPr>
                            <w:sz w:val="21"/>
                          </w:rPr>
                        </w:pPr>
                        <w:r>
                          <w:rPr>
                            <w:sz w:val="21"/>
                          </w:rPr>
                          <w:t>GB/T</w:t>
                        </w:r>
                      </w:p>
                    </w:tc>
                    <w:tc>
                      <w:tcPr>
                        <w:tcW w:w="680" w:type="dxa"/>
                      </w:tcPr>
                      <w:p>
                        <w:pPr>
                          <w:pStyle w:val="TableParagraph"/>
                          <w:spacing w:before="21" w:line="219" w:lineRule="exact"/>
                          <w:ind w:left="31" w:right="77"/>
                          <w:jc w:val="center"/>
                          <w:rPr>
                            <w:sz w:val="21"/>
                          </w:rPr>
                        </w:pPr>
                        <w:r>
                          <w:rPr>
                            <w:sz w:val="21"/>
                          </w:rPr>
                          <w:t>26396</w:t>
                        </w:r>
                      </w:p>
                    </w:tc>
                    <w:tc>
                      <w:tcPr>
                        <w:tcW w:w="2886" w:type="dxa"/>
                      </w:tcPr>
                      <w:p>
                        <w:pPr>
                          <w:pStyle w:val="TableParagraph"/>
                          <w:spacing w:before="21" w:line="219" w:lineRule="exact"/>
                          <w:ind w:left="107"/>
                          <w:rPr>
                            <w:sz w:val="21"/>
                          </w:rPr>
                        </w:pPr>
                        <w:r>
                          <w:rPr>
                            <w:sz w:val="21"/>
                          </w:rPr>
                          <w:t>洗涤用品安全技术规范</w:t>
                        </w:r>
                      </w:p>
                    </w:tc>
                  </w:tr>
                  <w:tr>
                    <w:tblPrEx>
                      <w:tblW w:w="0" w:type="auto"/>
                      <w:jc w:val="left"/>
                      <w:tblInd w:w="7" w:type="dxa"/>
                      <w:tblLayout w:type="fixed"/>
                      <w:tblCellMar>
                        <w:top w:w="0" w:type="dxa"/>
                        <w:left w:w="0" w:type="dxa"/>
                        <w:bottom w:w="0" w:type="dxa"/>
                        <w:right w:w="0" w:type="dxa"/>
                      </w:tblCellMar>
                      <w:tblLook w:val="01E0"/>
                    </w:tblPrEx>
                    <w:trPr>
                      <w:trHeight w:val="675"/>
                      <w:jc w:val="left"/>
                    </w:trPr>
                    <w:tc>
                      <w:tcPr>
                        <w:tcW w:w="4088" w:type="dxa"/>
                        <w:gridSpan w:val="3"/>
                      </w:tcPr>
                      <w:p>
                        <w:pPr>
                          <w:pStyle w:val="TableParagraph"/>
                          <w:spacing w:before="72"/>
                          <w:ind w:left="50"/>
                          <w:rPr>
                            <w:sz w:val="21"/>
                          </w:rPr>
                        </w:pPr>
                        <w:r>
                          <w:rPr>
                            <w:sz w:val="21"/>
                          </w:rPr>
                          <w:t>GB</w:t>
                        </w:r>
                        <w:r>
                          <w:rPr>
                            <w:spacing w:val="-5"/>
                            <w:sz w:val="21"/>
                          </w:rPr>
                          <w:t xml:space="preserve"> </w:t>
                        </w:r>
                        <w:r>
                          <w:rPr>
                            <w:sz w:val="21"/>
                          </w:rPr>
                          <w:t>30531</w:t>
                        </w:r>
                        <w:r>
                          <w:rPr>
                            <w:spacing w:val="2"/>
                            <w:sz w:val="21"/>
                          </w:rPr>
                          <w:t xml:space="preserve"> 商用燃气灶具能效限定值及能效</w:t>
                        </w:r>
                      </w:p>
                      <w:p>
                        <w:pPr>
                          <w:pStyle w:val="TableParagraph"/>
                          <w:spacing w:before="43"/>
                          <w:ind w:left="50"/>
                          <w:rPr>
                            <w:sz w:val="21"/>
                          </w:rPr>
                        </w:pPr>
                        <w:r>
                          <w:rPr>
                            <w:sz w:val="21"/>
                          </w:rPr>
                          <w:t>GB/T</w:t>
                        </w:r>
                        <w:r>
                          <w:rPr>
                            <w:spacing w:val="-4"/>
                            <w:sz w:val="21"/>
                          </w:rPr>
                          <w:t xml:space="preserve"> </w:t>
                        </w:r>
                        <w:r>
                          <w:rPr>
                            <w:sz w:val="21"/>
                          </w:rPr>
                          <w:t>31962</w:t>
                        </w:r>
                        <w:r>
                          <w:rPr>
                            <w:spacing w:val="3"/>
                            <w:sz w:val="21"/>
                          </w:rPr>
                          <w:t xml:space="preserve"> 污水排入城镇下水道水质标准</w:t>
                        </w:r>
                      </w:p>
                    </w:tc>
                  </w:tr>
                  <w:tr>
                    <w:tblPrEx>
                      <w:tblW w:w="0" w:type="auto"/>
                      <w:jc w:val="left"/>
                      <w:tblInd w:w="7" w:type="dxa"/>
                      <w:tblLayout w:type="fixed"/>
                      <w:tblCellMar>
                        <w:top w:w="0" w:type="dxa"/>
                        <w:left w:w="0" w:type="dxa"/>
                        <w:bottom w:w="0" w:type="dxa"/>
                        <w:right w:w="0" w:type="dxa"/>
                      </w:tblCellMar>
                      <w:tblLook w:val="01E0"/>
                    </w:tblPrEx>
                    <w:trPr>
                      <w:trHeight w:val="312"/>
                      <w:jc w:val="left"/>
                    </w:trPr>
                    <w:tc>
                      <w:tcPr>
                        <w:tcW w:w="522" w:type="dxa"/>
                      </w:tcPr>
                      <w:p>
                        <w:pPr>
                          <w:pStyle w:val="TableParagraph"/>
                          <w:spacing w:before="21"/>
                          <w:ind w:left="30" w:right="30"/>
                          <w:jc w:val="center"/>
                          <w:rPr>
                            <w:sz w:val="21"/>
                          </w:rPr>
                        </w:pPr>
                        <w:r>
                          <w:rPr>
                            <w:sz w:val="21"/>
                          </w:rPr>
                          <w:t>GB/T</w:t>
                        </w:r>
                      </w:p>
                    </w:tc>
                    <w:tc>
                      <w:tcPr>
                        <w:tcW w:w="680" w:type="dxa"/>
                      </w:tcPr>
                      <w:p>
                        <w:pPr>
                          <w:pStyle w:val="TableParagraph"/>
                          <w:spacing w:before="21"/>
                          <w:ind w:left="31" w:right="77"/>
                          <w:jc w:val="center"/>
                          <w:rPr>
                            <w:sz w:val="21"/>
                          </w:rPr>
                        </w:pPr>
                        <w:r>
                          <w:rPr>
                            <w:sz w:val="21"/>
                          </w:rPr>
                          <w:t>39002</w:t>
                        </w:r>
                      </w:p>
                    </w:tc>
                    <w:tc>
                      <w:tcPr>
                        <w:tcW w:w="2886" w:type="dxa"/>
                      </w:tcPr>
                      <w:p>
                        <w:pPr>
                          <w:pStyle w:val="TableParagraph"/>
                          <w:spacing w:before="21"/>
                          <w:ind w:left="107"/>
                          <w:rPr>
                            <w:sz w:val="21"/>
                          </w:rPr>
                        </w:pPr>
                        <w:r>
                          <w:rPr>
                            <w:sz w:val="21"/>
                          </w:rPr>
                          <w:t>餐饮分餐制服务指南</w:t>
                        </w:r>
                      </w:p>
                    </w:tc>
                  </w:tr>
                  <w:tr>
                    <w:tblPrEx>
                      <w:tblW w:w="0" w:type="auto"/>
                      <w:jc w:val="left"/>
                      <w:tblInd w:w="7" w:type="dxa"/>
                      <w:tblLayout w:type="fixed"/>
                      <w:tblCellMar>
                        <w:top w:w="0" w:type="dxa"/>
                        <w:left w:w="0" w:type="dxa"/>
                        <w:bottom w:w="0" w:type="dxa"/>
                        <w:right w:w="0" w:type="dxa"/>
                      </w:tblCellMar>
                      <w:tblLook w:val="01E0"/>
                    </w:tblPrEx>
                    <w:trPr>
                      <w:trHeight w:val="311"/>
                      <w:jc w:val="left"/>
                    </w:trPr>
                    <w:tc>
                      <w:tcPr>
                        <w:tcW w:w="522" w:type="dxa"/>
                      </w:tcPr>
                      <w:p>
                        <w:pPr>
                          <w:pStyle w:val="TableParagraph"/>
                          <w:spacing w:before="21"/>
                          <w:ind w:left="30" w:right="30"/>
                          <w:jc w:val="center"/>
                          <w:rPr>
                            <w:sz w:val="21"/>
                          </w:rPr>
                        </w:pPr>
                        <w:r>
                          <w:rPr>
                            <w:sz w:val="21"/>
                          </w:rPr>
                          <w:t>SB/T</w:t>
                        </w:r>
                      </w:p>
                    </w:tc>
                    <w:tc>
                      <w:tcPr>
                        <w:tcW w:w="680" w:type="dxa"/>
                      </w:tcPr>
                      <w:p>
                        <w:pPr>
                          <w:pStyle w:val="TableParagraph"/>
                          <w:spacing w:before="21"/>
                          <w:ind w:left="31" w:right="77"/>
                          <w:jc w:val="center"/>
                          <w:rPr>
                            <w:sz w:val="21"/>
                          </w:rPr>
                        </w:pPr>
                        <w:r>
                          <w:rPr>
                            <w:sz w:val="21"/>
                          </w:rPr>
                          <w:t>10580</w:t>
                        </w:r>
                      </w:p>
                    </w:tc>
                    <w:tc>
                      <w:tcPr>
                        <w:tcW w:w="2886" w:type="dxa"/>
                      </w:tcPr>
                      <w:p>
                        <w:pPr>
                          <w:pStyle w:val="TableParagraph"/>
                          <w:spacing w:before="21"/>
                          <w:ind w:left="107"/>
                          <w:rPr>
                            <w:sz w:val="21"/>
                          </w:rPr>
                        </w:pPr>
                        <w:r>
                          <w:rPr>
                            <w:sz w:val="21"/>
                          </w:rPr>
                          <w:t>餐饮业现场管理规范</w:t>
                        </w:r>
                      </w:p>
                    </w:tc>
                  </w:tr>
                  <w:tr>
                    <w:tblPrEx>
                      <w:tblW w:w="0" w:type="auto"/>
                      <w:jc w:val="left"/>
                      <w:tblInd w:w="7" w:type="dxa"/>
                      <w:tblLayout w:type="fixed"/>
                      <w:tblCellMar>
                        <w:top w:w="0" w:type="dxa"/>
                        <w:left w:w="0" w:type="dxa"/>
                        <w:bottom w:w="0" w:type="dxa"/>
                        <w:right w:w="0" w:type="dxa"/>
                      </w:tblCellMar>
                      <w:tblLook w:val="01E0"/>
                    </w:tblPrEx>
                    <w:trPr>
                      <w:trHeight w:val="311"/>
                      <w:jc w:val="left"/>
                    </w:trPr>
                    <w:tc>
                      <w:tcPr>
                        <w:tcW w:w="522" w:type="dxa"/>
                      </w:tcPr>
                      <w:p>
                        <w:pPr>
                          <w:pStyle w:val="TableParagraph"/>
                          <w:spacing w:before="21"/>
                          <w:ind w:left="30" w:right="30"/>
                          <w:jc w:val="center"/>
                          <w:rPr>
                            <w:sz w:val="21"/>
                          </w:rPr>
                        </w:pPr>
                        <w:r>
                          <w:rPr>
                            <w:sz w:val="21"/>
                          </w:rPr>
                          <w:t>SB/T</w:t>
                        </w:r>
                      </w:p>
                    </w:tc>
                    <w:tc>
                      <w:tcPr>
                        <w:tcW w:w="680" w:type="dxa"/>
                      </w:tcPr>
                      <w:p>
                        <w:pPr>
                          <w:pStyle w:val="TableParagraph"/>
                          <w:spacing w:before="21"/>
                          <w:ind w:left="31" w:right="77"/>
                          <w:jc w:val="center"/>
                          <w:rPr>
                            <w:sz w:val="21"/>
                          </w:rPr>
                        </w:pPr>
                        <w:r>
                          <w:rPr>
                            <w:sz w:val="21"/>
                          </w:rPr>
                          <w:t>11070</w:t>
                        </w:r>
                      </w:p>
                    </w:tc>
                    <w:tc>
                      <w:tcPr>
                        <w:tcW w:w="2886" w:type="dxa"/>
                      </w:tcPr>
                      <w:p>
                        <w:pPr>
                          <w:pStyle w:val="TableParagraph"/>
                          <w:spacing w:before="21"/>
                          <w:ind w:left="107"/>
                          <w:rPr>
                            <w:sz w:val="21"/>
                          </w:rPr>
                        </w:pPr>
                        <w:r>
                          <w:rPr>
                            <w:sz w:val="21"/>
                          </w:rPr>
                          <w:t>餐饮食品打包服务管理要求</w:t>
                        </w:r>
                      </w:p>
                    </w:tc>
                  </w:tr>
                  <w:tr>
                    <w:tblPrEx>
                      <w:tblW w:w="0" w:type="auto"/>
                      <w:jc w:val="left"/>
                      <w:tblInd w:w="7" w:type="dxa"/>
                      <w:tblLayout w:type="fixed"/>
                      <w:tblCellMar>
                        <w:top w:w="0" w:type="dxa"/>
                        <w:left w:w="0" w:type="dxa"/>
                        <w:bottom w:w="0" w:type="dxa"/>
                        <w:right w:w="0" w:type="dxa"/>
                      </w:tblCellMar>
                      <w:tblLook w:val="01E0"/>
                    </w:tblPrEx>
                    <w:trPr>
                      <w:trHeight w:val="260"/>
                      <w:jc w:val="left"/>
                    </w:trPr>
                    <w:tc>
                      <w:tcPr>
                        <w:tcW w:w="522" w:type="dxa"/>
                      </w:tcPr>
                      <w:p>
                        <w:pPr>
                          <w:pStyle w:val="TableParagraph"/>
                          <w:spacing w:before="21" w:line="219" w:lineRule="exact"/>
                          <w:ind w:left="30" w:right="30"/>
                          <w:jc w:val="center"/>
                          <w:rPr>
                            <w:sz w:val="21"/>
                          </w:rPr>
                        </w:pPr>
                        <w:r>
                          <w:rPr>
                            <w:sz w:val="21"/>
                          </w:rPr>
                          <w:t>SB/T</w:t>
                        </w:r>
                      </w:p>
                    </w:tc>
                    <w:tc>
                      <w:tcPr>
                        <w:tcW w:w="680" w:type="dxa"/>
                      </w:tcPr>
                      <w:p>
                        <w:pPr>
                          <w:pStyle w:val="TableParagraph"/>
                          <w:spacing w:before="21" w:line="219" w:lineRule="exact"/>
                          <w:ind w:left="31" w:right="77"/>
                          <w:jc w:val="center"/>
                          <w:rPr>
                            <w:sz w:val="21"/>
                          </w:rPr>
                        </w:pPr>
                        <w:r>
                          <w:rPr>
                            <w:sz w:val="21"/>
                          </w:rPr>
                          <w:t>11168</w:t>
                        </w:r>
                      </w:p>
                    </w:tc>
                    <w:tc>
                      <w:tcPr>
                        <w:tcW w:w="2886" w:type="dxa"/>
                      </w:tcPr>
                      <w:p>
                        <w:pPr>
                          <w:pStyle w:val="TableParagraph"/>
                          <w:spacing w:before="21" w:line="219" w:lineRule="exact"/>
                          <w:ind w:left="107"/>
                          <w:rPr>
                            <w:sz w:val="21"/>
                          </w:rPr>
                        </w:pPr>
                        <w:r>
                          <w:rPr>
                            <w:sz w:val="21"/>
                          </w:rPr>
                          <w:t>餐饮烹炸操作规范</w:t>
                        </w:r>
                      </w:p>
                    </w:tc>
                  </w:tr>
                </w:tbl>
                <w:p>
                  <w:pPr>
                    <w:pStyle w:val="BodyText"/>
                  </w:pPr>
                </w:p>
              </w:txbxContent>
            </v:textbox>
          </v:shape>
        </w:pict>
      </w:r>
      <w:r>
        <w:t>GB 18483 油烟污染物排放标准/饮食业油烟排放标准</w:t>
      </w:r>
    </w:p>
    <w:p>
      <w:pPr>
        <w:pStyle w:val="BodyText"/>
        <w:rPr>
          <w:sz w:val="20"/>
        </w:rPr>
      </w:pPr>
    </w:p>
    <w:p>
      <w:pPr>
        <w:pStyle w:val="BodyText"/>
        <w:rPr>
          <w:sz w:val="20"/>
        </w:rPr>
      </w:pPr>
    </w:p>
    <w:p>
      <w:pPr>
        <w:pStyle w:val="BodyText"/>
        <w:rPr>
          <w:sz w:val="20"/>
        </w:rPr>
      </w:pPr>
    </w:p>
    <w:p>
      <w:pPr>
        <w:pStyle w:val="BodyText"/>
        <w:spacing w:before="5"/>
        <w:rPr>
          <w:sz w:val="16"/>
        </w:rPr>
      </w:pPr>
    </w:p>
    <w:p>
      <w:pPr>
        <w:pStyle w:val="BodyText"/>
        <w:spacing w:before="1"/>
        <w:ind w:left="115" w:right="427"/>
        <w:jc w:val="center"/>
      </w:pPr>
      <w:r>
        <w:t>等级</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7"/>
        </w:numPr>
        <w:tabs>
          <w:tab w:val="left" w:pos="533"/>
        </w:tabs>
        <w:spacing w:before="128" w:after="0" w:line="240" w:lineRule="auto"/>
        <w:ind w:left="532" w:right="0" w:hanging="315"/>
        <w:jc w:val="left"/>
        <w:rPr>
          <w:rFonts w:ascii="黑体" w:eastAsia="黑体" w:hint="eastAsia"/>
          <w:sz w:val="21"/>
        </w:rPr>
      </w:pPr>
      <w:bookmarkStart w:id="3" w:name="3　术语和定义"/>
      <w:bookmarkEnd w:id="3"/>
      <w:r>
        <w:rPr>
          <w:rFonts w:ascii="黑体" w:eastAsia="黑体" w:hint="eastAsia"/>
          <w:sz w:val="21"/>
        </w:rPr>
        <w:t>术语和定义</w:t>
      </w:r>
    </w:p>
    <w:p>
      <w:pPr>
        <w:pStyle w:val="BodyText"/>
        <w:spacing w:before="3"/>
        <w:rPr>
          <w:rFonts w:ascii="黑体"/>
          <w:sz w:val="22"/>
        </w:rPr>
      </w:pPr>
    </w:p>
    <w:p>
      <w:pPr>
        <w:pStyle w:val="BodyText"/>
        <w:spacing w:before="70"/>
        <w:ind w:left="638"/>
      </w:pPr>
      <w:r>
        <w:t>下列术语和定义适用于本文件。</w:t>
      </w:r>
    </w:p>
    <w:p>
      <w:pPr>
        <w:pStyle w:val="BodyText"/>
        <w:spacing w:before="43"/>
        <w:ind w:left="218"/>
        <w:rPr>
          <w:rFonts w:ascii="黑体"/>
        </w:rPr>
      </w:pPr>
      <w:r>
        <w:rPr>
          <w:rFonts w:ascii="黑体"/>
        </w:rPr>
        <w:t>3.1</w:t>
      </w:r>
    </w:p>
    <w:p>
      <w:pPr>
        <w:pStyle w:val="BodyText"/>
        <w:spacing w:before="43"/>
        <w:ind w:left="638"/>
        <w:rPr>
          <w:rFonts w:ascii="黑体" w:eastAsia="黑体" w:hint="eastAsia"/>
        </w:rPr>
      </w:pPr>
      <w:r>
        <w:rPr>
          <w:rFonts w:ascii="黑体" w:eastAsia="黑体" w:hint="eastAsia"/>
        </w:rPr>
        <w:t>餐厅</w:t>
      </w:r>
    </w:p>
    <w:p>
      <w:pPr>
        <w:pStyle w:val="BodyText"/>
        <w:spacing w:before="43"/>
        <w:ind w:left="626"/>
      </w:pPr>
      <w:r>
        <w:t>向消费者提供饮食及相关服务的餐饮场所。</w:t>
      </w:r>
    </w:p>
    <w:p>
      <w:pPr>
        <w:pStyle w:val="BodyText"/>
        <w:spacing w:before="43"/>
        <w:ind w:left="218"/>
        <w:rPr>
          <w:rFonts w:ascii="黑体"/>
        </w:rPr>
      </w:pPr>
      <w:r>
        <w:rPr>
          <w:rFonts w:ascii="黑体"/>
        </w:rPr>
        <w:t>3.2</w:t>
      </w:r>
    </w:p>
    <w:p>
      <w:pPr>
        <w:pStyle w:val="BodyText"/>
        <w:spacing w:before="43"/>
        <w:ind w:left="638"/>
        <w:rPr>
          <w:rFonts w:ascii="黑体" w:eastAsia="黑体" w:hint="eastAsia"/>
        </w:rPr>
      </w:pPr>
      <w:r>
        <w:rPr>
          <w:rFonts w:ascii="黑体" w:eastAsia="黑体" w:hint="eastAsia"/>
        </w:rPr>
        <w:t>绿色餐厅</w:t>
      </w:r>
    </w:p>
    <w:p>
      <w:pPr>
        <w:spacing w:after="0"/>
        <w:rPr>
          <w:rFonts w:ascii="黑体" w:eastAsia="黑体" w:hint="eastAsia"/>
        </w:rPr>
        <w:sectPr>
          <w:headerReference w:type="default" r:id="rId10"/>
          <w:footerReference w:type="default" r:id="rId11"/>
          <w:pgSz w:w="11910" w:h="16840"/>
          <w:pgMar w:top="1640" w:right="720" w:bottom="1340" w:left="1200" w:header="1449" w:footer="1141"/>
          <w:pgNumType w:start="1"/>
          <w:cols w:space="708"/>
        </w:sectPr>
      </w:pPr>
    </w:p>
    <w:p>
      <w:pPr>
        <w:pStyle w:val="BodyText"/>
        <w:spacing w:before="3"/>
        <w:rPr>
          <w:rFonts w:ascii="黑体"/>
          <w:sz w:val="17"/>
        </w:rPr>
      </w:pPr>
      <w:r>
        <w:drawing>
          <wp:anchor distT="0" distB="0" distL="0" distR="0" simplePos="0" relativeHeight="251667456"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p>
    <w:p>
      <w:pPr>
        <w:pStyle w:val="BodyText"/>
        <w:spacing w:before="70" w:line="278" w:lineRule="auto"/>
        <w:ind w:left="218" w:right="405" w:firstLine="403"/>
        <w:jc w:val="both"/>
      </w:pPr>
      <w:r>
        <w:rPr>
          <w:spacing w:val="-9"/>
          <w:w w:val="95"/>
        </w:rPr>
        <w:t xml:space="preserve">在选址、设计装修和经营过程中，坚持以节约资源、保护环境、安全健康为理念，以科学的设计和有   </w:t>
      </w:r>
      <w:r>
        <w:rPr>
          <w:spacing w:val="-14"/>
          <w:w w:val="95"/>
        </w:rPr>
        <w:t xml:space="preserve">效的管理、技术措施为手段，以资源效率最大化、环境影响最小化为目标，为消费者提供安全、健康服务   </w:t>
      </w:r>
      <w:r>
        <w:rPr>
          <w:spacing w:val="-9"/>
        </w:rPr>
        <w:t>的餐厅。</w:t>
      </w:r>
    </w:p>
    <w:p>
      <w:pPr>
        <w:pStyle w:val="BodyText"/>
        <w:spacing w:line="269" w:lineRule="exact"/>
        <w:ind w:left="218"/>
        <w:rPr>
          <w:rFonts w:ascii="黑体"/>
        </w:rPr>
      </w:pPr>
      <w:r>
        <w:rPr>
          <w:rFonts w:ascii="黑体"/>
        </w:rPr>
        <w:t>3.3</w:t>
      </w:r>
    </w:p>
    <w:p>
      <w:pPr>
        <w:pStyle w:val="BodyText"/>
        <w:spacing w:before="43"/>
        <w:ind w:left="638"/>
        <w:rPr>
          <w:rFonts w:ascii="黑体" w:eastAsia="黑体" w:hint="eastAsia"/>
        </w:rPr>
      </w:pPr>
      <w:r>
        <w:rPr>
          <w:rFonts w:ascii="黑体" w:eastAsia="黑体" w:hint="eastAsia"/>
        </w:rPr>
        <w:t>绿色环境</w:t>
      </w:r>
    </w:p>
    <w:p>
      <w:pPr>
        <w:pStyle w:val="BodyText"/>
        <w:spacing w:before="43" w:line="278" w:lineRule="auto"/>
        <w:ind w:left="218" w:right="405" w:firstLine="386"/>
      </w:pPr>
      <w:r>
        <w:rPr>
          <w:spacing w:val="-18"/>
          <w:w w:val="95"/>
        </w:rPr>
        <w:t xml:space="preserve">将节约资源、保护环境的因素纳入餐厅设计环节之中，帮助确定设计的决策方向，减少资源消耗和对环   </w:t>
      </w:r>
      <w:r>
        <w:rPr>
          <w:spacing w:val="-8"/>
        </w:rPr>
        <w:t>境影响的餐厅环境。</w:t>
      </w:r>
    </w:p>
    <w:p>
      <w:pPr>
        <w:pStyle w:val="BodyText"/>
        <w:spacing w:line="269" w:lineRule="exact"/>
        <w:ind w:left="218"/>
        <w:rPr>
          <w:rFonts w:ascii="黑体"/>
        </w:rPr>
      </w:pPr>
      <w:r>
        <w:rPr>
          <w:rFonts w:ascii="黑体"/>
        </w:rPr>
        <w:t>3.4</w:t>
      </w:r>
    </w:p>
    <w:p>
      <w:pPr>
        <w:pStyle w:val="BodyText"/>
        <w:spacing w:before="43"/>
        <w:ind w:left="638"/>
        <w:rPr>
          <w:rFonts w:ascii="黑体" w:eastAsia="黑体" w:hint="eastAsia"/>
        </w:rPr>
      </w:pPr>
      <w:r>
        <w:rPr>
          <w:rFonts w:ascii="黑体" w:eastAsia="黑体" w:hint="eastAsia"/>
        </w:rPr>
        <w:t>绿色服务</w:t>
      </w:r>
    </w:p>
    <w:p>
      <w:pPr>
        <w:pStyle w:val="BodyText"/>
        <w:spacing w:before="43"/>
        <w:ind w:left="626"/>
      </w:pPr>
      <w:r>
        <w:t>有利于保护生态环境，节约资源和能源，无污、无害、无毒的、有益于人类健康的服务。</w:t>
      </w:r>
    </w:p>
    <w:p>
      <w:pPr>
        <w:pStyle w:val="BodyText"/>
        <w:spacing w:before="43"/>
        <w:ind w:left="218"/>
        <w:rPr>
          <w:rFonts w:ascii="黑体"/>
        </w:rPr>
      </w:pPr>
      <w:r>
        <w:rPr>
          <w:rFonts w:ascii="黑体"/>
        </w:rPr>
        <w:t>3.5</w:t>
      </w:r>
    </w:p>
    <w:p>
      <w:pPr>
        <w:pStyle w:val="BodyText"/>
        <w:spacing w:before="43"/>
        <w:ind w:left="638"/>
        <w:rPr>
          <w:rFonts w:ascii="黑体" w:eastAsia="黑体" w:hint="eastAsia"/>
        </w:rPr>
      </w:pPr>
      <w:r>
        <w:rPr>
          <w:rFonts w:ascii="黑体" w:eastAsia="黑体" w:hint="eastAsia"/>
        </w:rPr>
        <w:t>绿色消费</w:t>
      </w:r>
    </w:p>
    <w:p>
      <w:pPr>
        <w:pStyle w:val="BodyText"/>
        <w:spacing w:before="42"/>
        <w:ind w:left="638"/>
      </w:pPr>
      <w:r>
        <w:rPr>
          <w:color w:val="333333"/>
        </w:rPr>
        <w:t>提倡勤俭节约，适度节制消费，避免或减少对环境的破坏，崇尚自然和保护生态的消费行为和消费</w:t>
      </w:r>
    </w:p>
    <w:p>
      <w:pPr>
        <w:pStyle w:val="BodyText"/>
        <w:spacing w:before="43"/>
        <w:ind w:left="218"/>
      </w:pPr>
      <w:r>
        <w:rPr>
          <w:color w:val="333333"/>
        </w:rPr>
        <w:t>方式。</w:t>
      </w:r>
    </w:p>
    <w:p>
      <w:pPr>
        <w:pStyle w:val="BodyText"/>
        <w:spacing w:before="9"/>
        <w:rPr>
          <w:sz w:val="27"/>
        </w:rPr>
      </w:pPr>
    </w:p>
    <w:p>
      <w:pPr>
        <w:pStyle w:val="ListParagraph"/>
        <w:numPr>
          <w:ilvl w:val="0"/>
          <w:numId w:val="5"/>
        </w:numPr>
        <w:tabs>
          <w:tab w:val="left" w:pos="533"/>
        </w:tabs>
        <w:spacing w:before="0" w:after="0" w:line="240" w:lineRule="auto"/>
        <w:ind w:left="532" w:right="0" w:hanging="315"/>
        <w:jc w:val="left"/>
        <w:rPr>
          <w:rFonts w:ascii="黑体" w:eastAsia="黑体" w:hint="eastAsia"/>
          <w:sz w:val="21"/>
        </w:rPr>
      </w:pPr>
      <w:bookmarkStart w:id="4" w:name="4　基本要求"/>
      <w:bookmarkEnd w:id="4"/>
      <w:r>
        <w:rPr>
          <w:rFonts w:ascii="黑体" w:eastAsia="黑体" w:hint="eastAsia"/>
          <w:sz w:val="21"/>
        </w:rPr>
        <w:t>基本要求</w:t>
      </w:r>
    </w:p>
    <w:p>
      <w:pPr>
        <w:pStyle w:val="BodyText"/>
        <w:spacing w:before="9"/>
        <w:rPr>
          <w:rFonts w:ascii="黑体"/>
          <w:sz w:val="27"/>
        </w:rPr>
      </w:pPr>
    </w:p>
    <w:p>
      <w:pPr>
        <w:pStyle w:val="ListParagraph"/>
        <w:numPr>
          <w:ilvl w:val="1"/>
          <w:numId w:val="5"/>
        </w:numPr>
        <w:tabs>
          <w:tab w:val="left" w:pos="744"/>
        </w:tabs>
        <w:spacing w:before="0" w:after="0" w:line="240" w:lineRule="auto"/>
        <w:ind w:left="744" w:right="0" w:hanging="526"/>
        <w:jc w:val="left"/>
        <w:rPr>
          <w:rFonts w:ascii="黑体" w:eastAsia="黑体" w:hint="eastAsia"/>
          <w:sz w:val="21"/>
        </w:rPr>
      </w:pPr>
      <w:bookmarkStart w:id="5" w:name="4.1　基本条件"/>
      <w:bookmarkEnd w:id="5"/>
      <w:r>
        <w:rPr>
          <w:rFonts w:ascii="黑体" w:eastAsia="黑体" w:hint="eastAsia"/>
          <w:sz w:val="21"/>
        </w:rPr>
        <w:t>基本条件</w:t>
      </w:r>
    </w:p>
    <w:p>
      <w:pPr>
        <w:pStyle w:val="BodyText"/>
        <w:spacing w:before="7"/>
        <w:rPr>
          <w:rFonts w:ascii="黑体"/>
          <w:sz w:val="15"/>
        </w:rPr>
      </w:pPr>
    </w:p>
    <w:p>
      <w:pPr>
        <w:pStyle w:val="ListParagraph"/>
        <w:numPr>
          <w:ilvl w:val="2"/>
          <w:numId w:val="5"/>
        </w:numPr>
        <w:tabs>
          <w:tab w:val="left" w:pos="939"/>
        </w:tabs>
        <w:spacing w:before="0" w:after="0" w:line="278" w:lineRule="auto"/>
        <w:ind w:left="218" w:right="412" w:firstLine="0"/>
        <w:jc w:val="left"/>
        <w:rPr>
          <w:sz w:val="21"/>
        </w:rPr>
      </w:pPr>
      <w:r>
        <w:rPr>
          <w:sz w:val="21"/>
        </w:rPr>
        <w:t>严格遵守相关卫生、防疫、安全、节能、环保、规划等法律、法规和标准，手续齐备，各项证照齐全。</w:t>
      </w:r>
    </w:p>
    <w:p>
      <w:pPr>
        <w:pStyle w:val="ListParagraph"/>
        <w:numPr>
          <w:ilvl w:val="2"/>
          <w:numId w:val="5"/>
        </w:numPr>
        <w:tabs>
          <w:tab w:val="left" w:pos="939"/>
        </w:tabs>
        <w:spacing w:before="0" w:after="0" w:line="269" w:lineRule="exact"/>
        <w:ind w:left="938" w:right="0" w:hanging="721"/>
        <w:jc w:val="left"/>
        <w:rPr>
          <w:sz w:val="21"/>
        </w:rPr>
      </w:pPr>
      <w:r>
        <w:rPr>
          <w:sz w:val="21"/>
        </w:rPr>
        <w:t>近三年内无食品安全事故、环境污染超标事故和安全生产事故。</w:t>
      </w:r>
    </w:p>
    <w:p>
      <w:pPr>
        <w:pStyle w:val="ListParagraph"/>
        <w:numPr>
          <w:ilvl w:val="2"/>
          <w:numId w:val="5"/>
        </w:numPr>
        <w:tabs>
          <w:tab w:val="left" w:pos="939"/>
        </w:tabs>
        <w:spacing w:before="43" w:after="0" w:line="240" w:lineRule="auto"/>
        <w:ind w:left="938" w:right="0" w:hanging="721"/>
        <w:jc w:val="left"/>
        <w:rPr>
          <w:sz w:val="21"/>
        </w:rPr>
      </w:pPr>
      <w:r>
        <w:rPr>
          <w:spacing w:val="-3"/>
          <w:sz w:val="21"/>
        </w:rPr>
        <w:t>餐饮经营主体所有参与食品采购、加工、制作人员需全部持有效的健康证。</w:t>
      </w:r>
    </w:p>
    <w:p>
      <w:pPr>
        <w:pStyle w:val="ListParagraph"/>
        <w:numPr>
          <w:ilvl w:val="2"/>
          <w:numId w:val="5"/>
        </w:numPr>
        <w:tabs>
          <w:tab w:val="left" w:pos="939"/>
        </w:tabs>
        <w:spacing w:before="43" w:after="0" w:line="240" w:lineRule="auto"/>
        <w:ind w:left="938" w:right="0" w:hanging="721"/>
        <w:jc w:val="left"/>
        <w:rPr>
          <w:sz w:val="21"/>
        </w:rPr>
      </w:pPr>
      <w:r>
        <w:rPr>
          <w:sz w:val="21"/>
        </w:rPr>
        <w:t>无违反《中华人民共和国反食品浪费法》行为。</w:t>
      </w:r>
    </w:p>
    <w:p>
      <w:pPr>
        <w:pStyle w:val="ListParagraph"/>
        <w:numPr>
          <w:ilvl w:val="2"/>
          <w:numId w:val="5"/>
        </w:numPr>
        <w:tabs>
          <w:tab w:val="left" w:pos="939"/>
        </w:tabs>
        <w:spacing w:before="43" w:after="0" w:line="240" w:lineRule="auto"/>
        <w:ind w:left="938" w:right="0" w:hanging="721"/>
        <w:jc w:val="left"/>
        <w:rPr>
          <w:sz w:val="21"/>
        </w:rPr>
      </w:pPr>
      <w:r>
        <w:rPr>
          <w:sz w:val="21"/>
        </w:rPr>
        <w:t>餐饮经营主体投入运营三年以上。</w:t>
      </w:r>
    </w:p>
    <w:p>
      <w:pPr>
        <w:pStyle w:val="ListParagraph"/>
        <w:numPr>
          <w:ilvl w:val="2"/>
          <w:numId w:val="5"/>
        </w:numPr>
        <w:tabs>
          <w:tab w:val="left" w:pos="939"/>
        </w:tabs>
        <w:spacing w:before="43" w:after="0" w:line="278" w:lineRule="auto"/>
        <w:ind w:left="218" w:right="308" w:firstLine="0"/>
        <w:jc w:val="left"/>
        <w:rPr>
          <w:sz w:val="21"/>
        </w:rPr>
      </w:pPr>
      <w:r>
        <w:rPr>
          <w:spacing w:val="-4"/>
          <w:w w:val="95"/>
          <w:sz w:val="21"/>
        </w:rPr>
        <w:t xml:space="preserve">定期对人员开展绿色餐厅相关知识的教育和培训，包括节能节水、环境保护技术及管理，消防、   </w:t>
      </w:r>
      <w:r>
        <w:rPr>
          <w:spacing w:val="-4"/>
          <w:sz w:val="21"/>
        </w:rPr>
        <w:t>燃气等安全培训，职业安全教育和食品安全教育。</w:t>
      </w:r>
    </w:p>
    <w:p>
      <w:pPr>
        <w:pStyle w:val="ListParagraph"/>
        <w:numPr>
          <w:ilvl w:val="1"/>
          <w:numId w:val="5"/>
        </w:numPr>
        <w:tabs>
          <w:tab w:val="left" w:pos="744"/>
        </w:tabs>
        <w:spacing w:before="156" w:after="0" w:line="240" w:lineRule="auto"/>
        <w:ind w:left="744" w:right="0" w:hanging="526"/>
        <w:jc w:val="left"/>
        <w:rPr>
          <w:rFonts w:ascii="黑体" w:eastAsia="黑体" w:hint="eastAsia"/>
          <w:sz w:val="21"/>
        </w:rPr>
      </w:pPr>
      <w:bookmarkStart w:id="6" w:name="4.2　经营理念"/>
      <w:bookmarkEnd w:id="6"/>
      <w:r>
        <w:rPr>
          <w:rFonts w:ascii="黑体" w:eastAsia="黑体" w:hint="eastAsia"/>
          <w:sz w:val="21"/>
        </w:rPr>
        <w:t>经营理念</w:t>
      </w:r>
    </w:p>
    <w:p>
      <w:pPr>
        <w:pStyle w:val="BodyText"/>
        <w:spacing w:before="6"/>
        <w:rPr>
          <w:rFonts w:ascii="黑体"/>
          <w:sz w:val="15"/>
        </w:rPr>
      </w:pPr>
    </w:p>
    <w:p>
      <w:pPr>
        <w:pStyle w:val="ListParagraph"/>
        <w:numPr>
          <w:ilvl w:val="2"/>
          <w:numId w:val="5"/>
        </w:numPr>
        <w:tabs>
          <w:tab w:val="left" w:pos="953"/>
        </w:tabs>
        <w:spacing w:before="0" w:after="0" w:line="278" w:lineRule="auto"/>
        <w:ind w:left="218" w:right="415" w:firstLine="0"/>
        <w:jc w:val="both"/>
        <w:rPr>
          <w:sz w:val="21"/>
        </w:rPr>
      </w:pPr>
      <w:r>
        <w:rPr>
          <w:sz w:val="21"/>
        </w:rPr>
        <w:t>应将“节约、环保、安全、健康、营养、低碳”的绿色餐厅理念与经营理念相融合，并在经营战略、愿景、使命和价值观中有所体现。</w:t>
      </w:r>
    </w:p>
    <w:p>
      <w:pPr>
        <w:pStyle w:val="ListParagraph"/>
        <w:numPr>
          <w:ilvl w:val="2"/>
          <w:numId w:val="5"/>
        </w:numPr>
        <w:tabs>
          <w:tab w:val="left" w:pos="953"/>
        </w:tabs>
        <w:spacing w:before="0" w:after="0" w:line="278" w:lineRule="auto"/>
        <w:ind w:left="218" w:right="412" w:firstLine="0"/>
        <w:jc w:val="both"/>
        <w:rPr>
          <w:sz w:val="21"/>
        </w:rPr>
      </w:pPr>
      <w:r>
        <w:rPr>
          <w:sz w:val="21"/>
        </w:rPr>
        <w:t>应通过微信群、公众号等收集内部员工或消费者提出的绿色建议，及时将有价值的建议付诸实施，营造绿色消费环境氛围。</w:t>
      </w:r>
    </w:p>
    <w:p>
      <w:pPr>
        <w:pStyle w:val="ListParagraph"/>
        <w:numPr>
          <w:ilvl w:val="2"/>
          <w:numId w:val="5"/>
        </w:numPr>
        <w:tabs>
          <w:tab w:val="left" w:pos="953"/>
        </w:tabs>
        <w:spacing w:before="0" w:after="0" w:line="278" w:lineRule="auto"/>
        <w:ind w:left="218" w:right="412" w:firstLine="0"/>
        <w:jc w:val="both"/>
        <w:rPr>
          <w:sz w:val="21"/>
        </w:rPr>
      </w:pPr>
      <w:r>
        <w:rPr>
          <w:sz w:val="21"/>
        </w:rPr>
        <w:t>应建立一整套符合绿色餐饮要求的管理体系，应设置专人负责绿色餐厅管理工作，制定绿色工</w:t>
      </w:r>
      <w:r>
        <w:rPr>
          <w:spacing w:val="-9"/>
          <w:w w:val="95"/>
          <w:sz w:val="21"/>
        </w:rPr>
        <w:t xml:space="preserve">作计划，明确目标和措施，定期开展以食品安全、绿色餐饮、安全生产为主要内容的培训，将绿色餐厅   </w:t>
      </w:r>
      <w:r>
        <w:rPr>
          <w:spacing w:val="-9"/>
          <w:sz w:val="21"/>
        </w:rPr>
        <w:t>相关要求的执行情况，纳入绩效考核的内容。</w:t>
      </w:r>
    </w:p>
    <w:p>
      <w:pPr>
        <w:pStyle w:val="BodyText"/>
        <w:spacing w:before="4"/>
        <w:rPr>
          <w:sz w:val="24"/>
        </w:rPr>
      </w:pPr>
    </w:p>
    <w:p>
      <w:pPr>
        <w:pStyle w:val="ListParagraph"/>
        <w:numPr>
          <w:ilvl w:val="0"/>
          <w:numId w:val="5"/>
        </w:numPr>
        <w:tabs>
          <w:tab w:val="left" w:pos="533"/>
        </w:tabs>
        <w:spacing w:before="0" w:after="0" w:line="240" w:lineRule="auto"/>
        <w:ind w:left="532" w:right="0" w:hanging="315"/>
        <w:jc w:val="left"/>
        <w:rPr>
          <w:rFonts w:ascii="黑体" w:eastAsia="黑体" w:hint="eastAsia"/>
          <w:sz w:val="21"/>
        </w:rPr>
      </w:pPr>
      <w:bookmarkStart w:id="7" w:name="5　创建要求"/>
      <w:bookmarkEnd w:id="7"/>
      <w:r>
        <w:rPr>
          <w:rFonts w:ascii="黑体" w:eastAsia="黑体" w:hint="eastAsia"/>
          <w:sz w:val="21"/>
        </w:rPr>
        <w:t>创建要求</w:t>
      </w:r>
    </w:p>
    <w:p>
      <w:pPr>
        <w:pStyle w:val="BodyText"/>
        <w:spacing w:before="9"/>
        <w:rPr>
          <w:rFonts w:ascii="黑体"/>
          <w:sz w:val="27"/>
        </w:rPr>
      </w:pPr>
    </w:p>
    <w:p>
      <w:pPr>
        <w:pStyle w:val="ListParagraph"/>
        <w:numPr>
          <w:ilvl w:val="1"/>
          <w:numId w:val="5"/>
        </w:numPr>
        <w:tabs>
          <w:tab w:val="left" w:pos="744"/>
        </w:tabs>
        <w:spacing w:before="0" w:after="0" w:line="240" w:lineRule="auto"/>
        <w:ind w:left="744" w:right="0" w:hanging="526"/>
        <w:jc w:val="left"/>
        <w:rPr>
          <w:rFonts w:ascii="黑体" w:eastAsia="黑体" w:hint="eastAsia"/>
          <w:sz w:val="21"/>
        </w:rPr>
      </w:pPr>
      <w:bookmarkStart w:id="8" w:name="5.1　绿色环境"/>
      <w:bookmarkEnd w:id="8"/>
      <w:r>
        <w:rPr>
          <w:rFonts w:ascii="黑体" w:eastAsia="黑体" w:hint="eastAsia"/>
          <w:sz w:val="21"/>
        </w:rPr>
        <w:t>绿色环境</w:t>
      </w:r>
    </w:p>
    <w:p>
      <w:pPr>
        <w:pStyle w:val="BodyText"/>
        <w:spacing w:before="7"/>
        <w:rPr>
          <w:rFonts w:ascii="黑体"/>
          <w:sz w:val="15"/>
        </w:rPr>
      </w:pPr>
    </w:p>
    <w:p>
      <w:pPr>
        <w:pStyle w:val="ListParagraph"/>
        <w:numPr>
          <w:ilvl w:val="2"/>
          <w:numId w:val="5"/>
        </w:numPr>
        <w:tabs>
          <w:tab w:val="left" w:pos="953"/>
        </w:tabs>
        <w:spacing w:before="0" w:after="0" w:line="240" w:lineRule="auto"/>
        <w:ind w:left="952" w:right="0" w:hanging="735"/>
        <w:jc w:val="left"/>
        <w:rPr>
          <w:rFonts w:ascii="黑体" w:eastAsia="黑体" w:hint="eastAsia"/>
          <w:sz w:val="21"/>
        </w:rPr>
      </w:pPr>
      <w:bookmarkStart w:id="9" w:name="5.1.1　环境设计"/>
      <w:bookmarkEnd w:id="9"/>
      <w:r>
        <w:rPr>
          <w:rFonts w:ascii="黑体" w:eastAsia="黑体" w:hint="eastAsia"/>
          <w:sz w:val="21"/>
        </w:rPr>
        <w:t>环境设计</w:t>
      </w:r>
    </w:p>
    <w:p>
      <w:pPr>
        <w:pStyle w:val="BodyText"/>
        <w:spacing w:before="6"/>
        <w:rPr>
          <w:rFonts w:ascii="黑体"/>
          <w:sz w:val="15"/>
        </w:rPr>
      </w:pPr>
    </w:p>
    <w:p>
      <w:pPr>
        <w:pStyle w:val="ListParagraph"/>
        <w:numPr>
          <w:ilvl w:val="3"/>
          <w:numId w:val="5"/>
        </w:numPr>
        <w:tabs>
          <w:tab w:val="left" w:pos="1164"/>
        </w:tabs>
        <w:spacing w:before="1" w:after="0" w:line="240" w:lineRule="auto"/>
        <w:ind w:left="1164" w:right="0" w:hanging="946"/>
        <w:jc w:val="left"/>
        <w:rPr>
          <w:sz w:val="21"/>
        </w:rPr>
      </w:pPr>
      <w:r>
        <w:rPr>
          <w:sz w:val="21"/>
        </w:rPr>
        <w:t>选址应在无自然灾害威胁、交通便利，远离高辐射、高污染、强噪音的地区。</w:t>
      </w:r>
    </w:p>
    <w:p>
      <w:pPr>
        <w:spacing w:after="0" w:line="240" w:lineRule="auto"/>
        <w:jc w:val="left"/>
        <w:rPr>
          <w:sz w:val="21"/>
        </w:rPr>
        <w:sectPr>
          <w:headerReference w:type="default" r:id="rId12"/>
          <w:footerReference w:type="default" r:id="rId13"/>
          <w:pgSz w:w="11910" w:h="16840"/>
          <w:pgMar w:top="1640" w:right="720" w:bottom="1340" w:left="1200" w:header="1449" w:footer="1141"/>
          <w:pgNumType w:start="2"/>
          <w:cols w:space="708"/>
        </w:sectPr>
      </w:pPr>
    </w:p>
    <w:p>
      <w:pPr>
        <w:pStyle w:val="BodyText"/>
        <w:spacing w:before="3"/>
        <w:rPr>
          <w:sz w:val="17"/>
        </w:rPr>
      </w:pPr>
      <w:r>
        <w:drawing>
          <wp:anchor distT="0" distB="0" distL="0" distR="0" simplePos="0" relativeHeight="251668480"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p>
    <w:p>
      <w:pPr>
        <w:pStyle w:val="ListParagraph"/>
        <w:numPr>
          <w:ilvl w:val="3"/>
          <w:numId w:val="8"/>
        </w:numPr>
        <w:tabs>
          <w:tab w:val="left" w:pos="1164"/>
        </w:tabs>
        <w:spacing w:before="70" w:after="0" w:line="240" w:lineRule="auto"/>
        <w:ind w:left="1164" w:right="0" w:hanging="946"/>
        <w:jc w:val="both"/>
        <w:rPr>
          <w:sz w:val="21"/>
        </w:rPr>
      </w:pPr>
      <w:r>
        <w:rPr>
          <w:sz w:val="21"/>
        </w:rPr>
        <w:t>布局设计应当遵循当地自然资源、气候特点，不应有高耗能结构设计。</w:t>
      </w:r>
    </w:p>
    <w:p>
      <w:pPr>
        <w:pStyle w:val="ListParagraph"/>
        <w:numPr>
          <w:ilvl w:val="3"/>
          <w:numId w:val="8"/>
        </w:numPr>
        <w:tabs>
          <w:tab w:val="left" w:pos="1164"/>
        </w:tabs>
        <w:spacing w:before="43" w:after="0" w:line="240" w:lineRule="auto"/>
        <w:ind w:left="1164" w:right="0" w:hanging="946"/>
        <w:jc w:val="both"/>
        <w:rPr>
          <w:sz w:val="21"/>
        </w:rPr>
      </w:pPr>
      <w:r>
        <w:rPr>
          <w:spacing w:val="-10"/>
          <w:sz w:val="21"/>
        </w:rPr>
        <w:t>使用的建筑材料、装修材料中含有的甲醛等有害物质限量和放射性核素限量应符合国家标准。</w:t>
      </w:r>
    </w:p>
    <w:p>
      <w:pPr>
        <w:pStyle w:val="ListParagraph"/>
        <w:numPr>
          <w:ilvl w:val="3"/>
          <w:numId w:val="8"/>
        </w:numPr>
        <w:tabs>
          <w:tab w:val="left" w:pos="1164"/>
        </w:tabs>
        <w:spacing w:before="43" w:after="0" w:line="278" w:lineRule="auto"/>
        <w:ind w:left="218" w:right="412" w:firstLine="0"/>
        <w:jc w:val="both"/>
        <w:rPr>
          <w:sz w:val="21"/>
        </w:rPr>
      </w:pPr>
      <w:r>
        <w:rPr>
          <w:sz w:val="21"/>
        </w:rPr>
        <w:t>按照国家相关法律法规的规定配置防火设施、可燃气体探测器及燃气紧急切断阀等设备和器</w:t>
      </w:r>
      <w:r>
        <w:rPr>
          <w:spacing w:val="-11"/>
          <w:w w:val="95"/>
          <w:sz w:val="21"/>
        </w:rPr>
        <w:t xml:space="preserve">材。在安全出口、疏散通道、重点要害部位和人员密集区域设置应急照明灯。用电产品的安装及使用应   </w:t>
      </w:r>
      <w:r>
        <w:rPr>
          <w:spacing w:val="-26"/>
          <w:sz w:val="21"/>
        </w:rPr>
        <w:t xml:space="preserve">符合 </w:t>
      </w:r>
      <w:r>
        <w:rPr>
          <w:sz w:val="21"/>
        </w:rPr>
        <w:t>GB/T</w:t>
      </w:r>
      <w:r>
        <w:rPr>
          <w:spacing w:val="-1"/>
          <w:sz w:val="21"/>
        </w:rPr>
        <w:t xml:space="preserve"> </w:t>
      </w:r>
      <w:r>
        <w:rPr>
          <w:sz w:val="21"/>
        </w:rPr>
        <w:t>13869</w:t>
      </w:r>
      <w:r>
        <w:rPr>
          <w:spacing w:val="-12"/>
          <w:sz w:val="21"/>
        </w:rPr>
        <w:t xml:space="preserve"> 的规定。</w:t>
      </w:r>
    </w:p>
    <w:p>
      <w:pPr>
        <w:pStyle w:val="ListParagraph"/>
        <w:numPr>
          <w:ilvl w:val="3"/>
          <w:numId w:val="8"/>
        </w:numPr>
        <w:tabs>
          <w:tab w:val="left" w:pos="1164"/>
        </w:tabs>
        <w:spacing w:before="0" w:after="0" w:line="269" w:lineRule="exact"/>
        <w:ind w:left="1164" w:right="0" w:hanging="946"/>
        <w:jc w:val="both"/>
        <w:rPr>
          <w:sz w:val="21"/>
        </w:rPr>
      </w:pPr>
      <w:r>
        <w:rPr>
          <w:spacing w:val="-6"/>
          <w:sz w:val="21"/>
        </w:rPr>
        <w:t xml:space="preserve">室内空气质量应符合 </w:t>
      </w:r>
      <w:r>
        <w:rPr>
          <w:sz w:val="21"/>
        </w:rPr>
        <w:t>GB/T</w:t>
      </w:r>
      <w:r>
        <w:rPr>
          <w:spacing w:val="-1"/>
          <w:sz w:val="21"/>
        </w:rPr>
        <w:t xml:space="preserve"> </w:t>
      </w:r>
      <w:r>
        <w:rPr>
          <w:sz w:val="21"/>
        </w:rPr>
        <w:t>18883</w:t>
      </w:r>
      <w:r>
        <w:rPr>
          <w:spacing w:val="-8"/>
          <w:sz w:val="21"/>
        </w:rPr>
        <w:t xml:space="preserve"> 的要求；室内温度、湿度应适宜。</w:t>
      </w:r>
    </w:p>
    <w:p>
      <w:pPr>
        <w:pStyle w:val="BodyText"/>
        <w:spacing w:before="6"/>
        <w:rPr>
          <w:sz w:val="15"/>
        </w:rPr>
      </w:pPr>
    </w:p>
    <w:p>
      <w:pPr>
        <w:pStyle w:val="ListParagraph"/>
        <w:numPr>
          <w:ilvl w:val="2"/>
          <w:numId w:val="8"/>
        </w:numPr>
        <w:tabs>
          <w:tab w:val="left" w:pos="953"/>
        </w:tabs>
        <w:spacing w:before="1" w:after="0" w:line="240" w:lineRule="auto"/>
        <w:ind w:left="952" w:right="0" w:hanging="735"/>
        <w:jc w:val="left"/>
        <w:rPr>
          <w:rFonts w:ascii="黑体" w:eastAsia="黑体" w:hint="eastAsia"/>
          <w:sz w:val="21"/>
        </w:rPr>
      </w:pPr>
      <w:bookmarkStart w:id="10" w:name="5.1.2　节能设计"/>
      <w:bookmarkEnd w:id="10"/>
      <w:r>
        <w:rPr>
          <w:rFonts w:ascii="黑体" w:eastAsia="黑体" w:hint="eastAsia"/>
          <w:sz w:val="21"/>
        </w:rPr>
        <w:t>节能设计</w:t>
      </w:r>
    </w:p>
    <w:p>
      <w:pPr>
        <w:pStyle w:val="BodyText"/>
        <w:spacing w:before="6"/>
        <w:rPr>
          <w:rFonts w:ascii="黑体"/>
          <w:sz w:val="15"/>
        </w:rPr>
      </w:pPr>
    </w:p>
    <w:p>
      <w:pPr>
        <w:pStyle w:val="ListParagraph"/>
        <w:numPr>
          <w:ilvl w:val="3"/>
          <w:numId w:val="8"/>
        </w:numPr>
        <w:tabs>
          <w:tab w:val="left" w:pos="1164"/>
        </w:tabs>
        <w:spacing w:before="0" w:after="0" w:line="240" w:lineRule="auto"/>
        <w:ind w:left="1164" w:right="0" w:hanging="946"/>
        <w:jc w:val="left"/>
        <w:rPr>
          <w:sz w:val="21"/>
        </w:rPr>
      </w:pPr>
      <w:r>
        <w:rPr>
          <w:sz w:val="21"/>
        </w:rPr>
        <w:t>应有积极利用地热能、太阳能、风能、水能等可再生能源和替代能源的设计。</w:t>
      </w:r>
    </w:p>
    <w:p>
      <w:pPr>
        <w:pStyle w:val="ListParagraph"/>
        <w:numPr>
          <w:ilvl w:val="3"/>
          <w:numId w:val="8"/>
        </w:numPr>
        <w:tabs>
          <w:tab w:val="left" w:pos="1164"/>
        </w:tabs>
        <w:spacing w:before="43" w:after="0" w:line="240" w:lineRule="auto"/>
        <w:ind w:left="1164" w:right="0" w:hanging="946"/>
        <w:jc w:val="left"/>
        <w:rPr>
          <w:sz w:val="21"/>
        </w:rPr>
      </w:pPr>
      <w:r>
        <w:rPr>
          <w:sz w:val="21"/>
        </w:rPr>
        <w:t>应有能源、资源循环利用的设计。</w:t>
      </w:r>
    </w:p>
    <w:p>
      <w:pPr>
        <w:pStyle w:val="ListParagraph"/>
        <w:numPr>
          <w:ilvl w:val="3"/>
          <w:numId w:val="8"/>
        </w:numPr>
        <w:tabs>
          <w:tab w:val="left" w:pos="1164"/>
        </w:tabs>
        <w:spacing w:before="43" w:after="0" w:line="278" w:lineRule="auto"/>
        <w:ind w:left="218" w:right="316" w:firstLine="0"/>
        <w:jc w:val="left"/>
        <w:rPr>
          <w:sz w:val="21"/>
        </w:rPr>
      </w:pPr>
      <w:r>
        <w:rPr>
          <w:sz w:val="21"/>
        </w:rPr>
        <w:t>应有充分利用自然采光、自然通风的设计与运用。餐厅宜尽量利用自然光作为日间光照；室</w:t>
      </w:r>
      <w:r>
        <w:rPr>
          <w:spacing w:val="-4"/>
          <w:sz w:val="21"/>
        </w:rPr>
        <w:t xml:space="preserve">内照明应采用泛光设计，并全部使用 </w:t>
      </w:r>
      <w:r>
        <w:rPr>
          <w:sz w:val="21"/>
        </w:rPr>
        <w:t>LED</w:t>
      </w:r>
      <w:r>
        <w:rPr>
          <w:spacing w:val="-8"/>
          <w:sz w:val="21"/>
        </w:rPr>
        <w:t xml:space="preserve"> 节能灯具，光照度适宜，照明电源应设置为分区域手动控制。</w:t>
      </w:r>
    </w:p>
    <w:p>
      <w:pPr>
        <w:pStyle w:val="ListParagraph"/>
        <w:numPr>
          <w:ilvl w:val="3"/>
          <w:numId w:val="8"/>
        </w:numPr>
        <w:tabs>
          <w:tab w:val="left" w:pos="1164"/>
        </w:tabs>
        <w:spacing w:before="0" w:after="0" w:line="269" w:lineRule="exact"/>
        <w:ind w:left="1164" w:right="0" w:hanging="946"/>
        <w:jc w:val="left"/>
        <w:rPr>
          <w:sz w:val="21"/>
        </w:rPr>
      </w:pPr>
      <w:r>
        <w:rPr>
          <w:w w:val="95"/>
          <w:sz w:val="21"/>
        </w:rPr>
        <w:t>空调、通风、灯具等应使用高效节能设备。</w:t>
      </w:r>
    </w:p>
    <w:p>
      <w:pPr>
        <w:pStyle w:val="ListParagraph"/>
        <w:numPr>
          <w:ilvl w:val="3"/>
          <w:numId w:val="8"/>
        </w:numPr>
        <w:tabs>
          <w:tab w:val="left" w:pos="1164"/>
        </w:tabs>
        <w:spacing w:before="43" w:after="0" w:line="240" w:lineRule="auto"/>
        <w:ind w:left="1164" w:right="0" w:hanging="946"/>
        <w:jc w:val="left"/>
        <w:rPr>
          <w:sz w:val="21"/>
        </w:rPr>
      </w:pPr>
      <w:r>
        <w:rPr>
          <w:w w:val="95"/>
          <w:sz w:val="21"/>
        </w:rPr>
        <w:t>应有清洁生产和避免厨余垃圾污染的设计。</w:t>
      </w:r>
    </w:p>
    <w:p>
      <w:pPr>
        <w:pStyle w:val="ListParagraph"/>
        <w:numPr>
          <w:ilvl w:val="3"/>
          <w:numId w:val="8"/>
        </w:numPr>
        <w:tabs>
          <w:tab w:val="left" w:pos="1164"/>
        </w:tabs>
        <w:spacing w:before="43" w:after="0" w:line="278" w:lineRule="auto"/>
        <w:ind w:left="218" w:right="308" w:firstLine="0"/>
        <w:jc w:val="left"/>
        <w:rPr>
          <w:sz w:val="21"/>
        </w:rPr>
      </w:pPr>
      <w:r>
        <w:rPr>
          <w:spacing w:val="-7"/>
          <w:w w:val="95"/>
          <w:sz w:val="21"/>
        </w:rPr>
        <w:t xml:space="preserve">供水应保证加工和服务需要，厨房、清洗间、卫生间等用水部位涉及食品安全的应采用脚踏、   </w:t>
      </w:r>
      <w:r>
        <w:rPr>
          <w:spacing w:val="-7"/>
          <w:sz w:val="21"/>
        </w:rPr>
        <w:t>肘动或感应式开关，其他部位可采用手动式开关。</w:t>
      </w:r>
    </w:p>
    <w:p>
      <w:pPr>
        <w:pStyle w:val="ListParagraph"/>
        <w:numPr>
          <w:ilvl w:val="2"/>
          <w:numId w:val="8"/>
        </w:numPr>
        <w:tabs>
          <w:tab w:val="left" w:pos="953"/>
        </w:tabs>
        <w:spacing w:before="156" w:after="0" w:line="240" w:lineRule="auto"/>
        <w:ind w:left="952" w:right="0" w:hanging="735"/>
        <w:jc w:val="left"/>
        <w:rPr>
          <w:rFonts w:ascii="黑体" w:eastAsia="黑体" w:hint="eastAsia"/>
          <w:sz w:val="21"/>
        </w:rPr>
      </w:pPr>
      <w:bookmarkStart w:id="11" w:name="5.1.3　安全设计"/>
      <w:bookmarkEnd w:id="11"/>
      <w:r>
        <w:rPr>
          <w:rFonts w:ascii="黑体" w:eastAsia="黑体" w:hint="eastAsia"/>
          <w:sz w:val="21"/>
        </w:rPr>
        <w:t>安全设计</w:t>
      </w:r>
    </w:p>
    <w:p>
      <w:pPr>
        <w:pStyle w:val="BodyText"/>
        <w:spacing w:before="6"/>
        <w:rPr>
          <w:rFonts w:ascii="黑体"/>
          <w:sz w:val="15"/>
        </w:rPr>
      </w:pPr>
    </w:p>
    <w:p>
      <w:pPr>
        <w:pStyle w:val="ListParagraph"/>
        <w:numPr>
          <w:ilvl w:val="3"/>
          <w:numId w:val="8"/>
        </w:numPr>
        <w:tabs>
          <w:tab w:val="left" w:pos="1164"/>
        </w:tabs>
        <w:spacing w:before="1" w:after="0" w:line="278" w:lineRule="auto"/>
        <w:ind w:left="218" w:right="415" w:firstLine="0"/>
        <w:jc w:val="left"/>
        <w:rPr>
          <w:sz w:val="21"/>
        </w:rPr>
      </w:pPr>
      <w:r>
        <w:rPr>
          <w:spacing w:val="-6"/>
          <w:sz w:val="21"/>
        </w:rPr>
        <w:t xml:space="preserve">消防设备设施应完善、有效，标识明显，且符合 </w:t>
      </w:r>
      <w:r>
        <w:rPr>
          <w:sz w:val="21"/>
        </w:rPr>
        <w:t>GB</w:t>
      </w:r>
      <w:r>
        <w:rPr>
          <w:spacing w:val="-59"/>
          <w:sz w:val="21"/>
        </w:rPr>
        <w:t xml:space="preserve"> </w:t>
      </w:r>
      <w:r>
        <w:rPr>
          <w:sz w:val="21"/>
        </w:rPr>
        <w:t>13495.1</w:t>
      </w:r>
      <w:r>
        <w:rPr>
          <w:spacing w:val="-9"/>
          <w:sz w:val="21"/>
        </w:rPr>
        <w:t xml:space="preserve"> 的要求，安全监控系统对公共区域应全覆盖。</w:t>
      </w:r>
    </w:p>
    <w:p>
      <w:pPr>
        <w:pStyle w:val="ListParagraph"/>
        <w:numPr>
          <w:ilvl w:val="3"/>
          <w:numId w:val="8"/>
        </w:numPr>
        <w:tabs>
          <w:tab w:val="left" w:pos="1164"/>
        </w:tabs>
        <w:spacing w:before="0" w:after="0" w:line="278" w:lineRule="auto"/>
        <w:ind w:left="218" w:right="412" w:firstLine="0"/>
        <w:jc w:val="left"/>
        <w:rPr>
          <w:sz w:val="21"/>
        </w:rPr>
      </w:pPr>
      <w:r>
        <w:rPr>
          <w:sz w:val="21"/>
        </w:rPr>
        <w:t>使用燃气的必须规范安装、使用符合国家标准的液化石油气瓶、可燃气体探测器及燃气紧急切断阀、调压器、连接软管、灶具等燃气具及配件，并定期检查确保有效。</w:t>
      </w:r>
    </w:p>
    <w:p>
      <w:pPr>
        <w:pStyle w:val="ListParagraph"/>
        <w:numPr>
          <w:ilvl w:val="3"/>
          <w:numId w:val="8"/>
        </w:numPr>
        <w:tabs>
          <w:tab w:val="left" w:pos="1164"/>
        </w:tabs>
        <w:spacing w:before="0" w:after="0" w:line="269" w:lineRule="exact"/>
        <w:ind w:left="1164" w:right="0" w:hanging="946"/>
        <w:jc w:val="left"/>
        <w:rPr>
          <w:sz w:val="21"/>
        </w:rPr>
      </w:pPr>
      <w:r>
        <w:rPr>
          <w:spacing w:val="-5"/>
          <w:sz w:val="21"/>
        </w:rPr>
        <w:t>应在明火附近的明显位置放置灭火器或灭火毯，灭火用具应取用方便且不应被其他物体遮挡。</w:t>
      </w:r>
    </w:p>
    <w:p>
      <w:pPr>
        <w:pStyle w:val="ListParagraph"/>
        <w:numPr>
          <w:ilvl w:val="3"/>
          <w:numId w:val="8"/>
        </w:numPr>
        <w:tabs>
          <w:tab w:val="left" w:pos="1164"/>
        </w:tabs>
        <w:spacing w:before="42" w:after="0" w:line="240" w:lineRule="auto"/>
        <w:ind w:left="1164" w:right="0" w:hanging="946"/>
        <w:jc w:val="left"/>
        <w:rPr>
          <w:sz w:val="21"/>
        </w:rPr>
      </w:pPr>
      <w:r>
        <w:rPr>
          <w:sz w:val="21"/>
        </w:rPr>
        <w:t>应有完善的安全生产、食品安全、工伤等突发事件应急预案，每季度不得少于一次演练。</w:t>
      </w:r>
    </w:p>
    <w:p>
      <w:pPr>
        <w:pStyle w:val="ListParagraph"/>
        <w:numPr>
          <w:ilvl w:val="3"/>
          <w:numId w:val="8"/>
        </w:numPr>
        <w:tabs>
          <w:tab w:val="left" w:pos="1164"/>
        </w:tabs>
        <w:spacing w:before="43" w:after="0" w:line="240" w:lineRule="auto"/>
        <w:ind w:left="1164" w:right="0" w:hanging="946"/>
        <w:jc w:val="left"/>
        <w:rPr>
          <w:sz w:val="21"/>
        </w:rPr>
      </w:pPr>
      <w:r>
        <w:rPr>
          <w:spacing w:val="-4"/>
          <w:sz w:val="21"/>
        </w:rPr>
        <w:t>所有直接与原料或食品接触的用品和用具均应符合相关的国家标准，且具有较好的环保性能。</w:t>
      </w:r>
    </w:p>
    <w:p>
      <w:pPr>
        <w:pStyle w:val="ListParagraph"/>
        <w:numPr>
          <w:ilvl w:val="3"/>
          <w:numId w:val="8"/>
        </w:numPr>
        <w:tabs>
          <w:tab w:val="left" w:pos="1164"/>
        </w:tabs>
        <w:spacing w:before="43" w:after="0" w:line="278" w:lineRule="auto"/>
        <w:ind w:left="218" w:right="412" w:firstLine="0"/>
        <w:jc w:val="left"/>
        <w:rPr>
          <w:sz w:val="21"/>
        </w:rPr>
      </w:pPr>
      <w:r>
        <w:rPr>
          <w:sz w:val="21"/>
        </w:rPr>
        <w:t>对清洁剂、消毒剂、杀虫剂等化学品应有专门的场所或固定容器贮存，并由专人专册进行管理。</w:t>
      </w:r>
    </w:p>
    <w:p>
      <w:pPr>
        <w:pStyle w:val="ListParagraph"/>
        <w:numPr>
          <w:ilvl w:val="1"/>
          <w:numId w:val="4"/>
        </w:numPr>
        <w:tabs>
          <w:tab w:val="left" w:pos="744"/>
        </w:tabs>
        <w:spacing w:before="156" w:after="0" w:line="240" w:lineRule="auto"/>
        <w:ind w:left="744" w:right="0" w:hanging="526"/>
        <w:jc w:val="left"/>
        <w:rPr>
          <w:rFonts w:ascii="黑体" w:eastAsia="黑体" w:hint="eastAsia"/>
          <w:sz w:val="21"/>
        </w:rPr>
      </w:pPr>
      <w:bookmarkStart w:id="12" w:name="5.2　绿色厨房"/>
      <w:bookmarkEnd w:id="12"/>
      <w:r>
        <w:rPr>
          <w:rFonts w:ascii="黑体" w:eastAsia="黑体" w:hint="eastAsia"/>
          <w:sz w:val="21"/>
        </w:rPr>
        <w:t>绿色厨房</w:t>
      </w:r>
    </w:p>
    <w:p>
      <w:pPr>
        <w:pStyle w:val="BodyText"/>
        <w:spacing w:before="6"/>
        <w:rPr>
          <w:rFonts w:ascii="黑体"/>
          <w:sz w:val="15"/>
        </w:rPr>
      </w:pPr>
    </w:p>
    <w:p>
      <w:pPr>
        <w:pStyle w:val="ListParagraph"/>
        <w:numPr>
          <w:ilvl w:val="2"/>
          <w:numId w:val="4"/>
        </w:numPr>
        <w:tabs>
          <w:tab w:val="left" w:pos="953"/>
        </w:tabs>
        <w:spacing w:before="1" w:after="0" w:line="240" w:lineRule="auto"/>
        <w:ind w:left="952" w:right="0" w:hanging="735"/>
        <w:jc w:val="left"/>
        <w:rPr>
          <w:rFonts w:ascii="黑体" w:eastAsia="黑体" w:hint="eastAsia"/>
          <w:sz w:val="21"/>
        </w:rPr>
      </w:pPr>
      <w:bookmarkStart w:id="13" w:name="5.2.1　场地和设备"/>
      <w:bookmarkEnd w:id="13"/>
      <w:r>
        <w:rPr>
          <w:rFonts w:ascii="黑体" w:eastAsia="黑体" w:hint="eastAsia"/>
          <w:sz w:val="21"/>
        </w:rPr>
        <w:t>场地和设备</w:t>
      </w:r>
    </w:p>
    <w:p>
      <w:pPr>
        <w:pStyle w:val="BodyText"/>
        <w:spacing w:before="6"/>
        <w:rPr>
          <w:rFonts w:ascii="黑体"/>
          <w:sz w:val="15"/>
        </w:rPr>
      </w:pPr>
    </w:p>
    <w:p>
      <w:pPr>
        <w:pStyle w:val="ListParagraph"/>
        <w:numPr>
          <w:ilvl w:val="3"/>
          <w:numId w:val="4"/>
        </w:numPr>
        <w:tabs>
          <w:tab w:val="left" w:pos="1164"/>
        </w:tabs>
        <w:spacing w:before="0" w:after="0" w:line="240" w:lineRule="auto"/>
        <w:ind w:left="1164" w:right="0" w:hanging="946"/>
        <w:jc w:val="left"/>
        <w:rPr>
          <w:sz w:val="21"/>
        </w:rPr>
      </w:pPr>
      <w:r>
        <w:rPr>
          <w:spacing w:val="-6"/>
          <w:sz w:val="21"/>
        </w:rPr>
        <w:t xml:space="preserve">厨房现场管理应符合 </w:t>
      </w:r>
      <w:r>
        <w:rPr>
          <w:sz w:val="21"/>
        </w:rPr>
        <w:t>SB/T</w:t>
      </w:r>
      <w:r>
        <w:rPr>
          <w:spacing w:val="-1"/>
          <w:sz w:val="21"/>
        </w:rPr>
        <w:t xml:space="preserve"> </w:t>
      </w:r>
      <w:r>
        <w:rPr>
          <w:sz w:val="21"/>
        </w:rPr>
        <w:t>10580</w:t>
      </w:r>
      <w:r>
        <w:rPr>
          <w:spacing w:val="-12"/>
          <w:sz w:val="21"/>
        </w:rPr>
        <w:t xml:space="preserve"> 的要求。</w:t>
      </w:r>
    </w:p>
    <w:p>
      <w:pPr>
        <w:pStyle w:val="ListParagraph"/>
        <w:numPr>
          <w:ilvl w:val="3"/>
          <w:numId w:val="4"/>
        </w:numPr>
        <w:tabs>
          <w:tab w:val="left" w:pos="1164"/>
        </w:tabs>
        <w:spacing w:before="43" w:after="0" w:line="240" w:lineRule="auto"/>
        <w:ind w:left="1164" w:right="0" w:hanging="946"/>
        <w:jc w:val="left"/>
        <w:rPr>
          <w:sz w:val="21"/>
        </w:rPr>
      </w:pPr>
      <w:r>
        <w:rPr>
          <w:spacing w:val="-10"/>
          <w:sz w:val="21"/>
        </w:rPr>
        <w:t>厨房的地面、墙壁、门窗、天花板等设计应有利于保证食品卫生，易于清洗消毒，便于检查。</w:t>
      </w:r>
    </w:p>
    <w:p>
      <w:pPr>
        <w:pStyle w:val="ListParagraph"/>
        <w:numPr>
          <w:ilvl w:val="3"/>
          <w:numId w:val="4"/>
        </w:numPr>
        <w:tabs>
          <w:tab w:val="left" w:pos="1164"/>
        </w:tabs>
        <w:spacing w:before="43" w:after="0" w:line="240" w:lineRule="auto"/>
        <w:ind w:left="1164" w:right="0" w:hanging="946"/>
        <w:jc w:val="left"/>
        <w:rPr>
          <w:sz w:val="21"/>
        </w:rPr>
      </w:pPr>
      <w:r>
        <w:rPr>
          <w:spacing w:val="-4"/>
          <w:sz w:val="21"/>
        </w:rPr>
        <w:t xml:space="preserve">厨房各区域通风良好，空气质量应符合 </w:t>
      </w:r>
      <w:r>
        <w:rPr>
          <w:sz w:val="21"/>
        </w:rPr>
        <w:t>GB/T</w:t>
      </w:r>
      <w:r>
        <w:rPr>
          <w:spacing w:val="-1"/>
          <w:sz w:val="21"/>
        </w:rPr>
        <w:t xml:space="preserve"> </w:t>
      </w:r>
      <w:r>
        <w:rPr>
          <w:sz w:val="21"/>
        </w:rPr>
        <w:t>18883</w:t>
      </w:r>
      <w:r>
        <w:rPr>
          <w:spacing w:val="-9"/>
          <w:sz w:val="21"/>
        </w:rPr>
        <w:t xml:space="preserve"> 的相关要求。</w:t>
      </w:r>
    </w:p>
    <w:p>
      <w:pPr>
        <w:pStyle w:val="ListParagraph"/>
        <w:numPr>
          <w:ilvl w:val="3"/>
          <w:numId w:val="4"/>
        </w:numPr>
        <w:tabs>
          <w:tab w:val="left" w:pos="1164"/>
        </w:tabs>
        <w:spacing w:before="43" w:after="0" w:line="278" w:lineRule="auto"/>
        <w:ind w:left="218" w:right="412" w:firstLine="0"/>
        <w:jc w:val="left"/>
        <w:rPr>
          <w:sz w:val="21"/>
        </w:rPr>
      </w:pPr>
      <w:r>
        <w:rPr>
          <w:sz w:val="21"/>
        </w:rPr>
        <w:t>粗加工、切配、烹饪、餐用具清洗消毒场地应相对分离、流程布局合理、应满足功能操作需求。</w:t>
      </w:r>
    </w:p>
    <w:p>
      <w:pPr>
        <w:pStyle w:val="ListParagraph"/>
        <w:numPr>
          <w:ilvl w:val="3"/>
          <w:numId w:val="4"/>
        </w:numPr>
        <w:tabs>
          <w:tab w:val="left" w:pos="1164"/>
        </w:tabs>
        <w:spacing w:before="0" w:after="0" w:line="278" w:lineRule="auto"/>
        <w:ind w:left="218" w:right="412" w:firstLine="0"/>
        <w:jc w:val="left"/>
        <w:rPr>
          <w:sz w:val="21"/>
        </w:rPr>
      </w:pPr>
      <w:r>
        <w:rPr>
          <w:sz w:val="21"/>
        </w:rPr>
        <w:t>食品的加工、储存、处置及设备、餐器具清洁和消毒应符合操作规范，分类消毒、防止交叉污染。</w:t>
      </w:r>
    </w:p>
    <w:p>
      <w:pPr>
        <w:pStyle w:val="ListParagraph"/>
        <w:numPr>
          <w:ilvl w:val="3"/>
          <w:numId w:val="4"/>
        </w:numPr>
        <w:tabs>
          <w:tab w:val="left" w:pos="1164"/>
        </w:tabs>
        <w:spacing w:before="0" w:after="0" w:line="269" w:lineRule="exact"/>
        <w:ind w:left="1164" w:right="0" w:hanging="946"/>
        <w:jc w:val="left"/>
        <w:rPr>
          <w:sz w:val="21"/>
        </w:rPr>
      </w:pPr>
      <w:r>
        <w:rPr>
          <w:spacing w:val="-2"/>
          <w:sz w:val="21"/>
        </w:rPr>
        <w:t xml:space="preserve">应配置储水设施，每年定期清洗，并对水质进行检测，水质应符合 </w:t>
      </w:r>
      <w:r>
        <w:rPr>
          <w:sz w:val="21"/>
        </w:rPr>
        <w:t>GB</w:t>
      </w:r>
      <w:r>
        <w:rPr>
          <w:spacing w:val="-3"/>
          <w:sz w:val="21"/>
        </w:rPr>
        <w:t xml:space="preserve"> </w:t>
      </w:r>
      <w:r>
        <w:rPr>
          <w:sz w:val="21"/>
        </w:rPr>
        <w:t>5749</w:t>
      </w:r>
      <w:r>
        <w:rPr>
          <w:spacing w:val="-12"/>
          <w:sz w:val="21"/>
        </w:rPr>
        <w:t xml:space="preserve"> 的要求。</w:t>
      </w:r>
    </w:p>
    <w:p>
      <w:pPr>
        <w:pStyle w:val="BodyText"/>
        <w:spacing w:before="7"/>
        <w:rPr>
          <w:sz w:val="15"/>
        </w:rPr>
      </w:pPr>
    </w:p>
    <w:p>
      <w:pPr>
        <w:pStyle w:val="ListParagraph"/>
        <w:numPr>
          <w:ilvl w:val="2"/>
          <w:numId w:val="4"/>
        </w:numPr>
        <w:tabs>
          <w:tab w:val="left" w:pos="953"/>
        </w:tabs>
        <w:spacing w:before="0" w:after="0" w:line="240" w:lineRule="auto"/>
        <w:ind w:left="952" w:right="0" w:hanging="735"/>
        <w:jc w:val="left"/>
        <w:rPr>
          <w:rFonts w:ascii="黑体" w:eastAsia="黑体" w:hint="eastAsia"/>
          <w:sz w:val="21"/>
        </w:rPr>
      </w:pPr>
      <w:bookmarkStart w:id="14" w:name="5.2.2　采购和仓储"/>
      <w:bookmarkEnd w:id="14"/>
      <w:r>
        <w:rPr>
          <w:rFonts w:ascii="黑体" w:eastAsia="黑体" w:hint="eastAsia"/>
          <w:sz w:val="21"/>
        </w:rPr>
        <w:t>采购和仓储</w:t>
      </w:r>
    </w:p>
    <w:p>
      <w:pPr>
        <w:pStyle w:val="BodyText"/>
        <w:spacing w:before="6"/>
        <w:rPr>
          <w:rFonts w:ascii="黑体"/>
          <w:sz w:val="15"/>
        </w:rPr>
      </w:pPr>
    </w:p>
    <w:p>
      <w:pPr>
        <w:pStyle w:val="ListParagraph"/>
        <w:numPr>
          <w:ilvl w:val="3"/>
          <w:numId w:val="4"/>
        </w:numPr>
        <w:tabs>
          <w:tab w:val="left" w:pos="1164"/>
        </w:tabs>
        <w:spacing w:before="1" w:after="0" w:line="278" w:lineRule="auto"/>
        <w:ind w:left="218" w:right="412" w:firstLine="0"/>
        <w:jc w:val="left"/>
        <w:rPr>
          <w:sz w:val="21"/>
        </w:rPr>
      </w:pPr>
      <w:r>
        <w:rPr>
          <w:sz w:val="21"/>
        </w:rPr>
        <w:t>应选择合法经营，诚实守信，有相关资质、食材可追溯的供应商。应建立稳定的供货渠道， 且应与固定供货商签订供货协议，明确各自的食品安全责任和义务。</w:t>
      </w:r>
    </w:p>
    <w:p>
      <w:pPr>
        <w:spacing w:after="0" w:line="278" w:lineRule="auto"/>
        <w:jc w:val="left"/>
        <w:rPr>
          <w:sz w:val="21"/>
        </w:rPr>
        <w:sectPr>
          <w:headerReference w:type="default" r:id="rId14"/>
          <w:footerReference w:type="default" r:id="rId15"/>
          <w:pgSz w:w="11910" w:h="16840"/>
          <w:pgMar w:top="1640" w:right="720" w:bottom="1340" w:left="1200" w:header="1449" w:footer="1141"/>
          <w:pgNumType w:start="3"/>
          <w:cols w:space="708"/>
        </w:sectPr>
      </w:pPr>
    </w:p>
    <w:p>
      <w:pPr>
        <w:pStyle w:val="BodyText"/>
        <w:spacing w:before="3"/>
        <w:rPr>
          <w:sz w:val="17"/>
        </w:rPr>
      </w:pPr>
      <w:r>
        <w:drawing>
          <wp:anchor distT="0" distB="0" distL="0" distR="0" simplePos="0" relativeHeight="251669504"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p>
    <w:p>
      <w:pPr>
        <w:pStyle w:val="ListParagraph"/>
        <w:numPr>
          <w:ilvl w:val="3"/>
          <w:numId w:val="9"/>
        </w:numPr>
        <w:tabs>
          <w:tab w:val="left" w:pos="1164"/>
        </w:tabs>
        <w:spacing w:before="70" w:after="0" w:line="240" w:lineRule="auto"/>
        <w:ind w:left="1164" w:right="0" w:hanging="946"/>
        <w:jc w:val="left"/>
        <w:rPr>
          <w:sz w:val="21"/>
        </w:rPr>
      </w:pPr>
      <w:r>
        <w:rPr>
          <w:w w:val="95"/>
          <w:sz w:val="21"/>
        </w:rPr>
        <w:t>应落实索证索票和进货查验制度，实现原辅料有发票可查证、有台账可查询。</w:t>
      </w:r>
    </w:p>
    <w:p>
      <w:pPr>
        <w:pStyle w:val="ListParagraph"/>
        <w:numPr>
          <w:ilvl w:val="3"/>
          <w:numId w:val="9"/>
        </w:numPr>
        <w:tabs>
          <w:tab w:val="left" w:pos="1164"/>
        </w:tabs>
        <w:spacing w:before="43" w:after="0" w:line="240" w:lineRule="auto"/>
        <w:ind w:left="1164" w:right="0" w:hanging="946"/>
        <w:jc w:val="left"/>
        <w:rPr>
          <w:sz w:val="21"/>
        </w:rPr>
      </w:pPr>
      <w:r>
        <w:rPr>
          <w:w w:val="95"/>
          <w:sz w:val="21"/>
        </w:rPr>
        <w:t>应与供应商协商，在产品包装、物流、仓储等环节降低消耗、减少环境污染。</w:t>
      </w:r>
    </w:p>
    <w:p>
      <w:pPr>
        <w:pStyle w:val="ListParagraph"/>
        <w:numPr>
          <w:ilvl w:val="3"/>
          <w:numId w:val="9"/>
        </w:numPr>
        <w:tabs>
          <w:tab w:val="left" w:pos="1164"/>
        </w:tabs>
        <w:spacing w:before="43" w:after="0" w:line="240" w:lineRule="auto"/>
        <w:ind w:left="1164" w:right="0" w:hanging="946"/>
        <w:jc w:val="left"/>
        <w:rPr>
          <w:sz w:val="21"/>
        </w:rPr>
      </w:pPr>
      <w:r>
        <w:rPr>
          <w:sz w:val="21"/>
        </w:rPr>
        <w:t>应建立食品检验检疫制度，优先选用绿色、有机、无公害食品原辅料。</w:t>
      </w:r>
    </w:p>
    <w:p>
      <w:pPr>
        <w:pStyle w:val="ListParagraph"/>
        <w:numPr>
          <w:ilvl w:val="3"/>
          <w:numId w:val="9"/>
        </w:numPr>
        <w:tabs>
          <w:tab w:val="left" w:pos="1164"/>
        </w:tabs>
        <w:spacing w:before="43" w:after="0" w:line="278" w:lineRule="auto"/>
        <w:ind w:left="218" w:right="412" w:firstLine="0"/>
        <w:jc w:val="both"/>
        <w:rPr>
          <w:sz w:val="21"/>
        </w:rPr>
      </w:pPr>
      <w:r>
        <w:rPr>
          <w:sz w:val="21"/>
        </w:rPr>
        <w:t>采购畜禽肉类的，查验动物产品检疫合格证明；从中央厨房采购的成品或半成品，查验经营者取得的食品经营许可证编号。</w:t>
      </w:r>
    </w:p>
    <w:p>
      <w:pPr>
        <w:pStyle w:val="ListParagraph"/>
        <w:numPr>
          <w:ilvl w:val="3"/>
          <w:numId w:val="9"/>
        </w:numPr>
        <w:tabs>
          <w:tab w:val="left" w:pos="1164"/>
        </w:tabs>
        <w:spacing w:before="0" w:after="0" w:line="278" w:lineRule="auto"/>
        <w:ind w:left="218" w:right="412" w:firstLine="0"/>
        <w:jc w:val="both"/>
        <w:rPr>
          <w:sz w:val="21"/>
        </w:rPr>
      </w:pPr>
      <w:r>
        <w:rPr>
          <w:sz w:val="21"/>
        </w:rPr>
        <w:t>仓储区(库区)应做到专用。食品与杂物应严格分离、主食和副食应分开存放；食品与非食品</w:t>
      </w:r>
      <w:r>
        <w:rPr>
          <w:spacing w:val="-9"/>
          <w:w w:val="95"/>
          <w:sz w:val="21"/>
        </w:rPr>
        <w:t xml:space="preserve">不能混淆，食品应按类别、品种分架、隔墙、离地整齐摆放，各类食品应有明显标志，散装食品及原料   </w:t>
      </w:r>
      <w:r>
        <w:rPr>
          <w:spacing w:val="-9"/>
          <w:sz w:val="21"/>
        </w:rPr>
        <w:t>存容器应加盖密封。用颜色分装或标记食品安全风险程度不同的食品。</w:t>
      </w:r>
    </w:p>
    <w:p>
      <w:pPr>
        <w:pStyle w:val="ListParagraph"/>
        <w:numPr>
          <w:ilvl w:val="3"/>
          <w:numId w:val="9"/>
        </w:numPr>
        <w:tabs>
          <w:tab w:val="left" w:pos="1164"/>
        </w:tabs>
        <w:spacing w:before="0" w:after="0" w:line="278" w:lineRule="auto"/>
        <w:ind w:left="218" w:right="412" w:firstLine="0"/>
        <w:jc w:val="both"/>
        <w:rPr>
          <w:sz w:val="21"/>
        </w:rPr>
      </w:pPr>
      <w:r>
        <w:rPr>
          <w:sz w:val="21"/>
        </w:rPr>
        <w:t>应建立库存物资台账。应有食品原料或半成品的储存和进出库记录，应执行先进先出的管理原则。</w:t>
      </w:r>
    </w:p>
    <w:p>
      <w:pPr>
        <w:pStyle w:val="ListParagraph"/>
        <w:numPr>
          <w:ilvl w:val="3"/>
          <w:numId w:val="9"/>
        </w:numPr>
        <w:tabs>
          <w:tab w:val="left" w:pos="1164"/>
        </w:tabs>
        <w:spacing w:before="0" w:after="0" w:line="278" w:lineRule="auto"/>
        <w:ind w:left="218" w:right="412" w:firstLine="0"/>
        <w:jc w:val="both"/>
        <w:rPr>
          <w:sz w:val="21"/>
        </w:rPr>
      </w:pPr>
      <w:r>
        <w:rPr>
          <w:sz w:val="21"/>
        </w:rPr>
        <w:t>杜绝原材料变质浪费现象。应定期对库房进行清整，保持食品原料及调味料、食品添加物的新鲜度，及时清理腐败变质的原材料，应定期检查库存，有记录。</w:t>
      </w:r>
    </w:p>
    <w:p>
      <w:pPr>
        <w:pStyle w:val="ListParagraph"/>
        <w:numPr>
          <w:ilvl w:val="3"/>
          <w:numId w:val="9"/>
        </w:numPr>
        <w:tabs>
          <w:tab w:val="left" w:pos="1164"/>
        </w:tabs>
        <w:spacing w:before="0" w:after="0" w:line="269" w:lineRule="exact"/>
        <w:ind w:left="1164" w:right="0" w:hanging="946"/>
        <w:jc w:val="both"/>
        <w:rPr>
          <w:sz w:val="21"/>
        </w:rPr>
      </w:pPr>
      <w:r>
        <w:rPr>
          <w:sz w:val="21"/>
        </w:rPr>
        <w:t>应减少对环境的污染，建立过期食品回收的正规渠道。</w:t>
      </w:r>
    </w:p>
    <w:p>
      <w:pPr>
        <w:pStyle w:val="BodyText"/>
        <w:spacing w:before="6"/>
        <w:rPr>
          <w:sz w:val="15"/>
        </w:rPr>
      </w:pPr>
    </w:p>
    <w:p>
      <w:pPr>
        <w:pStyle w:val="ListParagraph"/>
        <w:numPr>
          <w:ilvl w:val="2"/>
          <w:numId w:val="9"/>
        </w:numPr>
        <w:tabs>
          <w:tab w:val="left" w:pos="953"/>
        </w:tabs>
        <w:spacing w:before="0" w:after="0" w:line="240" w:lineRule="auto"/>
        <w:ind w:left="952" w:right="0" w:hanging="735"/>
        <w:jc w:val="left"/>
        <w:rPr>
          <w:rFonts w:ascii="黑体" w:eastAsia="黑体" w:hint="eastAsia"/>
          <w:sz w:val="21"/>
        </w:rPr>
      </w:pPr>
      <w:bookmarkStart w:id="15" w:name="5.2.3　加工和烹饪"/>
      <w:bookmarkEnd w:id="15"/>
      <w:r>
        <w:rPr>
          <w:rFonts w:ascii="黑体" w:eastAsia="黑体" w:hint="eastAsia"/>
          <w:sz w:val="21"/>
        </w:rPr>
        <w:t>加工和烹饪</w:t>
      </w:r>
    </w:p>
    <w:p>
      <w:pPr>
        <w:pStyle w:val="BodyText"/>
        <w:spacing w:before="6"/>
        <w:rPr>
          <w:rFonts w:ascii="黑体"/>
          <w:sz w:val="15"/>
        </w:rPr>
      </w:pPr>
    </w:p>
    <w:p>
      <w:pPr>
        <w:pStyle w:val="ListParagraph"/>
        <w:numPr>
          <w:ilvl w:val="3"/>
          <w:numId w:val="9"/>
        </w:numPr>
        <w:tabs>
          <w:tab w:val="left" w:pos="1164"/>
        </w:tabs>
        <w:spacing w:before="0" w:after="0" w:line="240" w:lineRule="auto"/>
        <w:ind w:left="1164" w:right="0" w:hanging="946"/>
        <w:jc w:val="left"/>
        <w:rPr>
          <w:sz w:val="21"/>
        </w:rPr>
      </w:pPr>
      <w:r>
        <w:rPr>
          <w:sz w:val="21"/>
        </w:rPr>
        <w:t>制定食品制作的操作流程和规范，并设有专人监督落实。</w:t>
      </w:r>
    </w:p>
    <w:p>
      <w:pPr>
        <w:pStyle w:val="ListParagraph"/>
        <w:numPr>
          <w:ilvl w:val="3"/>
          <w:numId w:val="9"/>
        </w:numPr>
        <w:tabs>
          <w:tab w:val="left" w:pos="1164"/>
        </w:tabs>
        <w:spacing w:before="43" w:after="0" w:line="240" w:lineRule="auto"/>
        <w:ind w:left="1164" w:right="0" w:hanging="946"/>
        <w:jc w:val="left"/>
        <w:rPr>
          <w:sz w:val="21"/>
        </w:rPr>
      </w:pPr>
      <w:r>
        <w:rPr>
          <w:sz w:val="21"/>
        </w:rPr>
        <w:t>推行明厨亮灶，采用透明、视频等方式，向消费者展示餐饮服务相关过程。</w:t>
      </w:r>
    </w:p>
    <w:p>
      <w:pPr>
        <w:pStyle w:val="ListParagraph"/>
        <w:numPr>
          <w:ilvl w:val="3"/>
          <w:numId w:val="9"/>
        </w:numPr>
        <w:tabs>
          <w:tab w:val="left" w:pos="1164"/>
        </w:tabs>
        <w:spacing w:before="43" w:after="0" w:line="278" w:lineRule="auto"/>
        <w:ind w:left="218" w:right="412" w:firstLine="0"/>
        <w:jc w:val="left"/>
        <w:rPr>
          <w:sz w:val="21"/>
        </w:rPr>
      </w:pPr>
      <w:r>
        <w:rPr>
          <w:sz w:val="21"/>
        </w:rPr>
        <w:t>烹饪加工过程中应合理控制物料消耗，应遵循整料整用、大料大用、小料小用、下脚料综合利用的原则，对原料的加工净料率做出规定，合理利用原料。</w:t>
      </w:r>
    </w:p>
    <w:p>
      <w:pPr>
        <w:pStyle w:val="ListParagraph"/>
        <w:numPr>
          <w:ilvl w:val="3"/>
          <w:numId w:val="9"/>
        </w:numPr>
        <w:tabs>
          <w:tab w:val="left" w:pos="1164"/>
        </w:tabs>
        <w:spacing w:before="0" w:after="0" w:line="278" w:lineRule="auto"/>
        <w:ind w:left="218" w:right="412" w:firstLine="0"/>
        <w:jc w:val="left"/>
        <w:rPr>
          <w:sz w:val="21"/>
        </w:rPr>
      </w:pPr>
      <w:r>
        <w:rPr>
          <w:sz w:val="21"/>
        </w:rPr>
        <w:t>应根据标准菜谱给出的主辅配料用量，并按照当天供餐计划向库房领取原料，按照规定的投料量进行切配。</w:t>
      </w:r>
    </w:p>
    <w:p>
      <w:pPr>
        <w:pStyle w:val="ListParagraph"/>
        <w:numPr>
          <w:ilvl w:val="3"/>
          <w:numId w:val="9"/>
        </w:numPr>
        <w:tabs>
          <w:tab w:val="left" w:pos="1164"/>
        </w:tabs>
        <w:spacing w:before="0" w:after="0" w:line="278" w:lineRule="auto"/>
        <w:ind w:left="218" w:right="411" w:firstLine="0"/>
        <w:jc w:val="left"/>
        <w:rPr>
          <w:sz w:val="21"/>
        </w:rPr>
      </w:pPr>
      <w:r>
        <w:rPr>
          <w:spacing w:val="-14"/>
          <w:sz w:val="21"/>
        </w:rPr>
        <w:t xml:space="preserve">油炸食品的烹炸油的选择、烹炸过程控制、烹炸安全操作和废弃油的管理等，执行 </w:t>
      </w:r>
      <w:r>
        <w:rPr>
          <w:sz w:val="21"/>
        </w:rPr>
        <w:t>SB/T</w:t>
      </w:r>
      <w:r>
        <w:rPr>
          <w:spacing w:val="-61"/>
          <w:sz w:val="21"/>
        </w:rPr>
        <w:t xml:space="preserve"> </w:t>
      </w:r>
      <w:r>
        <w:rPr>
          <w:sz w:val="21"/>
        </w:rPr>
        <w:t>11168 的规定。</w:t>
      </w:r>
    </w:p>
    <w:p>
      <w:pPr>
        <w:pStyle w:val="ListParagraph"/>
        <w:numPr>
          <w:ilvl w:val="3"/>
          <w:numId w:val="9"/>
        </w:numPr>
        <w:tabs>
          <w:tab w:val="left" w:pos="1164"/>
        </w:tabs>
        <w:spacing w:before="0" w:after="0" w:line="269" w:lineRule="exact"/>
        <w:ind w:left="1164" w:right="0" w:hanging="946"/>
        <w:jc w:val="left"/>
        <w:rPr>
          <w:sz w:val="21"/>
        </w:rPr>
      </w:pPr>
      <w:r>
        <w:rPr>
          <w:spacing w:val="-2"/>
          <w:sz w:val="21"/>
        </w:rPr>
        <w:t xml:space="preserve">尽可能减少食品添加剂的使用量，提倡原汁原味，食品添加剂使用应符合 </w:t>
      </w:r>
      <w:r>
        <w:rPr>
          <w:sz w:val="21"/>
        </w:rPr>
        <w:t>GB</w:t>
      </w:r>
      <w:r>
        <w:rPr>
          <w:spacing w:val="-4"/>
          <w:sz w:val="21"/>
        </w:rPr>
        <w:t xml:space="preserve"> </w:t>
      </w:r>
      <w:r>
        <w:rPr>
          <w:sz w:val="21"/>
        </w:rPr>
        <w:t>2760</w:t>
      </w:r>
      <w:r>
        <w:rPr>
          <w:spacing w:val="-12"/>
          <w:sz w:val="21"/>
        </w:rPr>
        <w:t xml:space="preserve"> 的规定。</w:t>
      </w:r>
    </w:p>
    <w:p>
      <w:pPr>
        <w:pStyle w:val="ListParagraph"/>
        <w:numPr>
          <w:ilvl w:val="3"/>
          <w:numId w:val="9"/>
        </w:numPr>
        <w:tabs>
          <w:tab w:val="left" w:pos="1164"/>
        </w:tabs>
        <w:spacing w:before="43" w:after="0" w:line="278" w:lineRule="auto"/>
        <w:ind w:left="218" w:right="412" w:firstLine="0"/>
        <w:jc w:val="left"/>
        <w:rPr>
          <w:sz w:val="21"/>
        </w:rPr>
      </w:pPr>
      <w:r>
        <w:rPr>
          <w:sz w:val="21"/>
        </w:rPr>
        <w:t>用于加工生、熟食品和各类动植物性原料的刀具、砧板、容器应分类使用，并按规定做好标识。</w:t>
      </w:r>
    </w:p>
    <w:p>
      <w:pPr>
        <w:pStyle w:val="ListParagraph"/>
        <w:numPr>
          <w:ilvl w:val="3"/>
          <w:numId w:val="9"/>
        </w:numPr>
        <w:tabs>
          <w:tab w:val="left" w:pos="1164"/>
        </w:tabs>
        <w:spacing w:before="0" w:after="0" w:line="278" w:lineRule="auto"/>
        <w:ind w:left="218" w:right="412" w:firstLine="0"/>
        <w:jc w:val="left"/>
        <w:rPr>
          <w:sz w:val="21"/>
        </w:rPr>
      </w:pPr>
      <w:r>
        <w:rPr>
          <w:sz w:val="21"/>
        </w:rPr>
        <w:t>应制定专门的清扫、清洁和消毒计划，应使用适宜的工具和方法（环保、绿色），对工作区的设备和设施进行清洁或消毒。</w:t>
      </w:r>
    </w:p>
    <w:p>
      <w:pPr>
        <w:pStyle w:val="ListParagraph"/>
        <w:numPr>
          <w:ilvl w:val="1"/>
          <w:numId w:val="3"/>
        </w:numPr>
        <w:tabs>
          <w:tab w:val="left" w:pos="744"/>
        </w:tabs>
        <w:spacing w:before="155" w:after="0" w:line="240" w:lineRule="auto"/>
        <w:ind w:left="744" w:right="0" w:hanging="526"/>
        <w:jc w:val="left"/>
        <w:rPr>
          <w:rFonts w:ascii="黑体" w:eastAsia="黑体" w:hint="eastAsia"/>
          <w:sz w:val="21"/>
        </w:rPr>
      </w:pPr>
      <w:bookmarkStart w:id="16" w:name="5.3　绿色服务"/>
      <w:bookmarkEnd w:id="16"/>
      <w:r>
        <w:rPr>
          <w:rFonts w:ascii="黑体" w:eastAsia="黑体" w:hint="eastAsia"/>
          <w:sz w:val="21"/>
        </w:rPr>
        <w:t>绿色服务</w:t>
      </w:r>
    </w:p>
    <w:p>
      <w:pPr>
        <w:pStyle w:val="BodyText"/>
        <w:spacing w:before="7"/>
        <w:rPr>
          <w:rFonts w:ascii="黑体"/>
          <w:sz w:val="15"/>
        </w:rPr>
      </w:pPr>
    </w:p>
    <w:p>
      <w:pPr>
        <w:pStyle w:val="ListParagraph"/>
        <w:numPr>
          <w:ilvl w:val="2"/>
          <w:numId w:val="3"/>
        </w:numPr>
        <w:tabs>
          <w:tab w:val="left" w:pos="953"/>
        </w:tabs>
        <w:spacing w:before="0" w:after="0" w:line="240" w:lineRule="auto"/>
        <w:ind w:left="952" w:right="0" w:hanging="735"/>
        <w:jc w:val="left"/>
        <w:rPr>
          <w:rFonts w:ascii="黑体" w:eastAsia="黑体" w:hint="eastAsia"/>
          <w:sz w:val="21"/>
        </w:rPr>
      </w:pPr>
      <w:bookmarkStart w:id="17" w:name="5.3.1　点餐服务"/>
      <w:bookmarkEnd w:id="17"/>
      <w:r>
        <w:rPr>
          <w:rFonts w:ascii="黑体" w:eastAsia="黑体" w:hint="eastAsia"/>
          <w:sz w:val="21"/>
        </w:rPr>
        <w:t>点餐服务</w:t>
      </w:r>
    </w:p>
    <w:p>
      <w:pPr>
        <w:pStyle w:val="BodyText"/>
        <w:spacing w:before="7"/>
        <w:rPr>
          <w:rFonts w:ascii="黑体"/>
          <w:sz w:val="15"/>
        </w:rPr>
      </w:pPr>
    </w:p>
    <w:p>
      <w:pPr>
        <w:pStyle w:val="ListParagraph"/>
        <w:numPr>
          <w:ilvl w:val="3"/>
          <w:numId w:val="3"/>
        </w:numPr>
        <w:tabs>
          <w:tab w:val="left" w:pos="1164"/>
        </w:tabs>
        <w:spacing w:before="0" w:after="0" w:line="240" w:lineRule="auto"/>
        <w:ind w:left="1164" w:right="0" w:hanging="946"/>
        <w:jc w:val="left"/>
        <w:rPr>
          <w:sz w:val="21"/>
        </w:rPr>
      </w:pPr>
      <w:r>
        <w:rPr>
          <w:sz w:val="21"/>
        </w:rPr>
        <w:t>根据经营能力应在菜单中标注菜品主要原料、餐食的数量或重量和建议消费人数。</w:t>
      </w:r>
    </w:p>
    <w:p>
      <w:pPr>
        <w:pStyle w:val="ListParagraph"/>
        <w:numPr>
          <w:ilvl w:val="3"/>
          <w:numId w:val="3"/>
        </w:numPr>
        <w:tabs>
          <w:tab w:val="left" w:pos="1164"/>
        </w:tabs>
        <w:spacing w:before="43" w:after="0" w:line="240" w:lineRule="auto"/>
        <w:ind w:left="1164" w:right="0" w:hanging="946"/>
        <w:jc w:val="left"/>
        <w:rPr>
          <w:sz w:val="21"/>
        </w:rPr>
      </w:pPr>
      <w:r>
        <w:rPr>
          <w:sz w:val="21"/>
        </w:rPr>
        <w:t>菜单设计中应适当控制菜品数量，应定期更新菜单，应提供小份菜和套餐产品。</w:t>
      </w:r>
    </w:p>
    <w:p>
      <w:pPr>
        <w:pStyle w:val="ListParagraph"/>
        <w:numPr>
          <w:ilvl w:val="3"/>
          <w:numId w:val="3"/>
        </w:numPr>
        <w:tabs>
          <w:tab w:val="left" w:pos="1164"/>
        </w:tabs>
        <w:spacing w:before="43" w:after="0" w:line="240" w:lineRule="auto"/>
        <w:ind w:left="1164" w:right="0" w:hanging="946"/>
        <w:jc w:val="left"/>
        <w:rPr>
          <w:sz w:val="21"/>
        </w:rPr>
      </w:pPr>
      <w:r>
        <w:rPr>
          <w:sz w:val="21"/>
        </w:rPr>
        <w:t>应使用电子菜单、扫码点单，减少纸张的使用，倡导餐厅低碳运营。</w:t>
      </w:r>
    </w:p>
    <w:p>
      <w:pPr>
        <w:pStyle w:val="ListParagraph"/>
        <w:numPr>
          <w:ilvl w:val="3"/>
          <w:numId w:val="3"/>
        </w:numPr>
        <w:tabs>
          <w:tab w:val="left" w:pos="1164"/>
        </w:tabs>
        <w:spacing w:before="43" w:after="0" w:line="278" w:lineRule="auto"/>
        <w:ind w:left="218" w:right="308" w:firstLine="0"/>
        <w:jc w:val="left"/>
        <w:rPr>
          <w:sz w:val="21"/>
        </w:rPr>
      </w:pPr>
      <w:r>
        <w:rPr>
          <w:spacing w:val="-8"/>
          <w:w w:val="95"/>
          <w:sz w:val="21"/>
        </w:rPr>
        <w:t xml:space="preserve">应根据客人对口味、生熟、辣度、盐度等方面的要求在菜单中做好备注，开展“减油、减盐、   </w:t>
      </w:r>
      <w:r>
        <w:rPr>
          <w:spacing w:val="-8"/>
          <w:sz w:val="21"/>
        </w:rPr>
        <w:t>减糖”行动，为消费者提供健康营养的餐食。</w:t>
      </w:r>
    </w:p>
    <w:p>
      <w:pPr>
        <w:pStyle w:val="ListParagraph"/>
        <w:numPr>
          <w:ilvl w:val="3"/>
          <w:numId w:val="3"/>
        </w:numPr>
        <w:tabs>
          <w:tab w:val="left" w:pos="1164"/>
        </w:tabs>
        <w:spacing w:before="0" w:after="0" w:line="278" w:lineRule="auto"/>
        <w:ind w:left="218" w:right="412" w:firstLine="0"/>
        <w:jc w:val="left"/>
        <w:rPr>
          <w:sz w:val="21"/>
        </w:rPr>
      </w:pPr>
      <w:r>
        <w:rPr>
          <w:sz w:val="21"/>
        </w:rPr>
        <w:t>应主动向消费者介绍菜品特色和份量，当消费者点菜数量超过正常需要时，应对消费者做出提示和劝阻，并给出合理建议。</w:t>
      </w:r>
    </w:p>
    <w:p>
      <w:pPr>
        <w:pStyle w:val="ListParagraph"/>
        <w:numPr>
          <w:ilvl w:val="3"/>
          <w:numId w:val="3"/>
        </w:numPr>
        <w:tabs>
          <w:tab w:val="left" w:pos="1164"/>
        </w:tabs>
        <w:spacing w:before="0" w:after="0" w:line="278" w:lineRule="auto"/>
        <w:ind w:left="218" w:right="412" w:firstLine="0"/>
        <w:jc w:val="left"/>
        <w:rPr>
          <w:sz w:val="21"/>
        </w:rPr>
      </w:pPr>
      <w:r>
        <w:rPr>
          <w:sz w:val="21"/>
        </w:rPr>
        <w:t>服务人员在消费者订餐、点餐、加餐等环节，应引导其理性消费、科学搭配、健康用餐、厉行节约、适量点餐，倡导绿色消费。</w:t>
      </w:r>
    </w:p>
    <w:p>
      <w:pPr>
        <w:pStyle w:val="ListParagraph"/>
        <w:numPr>
          <w:ilvl w:val="2"/>
          <w:numId w:val="3"/>
        </w:numPr>
        <w:tabs>
          <w:tab w:val="left" w:pos="953"/>
        </w:tabs>
        <w:spacing w:before="155" w:after="0" w:line="240" w:lineRule="auto"/>
        <w:ind w:left="952" w:right="0" w:hanging="735"/>
        <w:jc w:val="left"/>
        <w:rPr>
          <w:rFonts w:ascii="黑体" w:eastAsia="黑体" w:hint="eastAsia"/>
          <w:sz w:val="21"/>
        </w:rPr>
      </w:pPr>
      <w:bookmarkStart w:id="18" w:name="5.3.2　席间服务"/>
      <w:bookmarkEnd w:id="18"/>
      <w:r>
        <w:rPr>
          <w:rFonts w:ascii="黑体" w:eastAsia="黑体" w:hint="eastAsia"/>
          <w:sz w:val="21"/>
        </w:rPr>
        <w:t>席间服务</w:t>
      </w:r>
    </w:p>
    <w:p>
      <w:pPr>
        <w:spacing w:after="0" w:line="240" w:lineRule="auto"/>
        <w:jc w:val="left"/>
        <w:rPr>
          <w:rFonts w:ascii="黑体" w:eastAsia="黑体" w:hint="eastAsia"/>
          <w:sz w:val="21"/>
        </w:rPr>
        <w:sectPr>
          <w:headerReference w:type="default" r:id="rId16"/>
          <w:footerReference w:type="default" r:id="rId17"/>
          <w:pgSz w:w="11910" w:h="16840"/>
          <w:pgMar w:top="1640" w:right="720" w:bottom="1340" w:left="1200" w:header="1449" w:footer="1141"/>
          <w:pgNumType w:start="4"/>
          <w:cols w:space="708"/>
        </w:sectPr>
      </w:pPr>
    </w:p>
    <w:p>
      <w:pPr>
        <w:pStyle w:val="BodyText"/>
        <w:spacing w:before="3"/>
        <w:rPr>
          <w:rFonts w:ascii="黑体"/>
          <w:sz w:val="17"/>
        </w:rPr>
      </w:pPr>
      <w:r>
        <w:drawing>
          <wp:anchor distT="0" distB="0" distL="0" distR="0" simplePos="0" relativeHeight="251670528"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p>
    <w:p>
      <w:pPr>
        <w:pStyle w:val="ListParagraph"/>
        <w:numPr>
          <w:ilvl w:val="3"/>
          <w:numId w:val="10"/>
        </w:numPr>
        <w:tabs>
          <w:tab w:val="left" w:pos="1164"/>
        </w:tabs>
        <w:spacing w:before="70" w:after="0" w:line="240" w:lineRule="auto"/>
        <w:ind w:left="1164" w:right="0" w:hanging="946"/>
        <w:jc w:val="left"/>
        <w:rPr>
          <w:sz w:val="21"/>
        </w:rPr>
      </w:pPr>
      <w:r>
        <w:rPr>
          <w:sz w:val="21"/>
        </w:rPr>
        <w:t>餐车、餐具应干净、卫生，菜品运送过程中应放保温盖，以保持卫生及热度。</w:t>
      </w:r>
    </w:p>
    <w:p>
      <w:pPr>
        <w:pStyle w:val="ListParagraph"/>
        <w:numPr>
          <w:ilvl w:val="3"/>
          <w:numId w:val="10"/>
        </w:numPr>
        <w:tabs>
          <w:tab w:val="left" w:pos="1164"/>
        </w:tabs>
        <w:spacing w:before="43" w:after="0" w:line="278" w:lineRule="auto"/>
        <w:ind w:left="218" w:right="412" w:firstLine="0"/>
        <w:jc w:val="left"/>
        <w:rPr>
          <w:sz w:val="21"/>
        </w:rPr>
      </w:pPr>
      <w:r>
        <w:rPr>
          <w:sz w:val="21"/>
        </w:rPr>
        <w:t>应注意操作卫生，端菜时手指不接触食品，分餐工具不接触消费者餐具，递小毛巾用夹具， 工具、物品用后及时收回清洗、消毒。</w:t>
      </w:r>
    </w:p>
    <w:p>
      <w:pPr>
        <w:pStyle w:val="ListParagraph"/>
        <w:numPr>
          <w:ilvl w:val="3"/>
          <w:numId w:val="10"/>
        </w:numPr>
        <w:tabs>
          <w:tab w:val="left" w:pos="1164"/>
        </w:tabs>
        <w:spacing w:before="0" w:after="0" w:line="278" w:lineRule="auto"/>
        <w:ind w:left="218" w:right="412" w:firstLine="0"/>
        <w:jc w:val="left"/>
        <w:rPr>
          <w:sz w:val="21"/>
        </w:rPr>
      </w:pPr>
      <w:r>
        <w:rPr>
          <w:sz w:val="21"/>
        </w:rPr>
        <w:t>服务员应多观察，随时为消费者提供添加菜品、酒水服务，及时清理并保持台面清洁卫生； 及时撤回未使用的餐具、杯具，减少用具的清洗。</w:t>
      </w:r>
    </w:p>
    <w:p>
      <w:pPr>
        <w:pStyle w:val="ListParagraph"/>
        <w:numPr>
          <w:ilvl w:val="3"/>
          <w:numId w:val="10"/>
        </w:numPr>
        <w:tabs>
          <w:tab w:val="left" w:pos="1164"/>
        </w:tabs>
        <w:spacing w:before="0" w:after="0" w:line="278" w:lineRule="auto"/>
        <w:ind w:left="218" w:right="412" w:firstLine="0"/>
        <w:jc w:val="left"/>
        <w:rPr>
          <w:sz w:val="21"/>
        </w:rPr>
      </w:pPr>
      <w:r>
        <w:rPr>
          <w:sz w:val="21"/>
        </w:rPr>
        <w:t>以桌餐方式用餐的，应为每个菜品配置公筷或公勺，公筷或公勺应以形状或颜色与消费者个人自用餐具相区别。</w:t>
      </w:r>
    </w:p>
    <w:p>
      <w:pPr>
        <w:pStyle w:val="ListParagraph"/>
        <w:numPr>
          <w:ilvl w:val="3"/>
          <w:numId w:val="10"/>
        </w:numPr>
        <w:tabs>
          <w:tab w:val="left" w:pos="1164"/>
        </w:tabs>
        <w:spacing w:before="0" w:after="0" w:line="269" w:lineRule="exact"/>
        <w:ind w:left="1164" w:right="0" w:hanging="946"/>
        <w:jc w:val="left"/>
        <w:rPr>
          <w:sz w:val="21"/>
        </w:rPr>
      </w:pPr>
      <w:r>
        <w:rPr>
          <w:w w:val="95"/>
          <w:sz w:val="21"/>
        </w:rPr>
        <w:t>未给菜品配置公筷或公勺的，餐桌应摆放双筷双勺，引导消费者正确使用取餐筷和取餐勺。</w:t>
      </w:r>
    </w:p>
    <w:p>
      <w:pPr>
        <w:pStyle w:val="ListParagraph"/>
        <w:numPr>
          <w:ilvl w:val="3"/>
          <w:numId w:val="10"/>
        </w:numPr>
        <w:tabs>
          <w:tab w:val="left" w:pos="1164"/>
        </w:tabs>
        <w:spacing w:before="42" w:after="0" w:line="240" w:lineRule="auto"/>
        <w:ind w:left="1164" w:right="0" w:hanging="946"/>
        <w:jc w:val="left"/>
        <w:rPr>
          <w:sz w:val="21"/>
        </w:rPr>
      </w:pPr>
      <w:r>
        <w:rPr>
          <w:spacing w:val="-5"/>
          <w:w w:val="95"/>
          <w:sz w:val="21"/>
        </w:rPr>
        <w:t>用餐过程中应适时提醒消费者使用公共餐具，发现混用时婉转提醒消费者，必要时进行更换。</w:t>
      </w:r>
    </w:p>
    <w:p>
      <w:pPr>
        <w:pStyle w:val="ListParagraph"/>
        <w:numPr>
          <w:ilvl w:val="3"/>
          <w:numId w:val="10"/>
        </w:numPr>
        <w:tabs>
          <w:tab w:val="left" w:pos="1164"/>
        </w:tabs>
        <w:spacing w:before="43" w:after="0" w:line="240" w:lineRule="auto"/>
        <w:ind w:left="1164" w:right="0" w:hanging="946"/>
        <w:jc w:val="left"/>
        <w:rPr>
          <w:sz w:val="21"/>
        </w:rPr>
      </w:pPr>
      <w:r>
        <w:rPr>
          <w:spacing w:val="-8"/>
          <w:sz w:val="21"/>
        </w:rPr>
        <w:t xml:space="preserve">分餐服务应符合 </w:t>
      </w:r>
      <w:r>
        <w:rPr>
          <w:sz w:val="21"/>
        </w:rPr>
        <w:t>GB/T</w:t>
      </w:r>
      <w:r>
        <w:rPr>
          <w:spacing w:val="-59"/>
          <w:sz w:val="21"/>
        </w:rPr>
        <w:t xml:space="preserve"> </w:t>
      </w:r>
      <w:r>
        <w:rPr>
          <w:sz w:val="21"/>
        </w:rPr>
        <w:t>39002</w:t>
      </w:r>
      <w:r>
        <w:rPr>
          <w:spacing w:val="-16"/>
          <w:sz w:val="21"/>
        </w:rPr>
        <w:t xml:space="preserve"> 的要求；分餐餐具在造型、尺寸或颜色上应与个人餐具进行区分。</w:t>
      </w:r>
    </w:p>
    <w:p>
      <w:pPr>
        <w:pStyle w:val="ListParagraph"/>
        <w:numPr>
          <w:ilvl w:val="3"/>
          <w:numId w:val="10"/>
        </w:numPr>
        <w:tabs>
          <w:tab w:val="left" w:pos="1164"/>
        </w:tabs>
        <w:spacing w:before="43" w:after="0" w:line="278" w:lineRule="auto"/>
        <w:ind w:left="218" w:right="412" w:firstLine="0"/>
        <w:jc w:val="left"/>
        <w:rPr>
          <w:sz w:val="21"/>
        </w:rPr>
      </w:pPr>
      <w:r>
        <w:rPr>
          <w:sz w:val="21"/>
        </w:rPr>
        <w:t>不应为堂食消费者提供一次性餐具及相关用品，餐具垫、口布等与餐具直接接触的物品应一客一换，撤换下的布草类物品，应规范清洗、消毒。</w:t>
      </w:r>
    </w:p>
    <w:p>
      <w:pPr>
        <w:pStyle w:val="ListParagraph"/>
        <w:numPr>
          <w:ilvl w:val="3"/>
          <w:numId w:val="10"/>
        </w:numPr>
        <w:tabs>
          <w:tab w:val="left" w:pos="1164"/>
        </w:tabs>
        <w:spacing w:before="0" w:after="0" w:line="269" w:lineRule="exact"/>
        <w:ind w:left="1164" w:right="0" w:hanging="946"/>
        <w:jc w:val="left"/>
        <w:rPr>
          <w:sz w:val="21"/>
        </w:rPr>
      </w:pPr>
      <w:r>
        <w:rPr>
          <w:spacing w:val="-3"/>
          <w:sz w:val="21"/>
        </w:rPr>
        <w:t xml:space="preserve">应减少一次性用品的使用，一次性塑料制品应符合 </w:t>
      </w:r>
      <w:r>
        <w:rPr>
          <w:sz w:val="21"/>
        </w:rPr>
        <w:t>GB/T</w:t>
      </w:r>
      <w:r>
        <w:rPr>
          <w:spacing w:val="-2"/>
          <w:sz w:val="21"/>
        </w:rPr>
        <w:t xml:space="preserve"> </w:t>
      </w:r>
      <w:r>
        <w:rPr>
          <w:sz w:val="21"/>
        </w:rPr>
        <w:t>18006.3</w:t>
      </w:r>
      <w:r>
        <w:rPr>
          <w:spacing w:val="-12"/>
          <w:sz w:val="21"/>
        </w:rPr>
        <w:t xml:space="preserve"> 的规定。</w:t>
      </w:r>
    </w:p>
    <w:p>
      <w:pPr>
        <w:pStyle w:val="BodyText"/>
        <w:spacing w:before="7"/>
        <w:rPr>
          <w:sz w:val="15"/>
        </w:rPr>
      </w:pPr>
    </w:p>
    <w:p>
      <w:pPr>
        <w:pStyle w:val="ListParagraph"/>
        <w:numPr>
          <w:ilvl w:val="2"/>
          <w:numId w:val="10"/>
        </w:numPr>
        <w:tabs>
          <w:tab w:val="left" w:pos="953"/>
        </w:tabs>
        <w:spacing w:before="0" w:after="0" w:line="240" w:lineRule="auto"/>
        <w:ind w:left="952" w:right="0" w:hanging="735"/>
        <w:jc w:val="left"/>
        <w:rPr>
          <w:rFonts w:ascii="黑体" w:eastAsia="黑体" w:hint="eastAsia"/>
          <w:sz w:val="21"/>
        </w:rPr>
      </w:pPr>
      <w:bookmarkStart w:id="19" w:name="5.3.3　打包服务"/>
      <w:bookmarkEnd w:id="19"/>
      <w:r>
        <w:rPr>
          <w:rFonts w:ascii="黑体" w:eastAsia="黑体" w:hint="eastAsia"/>
          <w:sz w:val="21"/>
        </w:rPr>
        <w:t>打包服务</w:t>
      </w:r>
    </w:p>
    <w:p>
      <w:pPr>
        <w:pStyle w:val="BodyText"/>
        <w:spacing w:before="7"/>
        <w:rPr>
          <w:rFonts w:ascii="黑体"/>
          <w:sz w:val="15"/>
        </w:rPr>
      </w:pPr>
    </w:p>
    <w:p>
      <w:pPr>
        <w:pStyle w:val="ListParagraph"/>
        <w:numPr>
          <w:ilvl w:val="3"/>
          <w:numId w:val="10"/>
        </w:numPr>
        <w:tabs>
          <w:tab w:val="left" w:pos="1164"/>
        </w:tabs>
        <w:spacing w:before="0" w:after="0" w:line="240" w:lineRule="auto"/>
        <w:ind w:left="1164" w:right="0" w:hanging="946"/>
        <w:jc w:val="left"/>
        <w:rPr>
          <w:sz w:val="21"/>
        </w:rPr>
      </w:pPr>
      <w:r>
        <w:rPr>
          <w:spacing w:val="-3"/>
          <w:sz w:val="21"/>
        </w:rPr>
        <w:t xml:space="preserve">提醒餐后打包，避免浪费，打包服务和管理执行 </w:t>
      </w:r>
      <w:r>
        <w:rPr>
          <w:sz w:val="21"/>
        </w:rPr>
        <w:t>SB/T</w:t>
      </w:r>
      <w:r>
        <w:rPr>
          <w:spacing w:val="-2"/>
          <w:sz w:val="21"/>
        </w:rPr>
        <w:t xml:space="preserve"> </w:t>
      </w:r>
      <w:r>
        <w:rPr>
          <w:sz w:val="21"/>
        </w:rPr>
        <w:t>11070</w:t>
      </w:r>
      <w:r>
        <w:rPr>
          <w:spacing w:val="-12"/>
          <w:sz w:val="21"/>
        </w:rPr>
        <w:t xml:space="preserve"> 的规定。</w:t>
      </w:r>
    </w:p>
    <w:p>
      <w:pPr>
        <w:pStyle w:val="ListParagraph"/>
        <w:numPr>
          <w:ilvl w:val="3"/>
          <w:numId w:val="10"/>
        </w:numPr>
        <w:tabs>
          <w:tab w:val="left" w:pos="1164"/>
        </w:tabs>
        <w:spacing w:before="43" w:after="0" w:line="240" w:lineRule="auto"/>
        <w:ind w:left="1164" w:right="0" w:hanging="946"/>
        <w:jc w:val="left"/>
        <w:rPr>
          <w:sz w:val="21"/>
        </w:rPr>
      </w:pPr>
      <w:r>
        <w:rPr>
          <w:spacing w:val="-2"/>
          <w:sz w:val="21"/>
        </w:rPr>
        <w:t xml:space="preserve">菜品合并后不影响再次食用的，宜合并打包，打包餐盒应符合 </w:t>
      </w:r>
      <w:r>
        <w:rPr>
          <w:sz w:val="21"/>
        </w:rPr>
        <w:t>GB/T</w:t>
      </w:r>
      <w:r>
        <w:rPr>
          <w:spacing w:val="-3"/>
          <w:sz w:val="21"/>
        </w:rPr>
        <w:t xml:space="preserve"> </w:t>
      </w:r>
      <w:r>
        <w:rPr>
          <w:sz w:val="21"/>
        </w:rPr>
        <w:t>18006.1</w:t>
      </w:r>
      <w:r>
        <w:rPr>
          <w:spacing w:val="-12"/>
          <w:sz w:val="21"/>
        </w:rPr>
        <w:t xml:space="preserve"> 的要求。</w:t>
      </w:r>
    </w:p>
    <w:p>
      <w:pPr>
        <w:pStyle w:val="ListParagraph"/>
        <w:numPr>
          <w:ilvl w:val="3"/>
          <w:numId w:val="10"/>
        </w:numPr>
        <w:tabs>
          <w:tab w:val="left" w:pos="1164"/>
        </w:tabs>
        <w:spacing w:before="43" w:after="0" w:line="240" w:lineRule="auto"/>
        <w:ind w:left="1164" w:right="0" w:hanging="946"/>
        <w:jc w:val="left"/>
        <w:rPr>
          <w:sz w:val="21"/>
        </w:rPr>
      </w:pPr>
      <w:r>
        <w:rPr>
          <w:sz w:val="21"/>
        </w:rPr>
        <w:t>应使用安全食用提示卡，且标注打包时间和建议食用期限。</w:t>
      </w:r>
    </w:p>
    <w:p>
      <w:pPr>
        <w:pStyle w:val="BodyText"/>
        <w:spacing w:before="6"/>
        <w:rPr>
          <w:sz w:val="15"/>
        </w:rPr>
      </w:pPr>
    </w:p>
    <w:p>
      <w:pPr>
        <w:pStyle w:val="ListParagraph"/>
        <w:numPr>
          <w:ilvl w:val="2"/>
          <w:numId w:val="10"/>
        </w:numPr>
        <w:tabs>
          <w:tab w:val="left" w:pos="953"/>
        </w:tabs>
        <w:spacing w:before="0" w:after="0" w:line="240" w:lineRule="auto"/>
        <w:ind w:left="952" w:right="0" w:hanging="735"/>
        <w:jc w:val="left"/>
        <w:rPr>
          <w:rFonts w:ascii="黑体" w:eastAsia="黑体" w:hint="eastAsia"/>
          <w:sz w:val="21"/>
        </w:rPr>
      </w:pPr>
      <w:bookmarkStart w:id="20" w:name="5.3.4　反馈机制"/>
      <w:bookmarkEnd w:id="20"/>
      <w:r>
        <w:rPr>
          <w:rFonts w:ascii="黑体" w:eastAsia="黑体" w:hint="eastAsia"/>
          <w:sz w:val="21"/>
        </w:rPr>
        <w:t>反馈机制</w:t>
      </w:r>
    </w:p>
    <w:p>
      <w:pPr>
        <w:pStyle w:val="BodyText"/>
        <w:spacing w:before="7"/>
        <w:rPr>
          <w:rFonts w:ascii="黑体"/>
          <w:sz w:val="15"/>
        </w:rPr>
      </w:pPr>
    </w:p>
    <w:p>
      <w:pPr>
        <w:pStyle w:val="ListParagraph"/>
        <w:numPr>
          <w:ilvl w:val="3"/>
          <w:numId w:val="10"/>
        </w:numPr>
        <w:tabs>
          <w:tab w:val="left" w:pos="1164"/>
        </w:tabs>
        <w:spacing w:before="0" w:after="0" w:line="240" w:lineRule="auto"/>
        <w:ind w:left="1164" w:right="0" w:hanging="946"/>
        <w:jc w:val="left"/>
        <w:rPr>
          <w:sz w:val="21"/>
        </w:rPr>
      </w:pPr>
      <w:r>
        <w:rPr>
          <w:sz w:val="21"/>
        </w:rPr>
        <w:t>应有服务投诉处理制度、有投诉记录、有处理反馈记录。</w:t>
      </w:r>
    </w:p>
    <w:p>
      <w:pPr>
        <w:pStyle w:val="ListParagraph"/>
        <w:numPr>
          <w:ilvl w:val="3"/>
          <w:numId w:val="10"/>
        </w:numPr>
        <w:tabs>
          <w:tab w:val="left" w:pos="1164"/>
        </w:tabs>
        <w:spacing w:before="43" w:after="0" w:line="278" w:lineRule="auto"/>
        <w:ind w:left="218" w:right="412" w:firstLine="0"/>
        <w:jc w:val="left"/>
        <w:rPr>
          <w:sz w:val="21"/>
        </w:rPr>
      </w:pPr>
      <w:r>
        <w:rPr>
          <w:sz w:val="21"/>
        </w:rPr>
        <w:t>依据市场需求变化持续改进和提升，避免因饭菜质量、口味因素导致的餐饮浪费，应建立餐饮质量反馈机制，设置菜品销售统计制度及淘汰机制。</w:t>
      </w:r>
    </w:p>
    <w:p>
      <w:pPr>
        <w:pStyle w:val="ListParagraph"/>
        <w:numPr>
          <w:ilvl w:val="2"/>
          <w:numId w:val="10"/>
        </w:numPr>
        <w:tabs>
          <w:tab w:val="left" w:pos="953"/>
        </w:tabs>
        <w:spacing w:before="156" w:after="0" w:line="240" w:lineRule="auto"/>
        <w:ind w:left="952" w:right="0" w:hanging="735"/>
        <w:jc w:val="left"/>
        <w:rPr>
          <w:rFonts w:ascii="黑体" w:eastAsia="黑体" w:hint="eastAsia"/>
          <w:sz w:val="21"/>
        </w:rPr>
      </w:pPr>
      <w:bookmarkStart w:id="21" w:name="5.3.5　其他服务"/>
      <w:bookmarkEnd w:id="21"/>
      <w:r>
        <w:rPr>
          <w:rFonts w:ascii="黑体" w:eastAsia="黑体" w:hint="eastAsia"/>
          <w:sz w:val="21"/>
        </w:rPr>
        <w:t>其他服务</w:t>
      </w:r>
    </w:p>
    <w:p>
      <w:pPr>
        <w:pStyle w:val="BodyText"/>
        <w:spacing w:before="6"/>
        <w:rPr>
          <w:rFonts w:ascii="黑体"/>
          <w:sz w:val="15"/>
        </w:rPr>
      </w:pPr>
    </w:p>
    <w:p>
      <w:pPr>
        <w:pStyle w:val="ListParagraph"/>
        <w:numPr>
          <w:ilvl w:val="3"/>
          <w:numId w:val="10"/>
        </w:numPr>
        <w:tabs>
          <w:tab w:val="left" w:pos="1164"/>
        </w:tabs>
        <w:spacing w:before="1" w:after="0" w:line="240" w:lineRule="auto"/>
        <w:ind w:left="1164" w:right="0" w:hanging="946"/>
        <w:jc w:val="left"/>
        <w:rPr>
          <w:rFonts w:ascii="黑体" w:eastAsia="黑体" w:hint="eastAsia"/>
          <w:sz w:val="21"/>
        </w:rPr>
      </w:pPr>
      <w:bookmarkStart w:id="22" w:name="5.3.5.1　宴席服务"/>
      <w:bookmarkEnd w:id="22"/>
      <w:r>
        <w:rPr>
          <w:rFonts w:ascii="黑体" w:eastAsia="黑体" w:hint="eastAsia"/>
          <w:sz w:val="21"/>
        </w:rPr>
        <w:t>宴席服务</w:t>
      </w:r>
    </w:p>
    <w:p>
      <w:pPr>
        <w:pStyle w:val="BodyText"/>
        <w:spacing w:before="6"/>
        <w:rPr>
          <w:rFonts w:ascii="黑体"/>
          <w:sz w:val="15"/>
        </w:rPr>
      </w:pPr>
    </w:p>
    <w:p>
      <w:pPr>
        <w:pStyle w:val="BodyText"/>
        <w:ind w:left="638"/>
      </w:pPr>
      <w:r>
        <w:t>提供宴席服务时，应由专人设计宴席菜单，合理设计宴席数量和服务流程，避免宴席中的餐饮浪费。</w:t>
      </w:r>
    </w:p>
    <w:p>
      <w:pPr>
        <w:pStyle w:val="BodyText"/>
        <w:spacing w:before="7"/>
        <w:rPr>
          <w:sz w:val="15"/>
        </w:rPr>
      </w:pPr>
    </w:p>
    <w:p>
      <w:pPr>
        <w:pStyle w:val="ListParagraph"/>
        <w:numPr>
          <w:ilvl w:val="3"/>
          <w:numId w:val="10"/>
        </w:numPr>
        <w:tabs>
          <w:tab w:val="left" w:pos="1164"/>
        </w:tabs>
        <w:spacing w:before="0" w:after="0" w:line="240" w:lineRule="auto"/>
        <w:ind w:left="1164" w:right="0" w:hanging="946"/>
        <w:jc w:val="left"/>
        <w:rPr>
          <w:rFonts w:ascii="黑体" w:eastAsia="黑体" w:hint="eastAsia"/>
          <w:sz w:val="21"/>
        </w:rPr>
      </w:pPr>
      <w:bookmarkStart w:id="23" w:name="5.3.5.2　外卖服务"/>
      <w:bookmarkEnd w:id="23"/>
      <w:r>
        <w:rPr>
          <w:rFonts w:ascii="黑体" w:eastAsia="黑体" w:hint="eastAsia"/>
          <w:sz w:val="21"/>
        </w:rPr>
        <w:t>外卖服务</w:t>
      </w:r>
    </w:p>
    <w:p>
      <w:pPr>
        <w:pStyle w:val="BodyText"/>
        <w:spacing w:before="7"/>
        <w:rPr>
          <w:rFonts w:ascii="黑体"/>
          <w:sz w:val="15"/>
        </w:rPr>
      </w:pPr>
    </w:p>
    <w:p>
      <w:pPr>
        <w:pStyle w:val="ListParagraph"/>
        <w:numPr>
          <w:ilvl w:val="4"/>
          <w:numId w:val="10"/>
        </w:numPr>
        <w:tabs>
          <w:tab w:val="left" w:pos="1373"/>
        </w:tabs>
        <w:spacing w:before="0" w:after="0" w:line="278" w:lineRule="auto"/>
        <w:ind w:left="218" w:right="412" w:firstLine="0"/>
        <w:jc w:val="left"/>
        <w:rPr>
          <w:sz w:val="21"/>
        </w:rPr>
      </w:pPr>
      <w:r>
        <w:rPr>
          <w:sz w:val="21"/>
        </w:rPr>
        <w:t>提供外卖服务时，应以显著方式提醒消费者按需适量点餐，明示食品份量、规格、建议消费人数等信息。</w:t>
      </w:r>
    </w:p>
    <w:p>
      <w:pPr>
        <w:pStyle w:val="ListParagraph"/>
        <w:numPr>
          <w:ilvl w:val="4"/>
          <w:numId w:val="10"/>
        </w:numPr>
        <w:tabs>
          <w:tab w:val="left" w:pos="1373"/>
        </w:tabs>
        <w:spacing w:before="0" w:after="0" w:line="278" w:lineRule="auto"/>
        <w:ind w:left="218" w:right="412" w:firstLine="0"/>
        <w:jc w:val="left"/>
        <w:rPr>
          <w:sz w:val="21"/>
        </w:rPr>
      </w:pPr>
      <w:r>
        <w:rPr>
          <w:sz w:val="21"/>
        </w:rPr>
        <w:t>通过提供食品的不同规格选择等形式，鼓励消费者合理点餐，避免餐饮浪费；外卖食品包装上有封签。</w:t>
      </w:r>
    </w:p>
    <w:p>
      <w:pPr>
        <w:pStyle w:val="ListParagraph"/>
        <w:numPr>
          <w:ilvl w:val="3"/>
          <w:numId w:val="10"/>
        </w:numPr>
        <w:tabs>
          <w:tab w:val="left" w:pos="1164"/>
        </w:tabs>
        <w:spacing w:before="155" w:after="0" w:line="240" w:lineRule="auto"/>
        <w:ind w:left="1164" w:right="0" w:hanging="946"/>
        <w:jc w:val="left"/>
        <w:rPr>
          <w:rFonts w:ascii="黑体" w:eastAsia="黑体" w:hint="eastAsia"/>
          <w:sz w:val="21"/>
        </w:rPr>
      </w:pPr>
      <w:bookmarkStart w:id="24" w:name="5.3.5.3　自助餐服务"/>
      <w:bookmarkEnd w:id="24"/>
      <w:r>
        <w:rPr>
          <w:rFonts w:ascii="黑体" w:eastAsia="黑体" w:hint="eastAsia"/>
          <w:sz w:val="21"/>
        </w:rPr>
        <w:t>自助餐服务</w:t>
      </w:r>
    </w:p>
    <w:p>
      <w:pPr>
        <w:pStyle w:val="BodyText"/>
        <w:spacing w:before="7"/>
        <w:rPr>
          <w:rFonts w:ascii="黑体"/>
          <w:sz w:val="15"/>
        </w:rPr>
      </w:pPr>
    </w:p>
    <w:p>
      <w:pPr>
        <w:pStyle w:val="ListParagraph"/>
        <w:numPr>
          <w:ilvl w:val="4"/>
          <w:numId w:val="10"/>
        </w:numPr>
        <w:tabs>
          <w:tab w:val="left" w:pos="1373"/>
        </w:tabs>
        <w:spacing w:before="0" w:after="0" w:line="278" w:lineRule="auto"/>
        <w:ind w:left="218" w:right="412" w:firstLine="0"/>
        <w:jc w:val="left"/>
        <w:rPr>
          <w:sz w:val="21"/>
        </w:rPr>
      </w:pPr>
      <w:r>
        <w:rPr>
          <w:sz w:val="21"/>
        </w:rPr>
        <w:t>提供自助餐服务的餐厅应在醒目位置提示消费者按需、少量、多次取餐，引导消费者合理取餐、避免餐饮浪费。</w:t>
      </w:r>
    </w:p>
    <w:p>
      <w:pPr>
        <w:pStyle w:val="ListParagraph"/>
        <w:numPr>
          <w:ilvl w:val="4"/>
          <w:numId w:val="10"/>
        </w:numPr>
        <w:tabs>
          <w:tab w:val="left" w:pos="1373"/>
        </w:tabs>
        <w:spacing w:before="0" w:after="0" w:line="269" w:lineRule="exact"/>
        <w:ind w:left="1372" w:right="0" w:hanging="1155"/>
        <w:jc w:val="left"/>
        <w:rPr>
          <w:sz w:val="21"/>
        </w:rPr>
      </w:pPr>
      <w:r>
        <w:rPr>
          <w:sz w:val="21"/>
        </w:rPr>
        <w:t>支持自助餐服务餐厅实施对消费者浪费行为适当加收费用的措施。</w:t>
      </w:r>
    </w:p>
    <w:p>
      <w:pPr>
        <w:pStyle w:val="BodyText"/>
        <w:spacing w:before="7"/>
        <w:rPr>
          <w:sz w:val="15"/>
        </w:rPr>
      </w:pPr>
    </w:p>
    <w:p>
      <w:pPr>
        <w:pStyle w:val="ListParagraph"/>
        <w:numPr>
          <w:ilvl w:val="3"/>
          <w:numId w:val="10"/>
        </w:numPr>
        <w:tabs>
          <w:tab w:val="left" w:pos="1164"/>
        </w:tabs>
        <w:spacing w:before="0" w:after="0" w:line="240" w:lineRule="auto"/>
        <w:ind w:left="1164" w:right="0" w:hanging="946"/>
        <w:jc w:val="left"/>
        <w:rPr>
          <w:rFonts w:ascii="黑体" w:eastAsia="黑体" w:hint="eastAsia"/>
          <w:sz w:val="21"/>
        </w:rPr>
      </w:pPr>
      <w:bookmarkStart w:id="25" w:name="5.3.5.4　团餐服务"/>
      <w:bookmarkEnd w:id="25"/>
      <w:r>
        <w:rPr>
          <w:rFonts w:ascii="黑体" w:eastAsia="黑体" w:hint="eastAsia"/>
          <w:sz w:val="21"/>
        </w:rPr>
        <w:t>团餐服务</w:t>
      </w:r>
    </w:p>
    <w:p>
      <w:pPr>
        <w:pStyle w:val="BodyText"/>
        <w:spacing w:before="6"/>
        <w:rPr>
          <w:rFonts w:ascii="黑体"/>
          <w:sz w:val="15"/>
        </w:rPr>
      </w:pPr>
    </w:p>
    <w:p>
      <w:pPr>
        <w:pStyle w:val="ListParagraph"/>
        <w:numPr>
          <w:ilvl w:val="4"/>
          <w:numId w:val="10"/>
        </w:numPr>
        <w:tabs>
          <w:tab w:val="left" w:pos="1373"/>
        </w:tabs>
        <w:spacing w:before="1" w:after="0" w:line="278" w:lineRule="auto"/>
        <w:ind w:left="218" w:right="412" w:firstLine="0"/>
        <w:jc w:val="left"/>
        <w:rPr>
          <w:sz w:val="21"/>
        </w:rPr>
      </w:pPr>
      <w:r>
        <w:rPr>
          <w:sz w:val="21"/>
        </w:rPr>
        <w:t>提供团餐服务的餐厅应有菜品剩余原因分析、改进制度，应根据用餐人群需求合理调整菜品，减少餐饮浪费。</w:t>
      </w:r>
    </w:p>
    <w:p>
      <w:pPr>
        <w:spacing w:after="0" w:line="278" w:lineRule="auto"/>
        <w:jc w:val="left"/>
        <w:rPr>
          <w:sz w:val="21"/>
        </w:rPr>
        <w:sectPr>
          <w:headerReference w:type="default" r:id="rId18"/>
          <w:footerReference w:type="default" r:id="rId19"/>
          <w:pgSz w:w="11910" w:h="16840"/>
          <w:pgMar w:top="1640" w:right="720" w:bottom="1340" w:left="1200" w:header="1449" w:footer="1141"/>
          <w:pgNumType w:start="5"/>
          <w:cols w:space="708"/>
        </w:sectPr>
      </w:pPr>
    </w:p>
    <w:p>
      <w:pPr>
        <w:pStyle w:val="BodyText"/>
        <w:spacing w:before="3"/>
        <w:rPr>
          <w:sz w:val="17"/>
        </w:rPr>
      </w:pPr>
      <w:r>
        <w:drawing>
          <wp:anchor distT="0" distB="0" distL="0" distR="0" simplePos="0" relativeHeight="251671552"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p>
    <w:p>
      <w:pPr>
        <w:pStyle w:val="ListParagraph"/>
        <w:numPr>
          <w:ilvl w:val="4"/>
          <w:numId w:val="11"/>
        </w:numPr>
        <w:tabs>
          <w:tab w:val="left" w:pos="1373"/>
        </w:tabs>
        <w:spacing w:before="70" w:after="0" w:line="278" w:lineRule="auto"/>
        <w:ind w:left="218" w:right="412" w:firstLine="0"/>
        <w:jc w:val="left"/>
        <w:rPr>
          <w:sz w:val="21"/>
        </w:rPr>
      </w:pPr>
      <w:r>
        <w:rPr>
          <w:sz w:val="21"/>
        </w:rPr>
        <w:t>应实施精细化管理，利用信息化手段预测用餐人数，对供餐实施动态管理，应设置菜品留样柜。</w:t>
      </w:r>
    </w:p>
    <w:p>
      <w:pPr>
        <w:pStyle w:val="ListParagraph"/>
        <w:numPr>
          <w:ilvl w:val="1"/>
          <w:numId w:val="2"/>
        </w:numPr>
        <w:tabs>
          <w:tab w:val="left" w:pos="744"/>
        </w:tabs>
        <w:spacing w:before="156" w:after="0" w:line="240" w:lineRule="auto"/>
        <w:ind w:left="744" w:right="0" w:hanging="526"/>
        <w:jc w:val="left"/>
        <w:rPr>
          <w:rFonts w:ascii="黑体" w:eastAsia="黑体" w:hint="eastAsia"/>
          <w:sz w:val="21"/>
        </w:rPr>
      </w:pPr>
      <w:bookmarkStart w:id="26" w:name="5.4　节能要求"/>
      <w:bookmarkEnd w:id="26"/>
      <w:r>
        <w:rPr>
          <w:rFonts w:ascii="黑体" w:eastAsia="黑体" w:hint="eastAsia"/>
          <w:sz w:val="21"/>
        </w:rPr>
        <w:t>节能要求</w:t>
      </w:r>
    </w:p>
    <w:p>
      <w:pPr>
        <w:pStyle w:val="BodyText"/>
        <w:spacing w:before="6"/>
        <w:rPr>
          <w:rFonts w:ascii="黑体"/>
          <w:sz w:val="15"/>
        </w:rPr>
      </w:pPr>
    </w:p>
    <w:p>
      <w:pPr>
        <w:pStyle w:val="ListParagraph"/>
        <w:numPr>
          <w:ilvl w:val="2"/>
          <w:numId w:val="2"/>
        </w:numPr>
        <w:tabs>
          <w:tab w:val="left" w:pos="953"/>
        </w:tabs>
        <w:spacing w:before="0" w:after="0" w:line="240" w:lineRule="auto"/>
        <w:ind w:left="952" w:right="0" w:hanging="735"/>
        <w:jc w:val="left"/>
        <w:rPr>
          <w:rFonts w:ascii="黑体" w:eastAsia="黑体" w:hint="eastAsia"/>
          <w:sz w:val="21"/>
        </w:rPr>
      </w:pPr>
      <w:bookmarkStart w:id="27" w:name="5.4.1　设备管理"/>
      <w:bookmarkEnd w:id="27"/>
      <w:r>
        <w:rPr>
          <w:rFonts w:ascii="黑体" w:eastAsia="黑体" w:hint="eastAsia"/>
          <w:sz w:val="21"/>
        </w:rPr>
        <w:t>设备管理</w:t>
      </w:r>
    </w:p>
    <w:p>
      <w:pPr>
        <w:pStyle w:val="BodyText"/>
        <w:spacing w:before="7"/>
        <w:rPr>
          <w:rFonts w:ascii="黑体"/>
          <w:sz w:val="15"/>
        </w:rPr>
      </w:pPr>
    </w:p>
    <w:p>
      <w:pPr>
        <w:pStyle w:val="ListParagraph"/>
        <w:numPr>
          <w:ilvl w:val="3"/>
          <w:numId w:val="2"/>
        </w:numPr>
        <w:tabs>
          <w:tab w:val="left" w:pos="1164"/>
        </w:tabs>
        <w:spacing w:before="0" w:after="0" w:line="278" w:lineRule="auto"/>
        <w:ind w:left="218" w:right="412" w:firstLine="0"/>
        <w:jc w:val="left"/>
        <w:rPr>
          <w:sz w:val="21"/>
        </w:rPr>
      </w:pPr>
      <w:r>
        <w:rPr>
          <w:sz w:val="21"/>
        </w:rPr>
        <w:t>应定期对厨房设备设施以及空调、照明、煤气管道等耗能设备进行巡检和及时维护，确保其运转正常、安全。</w:t>
      </w:r>
    </w:p>
    <w:p>
      <w:pPr>
        <w:pStyle w:val="ListParagraph"/>
        <w:numPr>
          <w:ilvl w:val="3"/>
          <w:numId w:val="2"/>
        </w:numPr>
        <w:tabs>
          <w:tab w:val="left" w:pos="1164"/>
        </w:tabs>
        <w:spacing w:before="0" w:after="0" w:line="278" w:lineRule="auto"/>
        <w:ind w:left="218" w:right="412" w:firstLine="0"/>
        <w:jc w:val="left"/>
        <w:rPr>
          <w:sz w:val="21"/>
        </w:rPr>
      </w:pPr>
      <w:r>
        <w:rPr>
          <w:sz w:val="21"/>
        </w:rPr>
        <w:t>热水炉、微波炉、电磁炉、热水器等餐厅和厨房使用的耗能小电器，均应采购和使用符合国家相应能效限定值及能效等级标准的产品。</w:t>
      </w:r>
    </w:p>
    <w:p>
      <w:pPr>
        <w:pStyle w:val="ListParagraph"/>
        <w:numPr>
          <w:ilvl w:val="3"/>
          <w:numId w:val="2"/>
        </w:numPr>
        <w:tabs>
          <w:tab w:val="left" w:pos="1164"/>
        </w:tabs>
        <w:spacing w:before="0" w:after="0" w:line="278" w:lineRule="auto"/>
        <w:ind w:left="218" w:right="415" w:firstLine="0"/>
        <w:jc w:val="left"/>
        <w:rPr>
          <w:sz w:val="21"/>
        </w:rPr>
      </w:pPr>
      <w:r>
        <w:rPr>
          <w:spacing w:val="-2"/>
          <w:sz w:val="21"/>
        </w:rPr>
        <w:t xml:space="preserve">应建立空调系统运行管理制度，优化空调运行模式，空调运行管理应遵守 </w:t>
      </w:r>
      <w:r>
        <w:rPr>
          <w:sz w:val="21"/>
        </w:rPr>
        <w:t>GB/T</w:t>
      </w:r>
      <w:r>
        <w:rPr>
          <w:spacing w:val="6"/>
          <w:sz w:val="21"/>
        </w:rPr>
        <w:t xml:space="preserve"> </w:t>
      </w:r>
      <w:r>
        <w:rPr>
          <w:sz w:val="21"/>
        </w:rPr>
        <w:t>17981</w:t>
      </w:r>
      <w:r>
        <w:rPr>
          <w:spacing w:val="1"/>
          <w:sz w:val="21"/>
        </w:rPr>
        <w:t xml:space="preserve"> 的规定。</w:t>
      </w:r>
    </w:p>
    <w:p>
      <w:pPr>
        <w:pStyle w:val="ListParagraph"/>
        <w:numPr>
          <w:ilvl w:val="2"/>
          <w:numId w:val="2"/>
        </w:numPr>
        <w:tabs>
          <w:tab w:val="left" w:pos="953"/>
        </w:tabs>
        <w:spacing w:before="156" w:after="0" w:line="240" w:lineRule="auto"/>
        <w:ind w:left="952" w:right="0" w:hanging="735"/>
        <w:jc w:val="left"/>
        <w:rPr>
          <w:rFonts w:ascii="黑体" w:eastAsia="黑体" w:hint="eastAsia"/>
          <w:sz w:val="21"/>
        </w:rPr>
      </w:pPr>
      <w:bookmarkStart w:id="28" w:name="5.4.2　节能管理"/>
      <w:bookmarkEnd w:id="28"/>
      <w:r>
        <w:rPr>
          <w:rFonts w:ascii="黑体" w:eastAsia="黑体" w:hint="eastAsia"/>
          <w:sz w:val="21"/>
        </w:rPr>
        <w:t>节能管理</w:t>
      </w:r>
    </w:p>
    <w:p>
      <w:pPr>
        <w:pStyle w:val="BodyText"/>
        <w:spacing w:before="6"/>
        <w:rPr>
          <w:rFonts w:ascii="黑体"/>
          <w:sz w:val="15"/>
        </w:rPr>
      </w:pPr>
    </w:p>
    <w:p>
      <w:pPr>
        <w:pStyle w:val="ListParagraph"/>
        <w:numPr>
          <w:ilvl w:val="3"/>
          <w:numId w:val="2"/>
        </w:numPr>
        <w:tabs>
          <w:tab w:val="left" w:pos="1164"/>
        </w:tabs>
        <w:spacing w:before="0" w:after="0" w:line="278" w:lineRule="auto"/>
        <w:ind w:left="218" w:right="412" w:firstLine="0"/>
        <w:jc w:val="left"/>
        <w:rPr>
          <w:sz w:val="21"/>
        </w:rPr>
      </w:pPr>
      <w:r>
        <w:rPr>
          <w:sz w:val="21"/>
        </w:rPr>
        <w:t>积极引进新型节水、节能设备设施，降低电能及水资源的消耗，定期对水网进行漏损检测， 加强水资源的回收利用。</w:t>
      </w:r>
    </w:p>
    <w:p>
      <w:pPr>
        <w:pStyle w:val="ListParagraph"/>
        <w:numPr>
          <w:ilvl w:val="3"/>
          <w:numId w:val="2"/>
        </w:numPr>
        <w:tabs>
          <w:tab w:val="left" w:pos="1164"/>
        </w:tabs>
        <w:spacing w:before="0" w:after="0" w:line="278" w:lineRule="auto"/>
        <w:ind w:left="218" w:right="411" w:firstLine="0"/>
        <w:jc w:val="left"/>
        <w:rPr>
          <w:sz w:val="21"/>
        </w:rPr>
      </w:pPr>
      <w:r>
        <w:rPr>
          <w:spacing w:val="-6"/>
          <w:sz w:val="21"/>
        </w:rPr>
        <w:t xml:space="preserve">应使用节能燃气灶，或通过更换节能灶芯实现节能，燃气灶具能效限定值及能效等级应符 </w:t>
      </w:r>
      <w:r>
        <w:rPr>
          <w:sz w:val="21"/>
        </w:rPr>
        <w:t>GB 30531</w:t>
      </w:r>
      <w:r>
        <w:rPr>
          <w:spacing w:val="-12"/>
          <w:sz w:val="21"/>
        </w:rPr>
        <w:t xml:space="preserve"> 的要求。</w:t>
      </w:r>
    </w:p>
    <w:p>
      <w:pPr>
        <w:pStyle w:val="ListParagraph"/>
        <w:numPr>
          <w:ilvl w:val="3"/>
          <w:numId w:val="2"/>
        </w:numPr>
        <w:tabs>
          <w:tab w:val="left" w:pos="1164"/>
        </w:tabs>
        <w:spacing w:before="0" w:after="0" w:line="278" w:lineRule="auto"/>
        <w:ind w:left="218" w:right="412" w:firstLine="0"/>
        <w:jc w:val="left"/>
        <w:rPr>
          <w:sz w:val="21"/>
        </w:rPr>
      </w:pPr>
      <w:r>
        <w:rPr>
          <w:sz w:val="21"/>
        </w:rPr>
        <w:t>应安装水、电、气计量仪表对能耗实施监测，建立台账并每月进行统计、对比分析，促进节能管理水平提升。</w:t>
      </w:r>
    </w:p>
    <w:p>
      <w:pPr>
        <w:pStyle w:val="ListParagraph"/>
        <w:numPr>
          <w:ilvl w:val="3"/>
          <w:numId w:val="2"/>
        </w:numPr>
        <w:tabs>
          <w:tab w:val="left" w:pos="1164"/>
        </w:tabs>
        <w:spacing w:before="0" w:after="0" w:line="278" w:lineRule="auto"/>
        <w:ind w:left="218" w:right="412" w:firstLine="0"/>
        <w:jc w:val="left"/>
        <w:rPr>
          <w:sz w:val="21"/>
        </w:rPr>
      </w:pPr>
      <w:r>
        <w:rPr>
          <w:sz w:val="21"/>
        </w:rPr>
        <w:t>应采购和使用变频装置的设备，对大功率用能设备设置独立的电源和计量装置，用电设备不应空负荷运转或长时间处于待机状态。</w:t>
      </w:r>
    </w:p>
    <w:p>
      <w:pPr>
        <w:pStyle w:val="ListParagraph"/>
        <w:numPr>
          <w:ilvl w:val="1"/>
          <w:numId w:val="2"/>
        </w:numPr>
        <w:tabs>
          <w:tab w:val="left" w:pos="744"/>
        </w:tabs>
        <w:spacing w:before="155" w:after="0" w:line="240" w:lineRule="auto"/>
        <w:ind w:left="744" w:right="0" w:hanging="526"/>
        <w:jc w:val="left"/>
        <w:rPr>
          <w:rFonts w:ascii="黑体" w:eastAsia="黑体" w:hint="eastAsia"/>
          <w:sz w:val="21"/>
        </w:rPr>
      </w:pPr>
      <w:bookmarkStart w:id="29" w:name="5.5　环保要求"/>
      <w:bookmarkEnd w:id="29"/>
      <w:r>
        <w:rPr>
          <w:rFonts w:ascii="黑体" w:eastAsia="黑体" w:hint="eastAsia"/>
          <w:sz w:val="21"/>
        </w:rPr>
        <w:t>环保要求</w:t>
      </w:r>
    </w:p>
    <w:p>
      <w:pPr>
        <w:pStyle w:val="BodyText"/>
        <w:spacing w:before="7"/>
        <w:rPr>
          <w:rFonts w:ascii="黑体"/>
          <w:sz w:val="15"/>
        </w:rPr>
      </w:pPr>
    </w:p>
    <w:p>
      <w:pPr>
        <w:pStyle w:val="ListParagraph"/>
        <w:numPr>
          <w:ilvl w:val="2"/>
          <w:numId w:val="2"/>
        </w:numPr>
        <w:tabs>
          <w:tab w:val="left" w:pos="953"/>
        </w:tabs>
        <w:spacing w:before="0" w:after="0" w:line="240" w:lineRule="auto"/>
        <w:ind w:left="952" w:right="0" w:hanging="735"/>
        <w:jc w:val="left"/>
        <w:rPr>
          <w:rFonts w:ascii="黑体" w:eastAsia="黑体" w:hint="eastAsia"/>
          <w:sz w:val="21"/>
        </w:rPr>
      </w:pPr>
      <w:bookmarkStart w:id="30" w:name="5.5.1　油烟油污"/>
      <w:bookmarkEnd w:id="30"/>
      <w:r>
        <w:rPr>
          <w:rFonts w:ascii="黑体" w:eastAsia="黑体" w:hint="eastAsia"/>
          <w:sz w:val="21"/>
        </w:rPr>
        <w:t>油烟油污</w:t>
      </w:r>
    </w:p>
    <w:p>
      <w:pPr>
        <w:pStyle w:val="BodyText"/>
        <w:spacing w:before="7"/>
        <w:rPr>
          <w:rFonts w:ascii="黑体"/>
          <w:sz w:val="15"/>
        </w:rPr>
      </w:pPr>
    </w:p>
    <w:p>
      <w:pPr>
        <w:pStyle w:val="ListParagraph"/>
        <w:numPr>
          <w:ilvl w:val="3"/>
          <w:numId w:val="2"/>
        </w:numPr>
        <w:tabs>
          <w:tab w:val="left" w:pos="1164"/>
        </w:tabs>
        <w:spacing w:before="0" w:after="0" w:line="278" w:lineRule="auto"/>
        <w:ind w:left="218" w:right="415" w:firstLine="0"/>
        <w:jc w:val="left"/>
        <w:rPr>
          <w:sz w:val="21"/>
        </w:rPr>
      </w:pPr>
      <w:r>
        <w:rPr>
          <w:spacing w:val="-6"/>
          <w:sz w:val="21"/>
        </w:rPr>
        <w:t xml:space="preserve">应安装厨房油烟净化设备，减少油烟排放，厨房排烟应符合 </w:t>
      </w:r>
      <w:r>
        <w:rPr>
          <w:sz w:val="21"/>
        </w:rPr>
        <w:t>GB</w:t>
      </w:r>
      <w:r>
        <w:rPr>
          <w:spacing w:val="-59"/>
          <w:sz w:val="21"/>
        </w:rPr>
        <w:t xml:space="preserve"> </w:t>
      </w:r>
      <w:r>
        <w:rPr>
          <w:sz w:val="21"/>
        </w:rPr>
        <w:t>18483</w:t>
      </w:r>
      <w:r>
        <w:rPr>
          <w:spacing w:val="-9"/>
          <w:sz w:val="21"/>
        </w:rPr>
        <w:t xml:space="preserve"> 的相关要求；油烟净化设备应由专业的企业定期清洁。</w:t>
      </w:r>
    </w:p>
    <w:p>
      <w:pPr>
        <w:pStyle w:val="ListParagraph"/>
        <w:numPr>
          <w:ilvl w:val="3"/>
          <w:numId w:val="2"/>
        </w:numPr>
        <w:tabs>
          <w:tab w:val="left" w:pos="1164"/>
        </w:tabs>
        <w:spacing w:before="0" w:after="0" w:line="278" w:lineRule="auto"/>
        <w:ind w:left="218" w:right="411" w:firstLine="0"/>
        <w:jc w:val="left"/>
        <w:rPr>
          <w:sz w:val="21"/>
        </w:rPr>
      </w:pPr>
      <w:r>
        <w:rPr>
          <w:spacing w:val="-2"/>
          <w:sz w:val="21"/>
        </w:rPr>
        <w:t xml:space="preserve">应安装油污过滤器(或隔油池)、油水分离器并定期清洁，厨房污水的排放应符合 </w:t>
      </w:r>
      <w:r>
        <w:rPr>
          <w:sz w:val="21"/>
        </w:rPr>
        <w:t>GB/T</w:t>
      </w:r>
      <w:r>
        <w:rPr>
          <w:spacing w:val="-52"/>
          <w:sz w:val="21"/>
        </w:rPr>
        <w:t xml:space="preserve"> </w:t>
      </w:r>
      <w:r>
        <w:rPr>
          <w:sz w:val="21"/>
        </w:rPr>
        <w:t>31962 的相关要求。</w:t>
      </w:r>
    </w:p>
    <w:p>
      <w:pPr>
        <w:pStyle w:val="ListParagraph"/>
        <w:numPr>
          <w:ilvl w:val="2"/>
          <w:numId w:val="2"/>
        </w:numPr>
        <w:tabs>
          <w:tab w:val="left" w:pos="953"/>
        </w:tabs>
        <w:spacing w:before="155" w:after="0" w:line="240" w:lineRule="auto"/>
        <w:ind w:left="952" w:right="0" w:hanging="735"/>
        <w:jc w:val="left"/>
        <w:rPr>
          <w:rFonts w:ascii="黑体" w:eastAsia="黑体" w:hint="eastAsia"/>
          <w:sz w:val="21"/>
        </w:rPr>
      </w:pPr>
      <w:bookmarkStart w:id="31" w:name="5.5.2　噪声排放"/>
      <w:bookmarkEnd w:id="31"/>
      <w:r>
        <w:rPr>
          <w:rFonts w:ascii="黑体" w:eastAsia="黑体" w:hint="eastAsia"/>
          <w:sz w:val="21"/>
        </w:rPr>
        <w:t>噪声排放</w:t>
      </w:r>
    </w:p>
    <w:p>
      <w:pPr>
        <w:pStyle w:val="BodyText"/>
        <w:spacing w:before="7"/>
        <w:rPr>
          <w:rFonts w:ascii="黑体"/>
          <w:sz w:val="15"/>
        </w:rPr>
      </w:pPr>
    </w:p>
    <w:p>
      <w:pPr>
        <w:pStyle w:val="ListParagraph"/>
        <w:numPr>
          <w:ilvl w:val="3"/>
          <w:numId w:val="2"/>
        </w:numPr>
        <w:tabs>
          <w:tab w:val="left" w:pos="1164"/>
        </w:tabs>
        <w:spacing w:before="0" w:after="0" w:line="240" w:lineRule="auto"/>
        <w:ind w:left="1164" w:right="0" w:hanging="946"/>
        <w:jc w:val="left"/>
        <w:rPr>
          <w:sz w:val="21"/>
        </w:rPr>
      </w:pPr>
      <w:r>
        <w:rPr>
          <w:sz w:val="21"/>
        </w:rPr>
        <w:t>应对空调外机排烟等噪声源，采取必要的降噪措施。</w:t>
      </w:r>
    </w:p>
    <w:p>
      <w:pPr>
        <w:pStyle w:val="ListParagraph"/>
        <w:numPr>
          <w:ilvl w:val="3"/>
          <w:numId w:val="2"/>
        </w:numPr>
        <w:tabs>
          <w:tab w:val="left" w:pos="1164"/>
        </w:tabs>
        <w:spacing w:before="43" w:after="0" w:line="240" w:lineRule="auto"/>
        <w:ind w:left="1164" w:right="0" w:hanging="946"/>
        <w:jc w:val="left"/>
        <w:rPr>
          <w:sz w:val="21"/>
        </w:rPr>
      </w:pPr>
      <w:r>
        <w:rPr>
          <w:spacing w:val="-7"/>
          <w:sz w:val="21"/>
        </w:rPr>
        <w:t xml:space="preserve">噪音排放应符合 </w:t>
      </w:r>
      <w:r>
        <w:rPr>
          <w:sz w:val="21"/>
        </w:rPr>
        <w:t>GB</w:t>
      </w:r>
      <w:r>
        <w:rPr>
          <w:spacing w:val="-1"/>
          <w:sz w:val="21"/>
        </w:rPr>
        <w:t xml:space="preserve"> </w:t>
      </w:r>
      <w:r>
        <w:rPr>
          <w:sz w:val="21"/>
        </w:rPr>
        <w:t>12348-2008</w:t>
      </w:r>
      <w:r>
        <w:rPr>
          <w:spacing w:val="-36"/>
          <w:sz w:val="21"/>
        </w:rPr>
        <w:t xml:space="preserve"> 第 </w:t>
      </w:r>
      <w:r>
        <w:rPr>
          <w:sz w:val="21"/>
        </w:rPr>
        <w:t>4</w:t>
      </w:r>
      <w:r>
        <w:rPr>
          <w:spacing w:val="-8"/>
          <w:sz w:val="21"/>
        </w:rPr>
        <w:t xml:space="preserve"> 部分环境噪声排放限值。</w:t>
      </w:r>
    </w:p>
    <w:p>
      <w:pPr>
        <w:pStyle w:val="BodyText"/>
        <w:spacing w:before="7"/>
        <w:rPr>
          <w:sz w:val="15"/>
        </w:rPr>
      </w:pPr>
    </w:p>
    <w:p>
      <w:pPr>
        <w:pStyle w:val="ListParagraph"/>
        <w:numPr>
          <w:ilvl w:val="2"/>
          <w:numId w:val="2"/>
        </w:numPr>
        <w:tabs>
          <w:tab w:val="left" w:pos="953"/>
        </w:tabs>
        <w:spacing w:before="0" w:after="0" w:line="240" w:lineRule="auto"/>
        <w:ind w:left="952" w:right="0" w:hanging="735"/>
        <w:jc w:val="left"/>
        <w:rPr>
          <w:rFonts w:ascii="黑体" w:eastAsia="黑体" w:hint="eastAsia"/>
          <w:sz w:val="21"/>
        </w:rPr>
      </w:pPr>
      <w:bookmarkStart w:id="32" w:name="5.5.3　餐厨废弃物"/>
      <w:bookmarkEnd w:id="32"/>
      <w:r>
        <w:rPr>
          <w:rFonts w:ascii="黑体" w:eastAsia="黑体" w:hint="eastAsia"/>
          <w:sz w:val="21"/>
        </w:rPr>
        <w:t>餐厨废弃物</w:t>
      </w:r>
    </w:p>
    <w:p>
      <w:pPr>
        <w:pStyle w:val="BodyText"/>
        <w:spacing w:before="6"/>
        <w:rPr>
          <w:rFonts w:ascii="黑体"/>
          <w:sz w:val="15"/>
        </w:rPr>
      </w:pPr>
    </w:p>
    <w:p>
      <w:pPr>
        <w:pStyle w:val="ListParagraph"/>
        <w:numPr>
          <w:ilvl w:val="3"/>
          <w:numId w:val="2"/>
        </w:numPr>
        <w:tabs>
          <w:tab w:val="left" w:pos="1164"/>
        </w:tabs>
        <w:spacing w:before="1" w:after="0" w:line="240" w:lineRule="auto"/>
        <w:ind w:left="1164" w:right="0" w:hanging="946"/>
        <w:jc w:val="left"/>
        <w:rPr>
          <w:sz w:val="21"/>
        </w:rPr>
      </w:pPr>
      <w:r>
        <w:rPr>
          <w:sz w:val="21"/>
        </w:rPr>
        <w:t>餐厨废弃物应交给有资质的机构回收处理。</w:t>
      </w:r>
    </w:p>
    <w:p>
      <w:pPr>
        <w:pStyle w:val="ListParagraph"/>
        <w:numPr>
          <w:ilvl w:val="3"/>
          <w:numId w:val="2"/>
        </w:numPr>
        <w:tabs>
          <w:tab w:val="left" w:pos="1164"/>
        </w:tabs>
        <w:spacing w:before="43" w:after="0" w:line="278" w:lineRule="auto"/>
        <w:ind w:left="218" w:right="412" w:firstLine="0"/>
        <w:jc w:val="left"/>
        <w:rPr>
          <w:sz w:val="21"/>
        </w:rPr>
      </w:pPr>
      <w:r>
        <w:rPr>
          <w:sz w:val="21"/>
        </w:rPr>
        <w:t>建立餐厨废弃物产生、收运、处置台账，详细记录，餐厨废弃物的种类、数量、去向、用途等情况，并定期向监督管理及环保部门报告。</w:t>
      </w:r>
    </w:p>
    <w:p>
      <w:pPr>
        <w:pStyle w:val="ListParagraph"/>
        <w:numPr>
          <w:ilvl w:val="3"/>
          <w:numId w:val="2"/>
        </w:numPr>
        <w:tabs>
          <w:tab w:val="left" w:pos="1164"/>
        </w:tabs>
        <w:spacing w:before="0" w:after="0" w:line="269" w:lineRule="exact"/>
        <w:ind w:left="1164" w:right="0" w:hanging="946"/>
        <w:jc w:val="left"/>
        <w:rPr>
          <w:sz w:val="21"/>
        </w:rPr>
      </w:pPr>
      <w:r>
        <w:rPr>
          <w:sz w:val="21"/>
        </w:rPr>
        <w:t>废弃物的存放容器应密闭、防腐、易清洗，废弃物日产日清，定期进行消毒。</w:t>
      </w:r>
    </w:p>
    <w:p>
      <w:pPr>
        <w:pStyle w:val="ListParagraph"/>
        <w:numPr>
          <w:ilvl w:val="3"/>
          <w:numId w:val="2"/>
        </w:numPr>
        <w:tabs>
          <w:tab w:val="left" w:pos="1164"/>
        </w:tabs>
        <w:spacing w:before="42" w:after="0" w:line="278" w:lineRule="auto"/>
        <w:ind w:left="218" w:right="412" w:firstLine="0"/>
        <w:jc w:val="left"/>
        <w:rPr>
          <w:sz w:val="21"/>
        </w:rPr>
      </w:pPr>
      <w:r>
        <w:rPr>
          <w:sz w:val="21"/>
        </w:rPr>
        <w:t>废弃物应当实行密闭化运输，运输设备和容器应当具有餐厨废弃物标识，整洁完好，运输中不应泄露、散落。</w:t>
      </w:r>
    </w:p>
    <w:p>
      <w:pPr>
        <w:pStyle w:val="ListParagraph"/>
        <w:numPr>
          <w:ilvl w:val="3"/>
          <w:numId w:val="2"/>
        </w:numPr>
        <w:tabs>
          <w:tab w:val="left" w:pos="1164"/>
        </w:tabs>
        <w:spacing w:before="0" w:after="0" w:line="269" w:lineRule="exact"/>
        <w:ind w:left="1164" w:right="0" w:hanging="946"/>
        <w:jc w:val="left"/>
        <w:rPr>
          <w:sz w:val="21"/>
        </w:rPr>
      </w:pPr>
      <w:r>
        <w:rPr>
          <w:spacing w:val="-3"/>
          <w:sz w:val="21"/>
        </w:rPr>
        <w:t xml:space="preserve">餐厨废弃物应分类投放，垃圾桶的分类标志，应符合 </w:t>
      </w:r>
      <w:r>
        <w:rPr>
          <w:sz w:val="21"/>
        </w:rPr>
        <w:t>GB/T</w:t>
      </w:r>
      <w:r>
        <w:rPr>
          <w:spacing w:val="-2"/>
          <w:sz w:val="21"/>
        </w:rPr>
        <w:t xml:space="preserve"> </w:t>
      </w:r>
      <w:r>
        <w:rPr>
          <w:sz w:val="21"/>
        </w:rPr>
        <w:t>19095</w:t>
      </w:r>
      <w:r>
        <w:rPr>
          <w:spacing w:val="-12"/>
          <w:sz w:val="21"/>
        </w:rPr>
        <w:t xml:space="preserve"> 的要求。</w:t>
      </w:r>
    </w:p>
    <w:p>
      <w:pPr>
        <w:pStyle w:val="ListParagraph"/>
        <w:numPr>
          <w:ilvl w:val="3"/>
          <w:numId w:val="2"/>
        </w:numPr>
        <w:tabs>
          <w:tab w:val="left" w:pos="1164"/>
        </w:tabs>
        <w:spacing w:before="43" w:after="0" w:line="240" w:lineRule="auto"/>
        <w:ind w:left="1164" w:right="0" w:hanging="946"/>
        <w:jc w:val="left"/>
        <w:rPr>
          <w:sz w:val="21"/>
        </w:rPr>
      </w:pPr>
      <w:r>
        <w:rPr>
          <w:sz w:val="21"/>
        </w:rPr>
        <w:t>废弃食用油脂应当单独收集、存放，禁止与其他固体生产生活垃圾相混合。</w:t>
      </w:r>
    </w:p>
    <w:p>
      <w:pPr>
        <w:spacing w:after="0" w:line="240" w:lineRule="auto"/>
        <w:jc w:val="left"/>
        <w:rPr>
          <w:sz w:val="21"/>
        </w:rPr>
        <w:sectPr>
          <w:headerReference w:type="default" r:id="rId20"/>
          <w:footerReference w:type="default" r:id="rId21"/>
          <w:pgSz w:w="11910" w:h="16840"/>
          <w:pgMar w:top="1640" w:right="720" w:bottom="1340" w:left="1200" w:header="1449" w:footer="1141"/>
          <w:pgNumType w:start="6"/>
          <w:cols w:space="708"/>
        </w:sectPr>
      </w:pPr>
    </w:p>
    <w:p>
      <w:pPr>
        <w:pStyle w:val="BodyText"/>
        <w:spacing w:before="3"/>
        <w:rPr>
          <w:sz w:val="17"/>
        </w:rPr>
      </w:pPr>
      <w:r>
        <w:drawing>
          <wp:anchor distT="0" distB="0" distL="0" distR="0" simplePos="0" relativeHeight="251672576"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p>
    <w:p>
      <w:pPr>
        <w:pStyle w:val="ListParagraph"/>
        <w:numPr>
          <w:ilvl w:val="3"/>
          <w:numId w:val="12"/>
        </w:numPr>
        <w:tabs>
          <w:tab w:val="left" w:pos="1164"/>
        </w:tabs>
        <w:spacing w:before="70" w:after="0" w:line="240" w:lineRule="auto"/>
        <w:ind w:left="1164" w:right="0" w:hanging="946"/>
        <w:jc w:val="left"/>
        <w:rPr>
          <w:sz w:val="21"/>
        </w:rPr>
      </w:pPr>
      <w:r>
        <w:rPr>
          <w:sz w:val="21"/>
        </w:rPr>
        <w:t>倡导通过改进食品加工工艺等方式减少废弃食用油脂的产生。</w:t>
      </w:r>
    </w:p>
    <w:p>
      <w:pPr>
        <w:pStyle w:val="BodyText"/>
        <w:spacing w:before="6"/>
        <w:rPr>
          <w:sz w:val="15"/>
        </w:rPr>
      </w:pPr>
    </w:p>
    <w:p>
      <w:pPr>
        <w:pStyle w:val="ListParagraph"/>
        <w:numPr>
          <w:ilvl w:val="2"/>
          <w:numId w:val="12"/>
        </w:numPr>
        <w:tabs>
          <w:tab w:val="left" w:pos="953"/>
        </w:tabs>
        <w:spacing w:before="1" w:after="0" w:line="240" w:lineRule="auto"/>
        <w:ind w:left="952" w:right="0" w:hanging="735"/>
        <w:jc w:val="left"/>
        <w:rPr>
          <w:rFonts w:ascii="黑体" w:eastAsia="黑体" w:hint="eastAsia"/>
          <w:sz w:val="21"/>
        </w:rPr>
      </w:pPr>
      <w:bookmarkStart w:id="33" w:name="5.5.4　清洗消毒"/>
      <w:bookmarkEnd w:id="33"/>
      <w:r>
        <w:rPr>
          <w:rFonts w:ascii="黑体" w:eastAsia="黑体" w:hint="eastAsia"/>
          <w:sz w:val="21"/>
        </w:rPr>
        <w:t>清洗消毒</w:t>
      </w:r>
    </w:p>
    <w:p>
      <w:pPr>
        <w:pStyle w:val="BodyText"/>
        <w:spacing w:before="6"/>
        <w:rPr>
          <w:rFonts w:ascii="黑体"/>
          <w:sz w:val="15"/>
        </w:rPr>
      </w:pPr>
    </w:p>
    <w:p>
      <w:pPr>
        <w:pStyle w:val="ListParagraph"/>
        <w:numPr>
          <w:ilvl w:val="3"/>
          <w:numId w:val="12"/>
        </w:numPr>
        <w:tabs>
          <w:tab w:val="left" w:pos="1164"/>
        </w:tabs>
        <w:spacing w:before="0" w:after="0" w:line="240" w:lineRule="auto"/>
        <w:ind w:left="1164" w:right="0" w:hanging="946"/>
        <w:jc w:val="left"/>
        <w:rPr>
          <w:sz w:val="21"/>
        </w:rPr>
      </w:pPr>
      <w:r>
        <w:rPr>
          <w:spacing w:val="-3"/>
          <w:sz w:val="21"/>
        </w:rPr>
        <w:t xml:space="preserve">应减少对环境的污染，洗涤剂使用应符合 </w:t>
      </w:r>
      <w:r>
        <w:rPr>
          <w:sz w:val="21"/>
        </w:rPr>
        <w:t>GB/T</w:t>
      </w:r>
      <w:r>
        <w:rPr>
          <w:spacing w:val="-1"/>
          <w:sz w:val="21"/>
        </w:rPr>
        <w:t xml:space="preserve"> </w:t>
      </w:r>
      <w:r>
        <w:rPr>
          <w:sz w:val="21"/>
        </w:rPr>
        <w:t>26396</w:t>
      </w:r>
      <w:r>
        <w:rPr>
          <w:spacing w:val="-12"/>
          <w:sz w:val="21"/>
        </w:rPr>
        <w:t xml:space="preserve"> 的要求。</w:t>
      </w:r>
    </w:p>
    <w:p>
      <w:pPr>
        <w:pStyle w:val="ListParagraph"/>
        <w:numPr>
          <w:ilvl w:val="3"/>
          <w:numId w:val="12"/>
        </w:numPr>
        <w:tabs>
          <w:tab w:val="left" w:pos="1164"/>
        </w:tabs>
        <w:spacing w:before="43" w:after="0" w:line="278" w:lineRule="auto"/>
        <w:ind w:left="218" w:right="412" w:firstLine="0"/>
        <w:jc w:val="left"/>
        <w:rPr>
          <w:sz w:val="21"/>
        </w:rPr>
      </w:pPr>
      <w:r>
        <w:rPr>
          <w:sz w:val="21"/>
        </w:rPr>
        <w:t>配置专人进行餐具清洗消毒，操作人员应当保持良好的卫生习惯，清洗消毒时应戴口罩，进入岗位前应先戴手套或洗手消毒。</w:t>
      </w:r>
    </w:p>
    <w:p>
      <w:pPr>
        <w:pStyle w:val="ListParagraph"/>
        <w:numPr>
          <w:ilvl w:val="3"/>
          <w:numId w:val="12"/>
        </w:numPr>
        <w:tabs>
          <w:tab w:val="left" w:pos="1164"/>
        </w:tabs>
        <w:spacing w:before="0" w:after="0" w:line="269" w:lineRule="exact"/>
        <w:ind w:left="1164" w:right="0" w:hanging="946"/>
        <w:jc w:val="left"/>
        <w:rPr>
          <w:sz w:val="21"/>
        </w:rPr>
      </w:pPr>
      <w:r>
        <w:rPr>
          <w:sz w:val="21"/>
        </w:rPr>
        <w:t>接触直接入口食品的餐具使用前应洗净并消毒，不应使用未经清洗、消毒的餐具。</w:t>
      </w:r>
    </w:p>
    <w:p>
      <w:pPr>
        <w:pStyle w:val="ListParagraph"/>
        <w:numPr>
          <w:ilvl w:val="3"/>
          <w:numId w:val="12"/>
        </w:numPr>
        <w:tabs>
          <w:tab w:val="left" w:pos="1164"/>
        </w:tabs>
        <w:spacing w:before="43" w:after="0" w:line="240" w:lineRule="auto"/>
        <w:ind w:left="1164" w:right="0" w:hanging="946"/>
        <w:jc w:val="left"/>
        <w:rPr>
          <w:sz w:val="21"/>
        </w:rPr>
      </w:pPr>
      <w:r>
        <w:rPr>
          <w:sz w:val="21"/>
        </w:rPr>
        <w:t>应定期检查消毒设备、设施是否处于良好状态，采用化学消毒的应定时测量有效消毒浓度。</w:t>
      </w:r>
    </w:p>
    <w:p>
      <w:pPr>
        <w:pStyle w:val="BodyText"/>
        <w:spacing w:before="7"/>
        <w:rPr>
          <w:sz w:val="15"/>
        </w:rPr>
      </w:pPr>
    </w:p>
    <w:p>
      <w:pPr>
        <w:pStyle w:val="ListParagraph"/>
        <w:numPr>
          <w:ilvl w:val="1"/>
          <w:numId w:val="12"/>
        </w:numPr>
        <w:tabs>
          <w:tab w:val="left" w:pos="744"/>
        </w:tabs>
        <w:spacing w:before="0" w:after="0" w:line="240" w:lineRule="auto"/>
        <w:ind w:left="744" w:right="0" w:hanging="526"/>
        <w:jc w:val="left"/>
        <w:rPr>
          <w:rFonts w:ascii="黑体" w:eastAsia="黑体" w:hint="eastAsia"/>
          <w:sz w:val="21"/>
        </w:rPr>
      </w:pPr>
      <w:bookmarkStart w:id="34" w:name="5.6　绿色宣传"/>
      <w:bookmarkEnd w:id="34"/>
      <w:r>
        <w:rPr>
          <w:rFonts w:ascii="黑体" w:eastAsia="黑体" w:hint="eastAsia"/>
          <w:sz w:val="21"/>
        </w:rPr>
        <w:t>绿色宣传</w:t>
      </w:r>
    </w:p>
    <w:p>
      <w:pPr>
        <w:pStyle w:val="BodyText"/>
        <w:spacing w:before="7"/>
        <w:rPr>
          <w:rFonts w:ascii="黑体"/>
          <w:sz w:val="15"/>
        </w:rPr>
      </w:pPr>
    </w:p>
    <w:p>
      <w:pPr>
        <w:pStyle w:val="ListParagraph"/>
        <w:numPr>
          <w:ilvl w:val="2"/>
          <w:numId w:val="12"/>
        </w:numPr>
        <w:tabs>
          <w:tab w:val="left" w:pos="953"/>
        </w:tabs>
        <w:spacing w:before="0" w:after="0" w:line="240" w:lineRule="auto"/>
        <w:ind w:left="952" w:right="0" w:hanging="735"/>
        <w:jc w:val="left"/>
        <w:rPr>
          <w:rFonts w:ascii="黑体" w:eastAsia="黑体" w:hint="eastAsia"/>
          <w:sz w:val="21"/>
        </w:rPr>
      </w:pPr>
      <w:bookmarkStart w:id="35" w:name="5.6.1　宣传方式"/>
      <w:bookmarkEnd w:id="35"/>
      <w:r>
        <w:rPr>
          <w:rFonts w:ascii="黑体" w:eastAsia="黑体" w:hint="eastAsia"/>
          <w:sz w:val="21"/>
        </w:rPr>
        <w:t>宣传方式</w:t>
      </w:r>
    </w:p>
    <w:p>
      <w:pPr>
        <w:pStyle w:val="BodyText"/>
        <w:spacing w:before="6"/>
        <w:rPr>
          <w:rFonts w:ascii="黑体"/>
          <w:sz w:val="15"/>
        </w:rPr>
      </w:pPr>
    </w:p>
    <w:p>
      <w:pPr>
        <w:pStyle w:val="ListParagraph"/>
        <w:numPr>
          <w:ilvl w:val="3"/>
          <w:numId w:val="12"/>
        </w:numPr>
        <w:tabs>
          <w:tab w:val="left" w:pos="1164"/>
        </w:tabs>
        <w:spacing w:before="1" w:after="0" w:line="240" w:lineRule="auto"/>
        <w:ind w:left="1164" w:right="0" w:hanging="946"/>
        <w:jc w:val="left"/>
        <w:rPr>
          <w:sz w:val="21"/>
        </w:rPr>
      </w:pPr>
      <w:r>
        <w:rPr>
          <w:spacing w:val="-14"/>
          <w:sz w:val="21"/>
        </w:rPr>
        <w:t xml:space="preserve">应使用 </w:t>
      </w:r>
      <w:r>
        <w:rPr>
          <w:sz w:val="21"/>
        </w:rPr>
        <w:t>LED</w:t>
      </w:r>
      <w:r>
        <w:rPr>
          <w:spacing w:val="-18"/>
          <w:sz w:val="21"/>
        </w:rPr>
        <w:t xml:space="preserve"> 屏、</w:t>
      </w:r>
      <w:r>
        <w:rPr>
          <w:sz w:val="21"/>
        </w:rPr>
        <w:t>APP、公众号引导消费者和员工厉行节俭。</w:t>
      </w:r>
    </w:p>
    <w:p>
      <w:pPr>
        <w:pStyle w:val="ListParagraph"/>
        <w:numPr>
          <w:ilvl w:val="3"/>
          <w:numId w:val="12"/>
        </w:numPr>
        <w:tabs>
          <w:tab w:val="left" w:pos="1164"/>
        </w:tabs>
        <w:spacing w:before="42" w:after="0" w:line="278" w:lineRule="auto"/>
        <w:ind w:left="218" w:right="412" w:firstLine="0"/>
        <w:jc w:val="left"/>
        <w:rPr>
          <w:sz w:val="21"/>
        </w:rPr>
      </w:pPr>
      <w:r>
        <w:rPr>
          <w:sz w:val="21"/>
        </w:rPr>
        <w:t>应在餐厅的醒目位置，放置公益性提示牌或标语；通过店堂宣传画册、菜单、包装物、席位牌等形式，将倡导绿色、健康、节约的消费理念推送给消费者。</w:t>
      </w:r>
    </w:p>
    <w:p>
      <w:pPr>
        <w:pStyle w:val="ListParagraph"/>
        <w:numPr>
          <w:ilvl w:val="3"/>
          <w:numId w:val="12"/>
        </w:numPr>
        <w:tabs>
          <w:tab w:val="left" w:pos="1164"/>
        </w:tabs>
        <w:spacing w:before="0" w:after="0" w:line="269" w:lineRule="exact"/>
        <w:ind w:left="1164" w:right="0" w:hanging="946"/>
        <w:jc w:val="left"/>
        <w:rPr>
          <w:sz w:val="21"/>
        </w:rPr>
      </w:pPr>
      <w:r>
        <w:rPr>
          <w:sz w:val="21"/>
        </w:rPr>
        <w:t>员工区域应有专门的绿色宣传栏和绿色职责分工表公示。</w:t>
      </w:r>
    </w:p>
    <w:p>
      <w:pPr>
        <w:pStyle w:val="BodyText"/>
        <w:spacing w:before="7"/>
        <w:rPr>
          <w:sz w:val="15"/>
        </w:rPr>
      </w:pPr>
    </w:p>
    <w:p>
      <w:pPr>
        <w:pStyle w:val="ListParagraph"/>
        <w:numPr>
          <w:ilvl w:val="2"/>
          <w:numId w:val="12"/>
        </w:numPr>
        <w:tabs>
          <w:tab w:val="left" w:pos="953"/>
        </w:tabs>
        <w:spacing w:before="0" w:after="0" w:line="240" w:lineRule="auto"/>
        <w:ind w:left="952" w:right="0" w:hanging="735"/>
        <w:jc w:val="left"/>
        <w:rPr>
          <w:rFonts w:ascii="黑体" w:eastAsia="黑体" w:hint="eastAsia"/>
          <w:sz w:val="21"/>
        </w:rPr>
      </w:pPr>
      <w:bookmarkStart w:id="36" w:name="5.6.2　宣传活动"/>
      <w:bookmarkEnd w:id="36"/>
      <w:r>
        <w:rPr>
          <w:rFonts w:ascii="黑体" w:eastAsia="黑体" w:hint="eastAsia"/>
          <w:sz w:val="21"/>
        </w:rPr>
        <w:t>宣传活动</w:t>
      </w:r>
    </w:p>
    <w:p>
      <w:pPr>
        <w:pStyle w:val="BodyText"/>
        <w:spacing w:before="7"/>
        <w:rPr>
          <w:rFonts w:ascii="黑体"/>
          <w:sz w:val="15"/>
        </w:rPr>
      </w:pPr>
    </w:p>
    <w:p>
      <w:pPr>
        <w:pStyle w:val="ListParagraph"/>
        <w:numPr>
          <w:ilvl w:val="3"/>
          <w:numId w:val="12"/>
        </w:numPr>
        <w:tabs>
          <w:tab w:val="left" w:pos="1164"/>
        </w:tabs>
        <w:spacing w:before="0" w:after="0" w:line="240" w:lineRule="auto"/>
        <w:ind w:left="1164" w:right="0" w:hanging="946"/>
        <w:jc w:val="left"/>
        <w:rPr>
          <w:sz w:val="21"/>
        </w:rPr>
      </w:pPr>
      <w:r>
        <w:rPr>
          <w:sz w:val="21"/>
        </w:rPr>
        <w:t>开展节约奖励活动，每月宜对光盘消费者给予优惠。</w:t>
      </w:r>
    </w:p>
    <w:p>
      <w:pPr>
        <w:pStyle w:val="ListParagraph"/>
        <w:numPr>
          <w:ilvl w:val="3"/>
          <w:numId w:val="12"/>
        </w:numPr>
        <w:tabs>
          <w:tab w:val="left" w:pos="1164"/>
        </w:tabs>
        <w:spacing w:before="43" w:after="0" w:line="240" w:lineRule="auto"/>
        <w:ind w:left="1164" w:right="0" w:hanging="946"/>
        <w:jc w:val="left"/>
        <w:rPr>
          <w:sz w:val="21"/>
        </w:rPr>
      </w:pPr>
      <w:r>
        <w:rPr>
          <w:sz w:val="21"/>
        </w:rPr>
        <w:t>每年开展两次以上与绿色餐厅主题有关的社会公益活动，并有相关记录。</w:t>
      </w:r>
    </w:p>
    <w:p>
      <w:pPr>
        <w:pStyle w:val="BodyText"/>
        <w:spacing w:before="9"/>
        <w:rPr>
          <w:sz w:val="27"/>
        </w:rPr>
      </w:pPr>
    </w:p>
    <w:p>
      <w:pPr>
        <w:pStyle w:val="ListParagraph"/>
        <w:numPr>
          <w:ilvl w:val="0"/>
          <w:numId w:val="5"/>
        </w:numPr>
        <w:tabs>
          <w:tab w:val="left" w:pos="533"/>
        </w:tabs>
        <w:spacing w:before="0" w:after="0" w:line="240" w:lineRule="auto"/>
        <w:ind w:left="532" w:right="0" w:hanging="315"/>
        <w:jc w:val="left"/>
        <w:rPr>
          <w:rFonts w:ascii="黑体" w:eastAsia="黑体" w:hint="eastAsia"/>
          <w:sz w:val="21"/>
        </w:rPr>
      </w:pPr>
      <w:bookmarkStart w:id="37" w:name="6　评价主体"/>
      <w:bookmarkEnd w:id="37"/>
      <w:r>
        <w:rPr>
          <w:rFonts w:ascii="黑体" w:eastAsia="黑体" w:hint="eastAsia"/>
          <w:sz w:val="21"/>
        </w:rPr>
        <w:t>评价主体</w:t>
      </w:r>
    </w:p>
    <w:p>
      <w:pPr>
        <w:pStyle w:val="BodyText"/>
        <w:spacing w:before="9"/>
        <w:rPr>
          <w:rFonts w:ascii="黑体"/>
          <w:sz w:val="27"/>
        </w:rPr>
      </w:pPr>
    </w:p>
    <w:p>
      <w:pPr>
        <w:pStyle w:val="BodyText"/>
        <w:ind w:left="633"/>
      </w:pPr>
      <w:r>
        <w:t>绿色餐厅的评价工作应由行业主管部门组织或由行业主管部门委托第三方机构进行评价。</w:t>
      </w:r>
    </w:p>
    <w:p>
      <w:pPr>
        <w:pStyle w:val="BodyText"/>
        <w:spacing w:before="9"/>
        <w:rPr>
          <w:sz w:val="27"/>
        </w:rPr>
      </w:pPr>
    </w:p>
    <w:p>
      <w:pPr>
        <w:pStyle w:val="ListParagraph"/>
        <w:numPr>
          <w:ilvl w:val="0"/>
          <w:numId w:val="5"/>
        </w:numPr>
        <w:tabs>
          <w:tab w:val="left" w:pos="533"/>
        </w:tabs>
        <w:spacing w:before="0" w:after="0" w:line="240" w:lineRule="auto"/>
        <w:ind w:left="532" w:right="0" w:hanging="315"/>
        <w:jc w:val="left"/>
        <w:rPr>
          <w:rFonts w:ascii="黑体" w:eastAsia="黑体" w:hint="eastAsia"/>
          <w:sz w:val="21"/>
        </w:rPr>
      </w:pPr>
      <w:bookmarkStart w:id="38" w:name="7　评价原则和评价依据"/>
      <w:bookmarkEnd w:id="38"/>
      <w:r>
        <w:rPr>
          <w:rFonts w:ascii="黑体" w:eastAsia="黑体" w:hint="eastAsia"/>
          <w:sz w:val="21"/>
        </w:rPr>
        <w:t>评价原则和评价依据</w:t>
      </w:r>
    </w:p>
    <w:p>
      <w:pPr>
        <w:pStyle w:val="BodyText"/>
        <w:spacing w:before="9"/>
        <w:rPr>
          <w:rFonts w:ascii="黑体"/>
          <w:sz w:val="27"/>
        </w:rPr>
      </w:pPr>
    </w:p>
    <w:p>
      <w:pPr>
        <w:pStyle w:val="ListParagraph"/>
        <w:numPr>
          <w:ilvl w:val="1"/>
          <w:numId w:val="5"/>
        </w:numPr>
        <w:tabs>
          <w:tab w:val="left" w:pos="744"/>
        </w:tabs>
        <w:spacing w:before="0" w:after="0" w:line="240" w:lineRule="auto"/>
        <w:ind w:left="744" w:right="0" w:hanging="526"/>
        <w:jc w:val="left"/>
        <w:rPr>
          <w:rFonts w:ascii="黑体" w:eastAsia="黑体" w:hint="eastAsia"/>
          <w:sz w:val="21"/>
        </w:rPr>
      </w:pPr>
      <w:bookmarkStart w:id="39" w:name="7.1　评价原则"/>
      <w:bookmarkEnd w:id="39"/>
      <w:r>
        <w:rPr>
          <w:rFonts w:ascii="黑体" w:eastAsia="黑体" w:hint="eastAsia"/>
          <w:sz w:val="21"/>
        </w:rPr>
        <w:t>评价原则</w:t>
      </w:r>
    </w:p>
    <w:p>
      <w:pPr>
        <w:pStyle w:val="BodyText"/>
        <w:spacing w:before="6"/>
        <w:rPr>
          <w:rFonts w:ascii="黑体"/>
          <w:sz w:val="15"/>
        </w:rPr>
      </w:pPr>
    </w:p>
    <w:p>
      <w:pPr>
        <w:pStyle w:val="ListParagraph"/>
        <w:numPr>
          <w:ilvl w:val="2"/>
          <w:numId w:val="5"/>
        </w:numPr>
        <w:tabs>
          <w:tab w:val="left" w:pos="953"/>
        </w:tabs>
        <w:spacing w:before="1" w:after="0" w:line="240" w:lineRule="auto"/>
        <w:ind w:left="952" w:right="0" w:hanging="735"/>
        <w:jc w:val="left"/>
        <w:rPr>
          <w:rFonts w:ascii="黑体" w:eastAsia="黑体" w:hint="eastAsia"/>
          <w:sz w:val="21"/>
        </w:rPr>
      </w:pPr>
      <w:bookmarkStart w:id="40" w:name="7.1.1　客观性"/>
      <w:bookmarkEnd w:id="40"/>
      <w:r>
        <w:rPr>
          <w:rFonts w:ascii="黑体" w:eastAsia="黑体" w:hint="eastAsia"/>
          <w:sz w:val="21"/>
        </w:rPr>
        <w:t>客观性</w:t>
      </w:r>
    </w:p>
    <w:p>
      <w:pPr>
        <w:pStyle w:val="BodyText"/>
        <w:spacing w:before="6"/>
        <w:rPr>
          <w:rFonts w:ascii="黑体"/>
          <w:sz w:val="15"/>
        </w:rPr>
      </w:pPr>
    </w:p>
    <w:p>
      <w:pPr>
        <w:pStyle w:val="BodyText"/>
        <w:ind w:left="633"/>
      </w:pPr>
      <w:r>
        <w:t>信息采集应全面、合法、规范，评价数据应客观、真实、可靠。</w:t>
      </w:r>
    </w:p>
    <w:p>
      <w:pPr>
        <w:pStyle w:val="BodyText"/>
        <w:spacing w:before="7"/>
        <w:rPr>
          <w:sz w:val="15"/>
        </w:rPr>
      </w:pPr>
    </w:p>
    <w:p>
      <w:pPr>
        <w:pStyle w:val="ListParagraph"/>
        <w:numPr>
          <w:ilvl w:val="2"/>
          <w:numId w:val="5"/>
        </w:numPr>
        <w:tabs>
          <w:tab w:val="left" w:pos="953"/>
        </w:tabs>
        <w:spacing w:before="0" w:after="0" w:line="240" w:lineRule="auto"/>
        <w:ind w:left="952" w:right="0" w:hanging="735"/>
        <w:jc w:val="left"/>
        <w:rPr>
          <w:rFonts w:ascii="黑体" w:eastAsia="黑体" w:hint="eastAsia"/>
          <w:sz w:val="21"/>
        </w:rPr>
      </w:pPr>
      <w:bookmarkStart w:id="41" w:name="7.1.2　公正性"/>
      <w:bookmarkEnd w:id="41"/>
      <w:r>
        <w:rPr>
          <w:rFonts w:ascii="黑体" w:eastAsia="黑体" w:hint="eastAsia"/>
          <w:sz w:val="21"/>
        </w:rPr>
        <w:t>公正性</w:t>
      </w:r>
    </w:p>
    <w:p>
      <w:pPr>
        <w:pStyle w:val="BodyText"/>
        <w:spacing w:before="7"/>
        <w:rPr>
          <w:rFonts w:ascii="黑体"/>
          <w:sz w:val="15"/>
        </w:rPr>
      </w:pPr>
    </w:p>
    <w:p>
      <w:pPr>
        <w:pStyle w:val="BodyText"/>
        <w:ind w:left="638"/>
      </w:pPr>
      <w:r>
        <w:t>评价应公平、公正、公开。</w:t>
      </w:r>
    </w:p>
    <w:p>
      <w:pPr>
        <w:pStyle w:val="BodyText"/>
        <w:spacing w:before="6"/>
        <w:rPr>
          <w:sz w:val="15"/>
        </w:rPr>
      </w:pPr>
    </w:p>
    <w:p>
      <w:pPr>
        <w:pStyle w:val="ListParagraph"/>
        <w:numPr>
          <w:ilvl w:val="2"/>
          <w:numId w:val="5"/>
        </w:numPr>
        <w:tabs>
          <w:tab w:val="left" w:pos="953"/>
        </w:tabs>
        <w:spacing w:before="1" w:after="0" w:line="240" w:lineRule="auto"/>
        <w:ind w:left="952" w:right="0" w:hanging="735"/>
        <w:jc w:val="left"/>
        <w:rPr>
          <w:rFonts w:ascii="黑体" w:eastAsia="黑体" w:hint="eastAsia"/>
          <w:sz w:val="21"/>
        </w:rPr>
      </w:pPr>
      <w:bookmarkStart w:id="42" w:name="7.1.3　科学性"/>
      <w:bookmarkEnd w:id="42"/>
      <w:r>
        <w:rPr>
          <w:rFonts w:ascii="黑体" w:eastAsia="黑体" w:hint="eastAsia"/>
          <w:sz w:val="21"/>
        </w:rPr>
        <w:t>科学性</w:t>
      </w:r>
    </w:p>
    <w:p>
      <w:pPr>
        <w:pStyle w:val="BodyText"/>
        <w:spacing w:before="6"/>
        <w:rPr>
          <w:rFonts w:ascii="黑体"/>
          <w:sz w:val="15"/>
        </w:rPr>
      </w:pPr>
    </w:p>
    <w:p>
      <w:pPr>
        <w:pStyle w:val="BodyText"/>
        <w:ind w:left="638"/>
      </w:pPr>
      <w:r>
        <w:t>评价指标设置应科学、合理，评价过程规范，评价结果可信。</w:t>
      </w:r>
    </w:p>
    <w:p>
      <w:pPr>
        <w:pStyle w:val="BodyText"/>
        <w:spacing w:before="7"/>
        <w:rPr>
          <w:sz w:val="15"/>
        </w:rPr>
      </w:pPr>
    </w:p>
    <w:p>
      <w:pPr>
        <w:pStyle w:val="ListParagraph"/>
        <w:numPr>
          <w:ilvl w:val="2"/>
          <w:numId w:val="5"/>
        </w:numPr>
        <w:tabs>
          <w:tab w:val="left" w:pos="953"/>
        </w:tabs>
        <w:spacing w:before="0" w:after="0" w:line="240" w:lineRule="auto"/>
        <w:ind w:left="952" w:right="0" w:hanging="735"/>
        <w:jc w:val="left"/>
        <w:rPr>
          <w:rFonts w:ascii="黑体" w:eastAsia="黑体" w:hint="eastAsia"/>
          <w:sz w:val="21"/>
        </w:rPr>
      </w:pPr>
      <w:bookmarkStart w:id="43" w:name="7.1.4　安全性"/>
      <w:bookmarkEnd w:id="43"/>
      <w:r>
        <w:rPr>
          <w:rFonts w:ascii="黑体" w:eastAsia="黑体" w:hint="eastAsia"/>
          <w:sz w:val="21"/>
        </w:rPr>
        <w:t>安全性</w:t>
      </w:r>
    </w:p>
    <w:p>
      <w:pPr>
        <w:pStyle w:val="BodyText"/>
        <w:spacing w:before="7"/>
        <w:rPr>
          <w:rFonts w:ascii="黑体"/>
          <w:sz w:val="15"/>
        </w:rPr>
      </w:pPr>
    </w:p>
    <w:p>
      <w:pPr>
        <w:pStyle w:val="BodyText"/>
        <w:ind w:left="638"/>
      </w:pPr>
      <w:r>
        <w:t>评价过程中对餐厅运营的相关数据信息应采取保密措施。</w:t>
      </w:r>
    </w:p>
    <w:p>
      <w:pPr>
        <w:pStyle w:val="BodyText"/>
        <w:spacing w:before="6"/>
        <w:rPr>
          <w:sz w:val="15"/>
        </w:rPr>
      </w:pPr>
    </w:p>
    <w:p>
      <w:pPr>
        <w:pStyle w:val="ListParagraph"/>
        <w:numPr>
          <w:ilvl w:val="1"/>
          <w:numId w:val="5"/>
        </w:numPr>
        <w:tabs>
          <w:tab w:val="left" w:pos="744"/>
        </w:tabs>
        <w:spacing w:before="1" w:after="0" w:line="240" w:lineRule="auto"/>
        <w:ind w:left="744" w:right="0" w:hanging="526"/>
        <w:jc w:val="left"/>
        <w:rPr>
          <w:rFonts w:ascii="黑体" w:eastAsia="黑体" w:hint="eastAsia"/>
          <w:sz w:val="21"/>
        </w:rPr>
      </w:pPr>
      <w:bookmarkStart w:id="44" w:name="7.2　评价依据"/>
      <w:bookmarkEnd w:id="44"/>
      <w:r>
        <w:rPr>
          <w:rFonts w:ascii="黑体" w:eastAsia="黑体" w:hint="eastAsia"/>
          <w:sz w:val="21"/>
        </w:rPr>
        <w:t>评价依据</w:t>
      </w:r>
    </w:p>
    <w:p>
      <w:pPr>
        <w:spacing w:after="0" w:line="240" w:lineRule="auto"/>
        <w:jc w:val="left"/>
        <w:rPr>
          <w:rFonts w:ascii="黑体" w:eastAsia="黑体" w:hint="eastAsia"/>
          <w:sz w:val="21"/>
        </w:rPr>
      </w:pPr>
      <w:r>
        <w:rPr>
          <w:rFonts w:ascii="黑体" w:eastAsia="黑体" w:hint="eastAsia"/>
          <w:sz w:val="21"/>
        </w:rPr>
        <w:br/>
      </w:r>
      <w:r>
        <w:rPr>
          <w:rFonts w:ascii="黑体" w:eastAsia="黑体" w:hint="eastAsia"/>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2" w:history="1">
        <w:r>
          <w:rPr>
            <w:rFonts w:ascii="SimSun" w:eastAsia="SimSun" w:hAnsi="SimSun" w:cs="SimSun"/>
            <w:b/>
            <w:bCs/>
            <w:color w:val="0000EE"/>
            <w:sz w:val="30"/>
            <w:szCs w:val="30"/>
            <w:u w:val="single" w:color="0000EE"/>
          </w:rPr>
          <w:t>https://d.book118.com/268064117134006033</w:t>
        </w:r>
      </w:hyperlink>
    </w:p>
    <w:p>
      <w:pPr>
        <w:spacing w:after="0" w:line="240" w:lineRule="auto"/>
        <w:jc w:val="left"/>
        <w:rPr>
          <w:rFonts w:ascii="黑体" w:eastAsia="黑体" w:hint="eastAsia"/>
          <w:sz w:val="21"/>
        </w:rPr>
      </w:pPr>
    </w:p>
    <w:sectPr>
      <w:headerReference w:type="default" r:id="rId23"/>
      <w:footerReference w:type="default" r:id="rId24"/>
      <w:pgSz w:w="11910" w:h="16840"/>
      <w:pgMar w:top="1640" w:right="720" w:bottom="1340" w:left="1200" w:header="1449" w:footer="1141"/>
      <w:pgNumType w:start="7"/>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5.1pt;height:11pt;margin-top:773.83pt;margin-left:515.28pt;mso-position-horizontal-relative:page;mso-position-vertical-relative:page;position:absolute;z-index:-251658240"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5.1pt;height:11pt;margin-top:773.83pt;margin-left:515.28pt;mso-position-horizontal-relative:page;mso-position-vertical-relative:page;position:absolute;z-index:-251657216"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5.1pt;height:11pt;margin-top:773.83pt;margin-left:515.28pt;mso-position-horizontal-relative:page;mso-position-vertical-relative:page;position:absolute;z-index:-25165619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5.1pt;height:11pt;margin-top:773.83pt;margin-left:515.28pt;mso-position-horizontal-relative:page;mso-position-vertical-relative:page;position:absolute;z-index:-25165516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15.1pt;height:11pt;margin-top:773.83pt;margin-left:515.28pt;mso-position-horizontal-relative:page;mso-position-vertical-relative:page;position:absolute;z-index:-25165414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5.1pt;height:11pt;margin-top:773.83pt;margin-left:515.28pt;mso-position-horizontal-relative:page;mso-position-vertical-relative:page;position:absolute;z-index:-25165312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5.1pt;height:11pt;margin-top:773.83pt;margin-left:515.28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5</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5.1pt;height:11pt;margin-top:773.83pt;margin-left:515.28pt;mso-position-horizontal-relative:page;mso-position-vertical-relative:page;position:absolute;z-index:-25165107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15.1pt;height:11pt;margin-top:773.83pt;margin-left:515.28pt;mso-position-horizontal-relative:page;mso-position-vertical-relative:page;position:absolute;z-index:-2516500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7</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6.55pt;height:12.45pt;margin-top:71.43pt;margin-left:443.12pt;mso-position-horizontal-relative:page;mso-position-vertical-relative:page;position:absolute;z-index:-251658240" filled="f" stroked="f">
          <v:textbox inset="0,0,0,0">
            <w:txbxContent>
              <w:p>
                <w:pPr>
                  <w:pStyle w:val="BodyText"/>
                  <w:spacing w:line="249" w:lineRule="exact"/>
                  <w:ind w:left="20"/>
                  <w:rPr>
                    <w:rFonts w:ascii="黑体" w:hAnsi="黑体"/>
                  </w:rPr>
                </w:pPr>
                <w:r>
                  <w:rPr>
                    <w:rFonts w:ascii="黑体" w:hAnsi="黑体"/>
                  </w:rPr>
                  <w:t>DB 23/T 3662</w:t>
                </w:r>
                <w:r>
                  <w:t>—</w:t>
                </w:r>
                <w:r>
                  <w:rPr>
                    <w:rFonts w:ascii="黑体" w:hAnsi="黑体"/>
                  </w:rPr>
                  <w:t>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96.55pt;height:12.45pt;margin-top:71.43pt;margin-left:443.12pt;mso-position-horizontal-relative:page;mso-position-vertical-relative:page;position:absolute;z-index:-251657216" filled="f" stroked="f">
          <v:textbox inset="0,0,0,0">
            <w:txbxContent>
              <w:p>
                <w:pPr>
                  <w:pStyle w:val="BodyText"/>
                  <w:spacing w:line="249" w:lineRule="exact"/>
                  <w:ind w:left="20"/>
                  <w:rPr>
                    <w:rFonts w:ascii="黑体" w:hAnsi="黑体"/>
                  </w:rPr>
                </w:pPr>
                <w:r>
                  <w:rPr>
                    <w:rFonts w:ascii="黑体" w:hAnsi="黑体"/>
                  </w:rPr>
                  <w:t>DB 23/T 3662</w:t>
                </w:r>
                <w:r>
                  <w:t>—</w:t>
                </w:r>
                <w:r>
                  <w:rPr>
                    <w:rFonts w:ascii="黑体" w:hAnsi="黑体"/>
                  </w:rPr>
                  <w:t>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6.55pt;height:12.45pt;margin-top:71.43pt;margin-left:443.12pt;mso-position-horizontal-relative:page;mso-position-vertical-relative:page;position:absolute;z-index:-251656192" filled="f" stroked="f">
          <v:textbox inset="0,0,0,0">
            <w:txbxContent>
              <w:p>
                <w:pPr>
                  <w:pStyle w:val="BodyText"/>
                  <w:spacing w:line="249" w:lineRule="exact"/>
                  <w:ind w:left="20"/>
                  <w:rPr>
                    <w:rFonts w:ascii="黑体" w:hAnsi="黑体"/>
                  </w:rPr>
                </w:pPr>
                <w:r>
                  <w:rPr>
                    <w:rFonts w:ascii="黑体" w:hAnsi="黑体"/>
                  </w:rPr>
                  <w:t>DB 23/T 3662</w:t>
                </w:r>
                <w:r>
                  <w:t>—</w:t>
                </w:r>
                <w:r>
                  <w:rPr>
                    <w:rFonts w:ascii="黑体" w:hAnsi="黑体"/>
                  </w:rPr>
                  <w:t>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96.55pt;height:12.45pt;margin-top:71.43pt;margin-left:443.12pt;mso-position-horizontal-relative:page;mso-position-vertical-relative:page;position:absolute;z-index:-251655168" filled="f" stroked="f">
          <v:textbox inset="0,0,0,0">
            <w:txbxContent>
              <w:p>
                <w:pPr>
                  <w:pStyle w:val="BodyText"/>
                  <w:spacing w:line="249" w:lineRule="exact"/>
                  <w:ind w:left="20"/>
                  <w:rPr>
                    <w:rFonts w:ascii="黑体" w:hAnsi="黑体"/>
                  </w:rPr>
                </w:pPr>
                <w:r>
                  <w:rPr>
                    <w:rFonts w:ascii="黑体" w:hAnsi="黑体"/>
                  </w:rPr>
                  <w:t>DB 23/T 3662</w:t>
                </w:r>
                <w:r>
                  <w:t>—</w:t>
                </w:r>
                <w:r>
                  <w:rPr>
                    <w:rFonts w:ascii="黑体" w:hAnsi="黑体"/>
                  </w:rPr>
                  <w:t>2023</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6.55pt;height:12.45pt;margin-top:71.43pt;margin-left:443.12pt;mso-position-horizontal-relative:page;mso-position-vertical-relative:page;position:absolute;z-index:-251654144" filled="f" stroked="f">
          <v:textbox inset="0,0,0,0">
            <w:txbxContent>
              <w:p>
                <w:pPr>
                  <w:pStyle w:val="BodyText"/>
                  <w:spacing w:line="249" w:lineRule="exact"/>
                  <w:ind w:left="20"/>
                  <w:rPr>
                    <w:rFonts w:ascii="黑体" w:hAnsi="黑体"/>
                  </w:rPr>
                </w:pPr>
                <w:r>
                  <w:rPr>
                    <w:rFonts w:ascii="黑体" w:hAnsi="黑体"/>
                  </w:rPr>
                  <w:t>DB 23/T 3662</w:t>
                </w:r>
                <w:r>
                  <w:t>—</w:t>
                </w:r>
                <w:r>
                  <w:rPr>
                    <w:rFonts w:ascii="黑体" w:hAnsi="黑体"/>
                  </w:rPr>
                  <w:t>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96.55pt;height:12.45pt;margin-top:71.43pt;margin-left:443.12pt;mso-position-horizontal-relative:page;mso-position-vertical-relative:page;position:absolute;z-index:-251653120" filled="f" stroked="f">
          <v:textbox inset="0,0,0,0">
            <w:txbxContent>
              <w:p>
                <w:pPr>
                  <w:pStyle w:val="BodyText"/>
                  <w:spacing w:line="249" w:lineRule="exact"/>
                  <w:ind w:left="20"/>
                  <w:rPr>
                    <w:rFonts w:ascii="黑体" w:hAnsi="黑体"/>
                  </w:rPr>
                </w:pPr>
                <w:r>
                  <w:rPr>
                    <w:rFonts w:ascii="黑体" w:hAnsi="黑体"/>
                  </w:rPr>
                  <w:t>DB 23/T 3662</w:t>
                </w:r>
                <w:r>
                  <w:t>—</w:t>
                </w:r>
                <w:r>
                  <w:rPr>
                    <w:rFonts w:ascii="黑体" w:hAnsi="黑体"/>
                  </w:rPr>
                  <w:t>2023</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6.55pt;height:12.45pt;margin-top:71.43pt;margin-left:443.12pt;mso-position-horizontal-relative:page;mso-position-vertical-relative:page;position:absolute;z-index:-251652096" filled="f" stroked="f">
          <v:textbox inset="0,0,0,0">
            <w:txbxContent>
              <w:p>
                <w:pPr>
                  <w:pStyle w:val="BodyText"/>
                  <w:spacing w:line="249" w:lineRule="exact"/>
                  <w:ind w:left="20"/>
                  <w:rPr>
                    <w:rFonts w:ascii="黑体" w:hAnsi="黑体"/>
                  </w:rPr>
                </w:pPr>
                <w:r>
                  <w:rPr>
                    <w:rFonts w:ascii="黑体" w:hAnsi="黑体"/>
                  </w:rPr>
                  <w:t>DB 23/T 3662</w:t>
                </w:r>
                <w:r>
                  <w:t>—</w:t>
                </w:r>
                <w:r>
                  <w:rPr>
                    <w:rFonts w:ascii="黑体" w:hAnsi="黑体"/>
                  </w:rPr>
                  <w:t>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96.55pt;height:12.45pt;margin-top:71.43pt;margin-left:443.12pt;mso-position-horizontal-relative:page;mso-position-vertical-relative:page;position:absolute;z-index:-251651072" filled="f" stroked="f">
          <v:textbox inset="0,0,0,0">
            <w:txbxContent>
              <w:p>
                <w:pPr>
                  <w:pStyle w:val="BodyText"/>
                  <w:spacing w:line="249" w:lineRule="exact"/>
                  <w:ind w:left="20"/>
                  <w:rPr>
                    <w:rFonts w:ascii="黑体" w:hAnsi="黑体"/>
                  </w:rPr>
                </w:pPr>
                <w:r>
                  <w:rPr>
                    <w:rFonts w:ascii="黑体" w:hAnsi="黑体"/>
                  </w:rPr>
                  <w:t>DB 23/T 3662</w:t>
                </w:r>
                <w:r>
                  <w:t>—</w:t>
                </w:r>
                <w:r>
                  <w:rPr>
                    <w:rFonts w:ascii="黑体" w:hAnsi="黑体"/>
                  </w:rPr>
                  <w:t>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96.55pt;height:12.45pt;margin-top:71.43pt;margin-left:443.12pt;mso-position-horizontal-relative:page;mso-position-vertical-relative:page;position:absolute;z-index:-251650048" filled="f" stroked="f">
          <v:textbox inset="0,0,0,0">
            <w:txbxContent>
              <w:p>
                <w:pPr>
                  <w:pStyle w:val="BodyText"/>
                  <w:spacing w:line="249" w:lineRule="exact"/>
                  <w:ind w:left="20"/>
                  <w:rPr>
                    <w:rFonts w:ascii="黑体" w:hAnsi="黑体"/>
                  </w:rPr>
                </w:pPr>
                <w:r>
                  <w:rPr>
                    <w:rFonts w:ascii="黑体" w:hAnsi="黑体"/>
                  </w:rPr>
                  <w:t>DB 23/T 3662</w:t>
                </w:r>
                <w:r>
                  <w:t>—</w:t>
                </w:r>
                <w:r>
                  <w:rPr>
                    <w:rFonts w:ascii="黑体" w:hAnsi="黑体"/>
                  </w:rPr>
                  <w:t>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8AF6F"/>
    <w:multiLevelType w:val="hybridMultilevel"/>
    <w:tmpl w:val="00000000"/>
    <w:lvl w:ilvl="0">
      <w:start w:val="1"/>
      <w:numFmt w:val="decimal"/>
      <w:lvlText w:val="%1"/>
      <w:lvlJc w:val="left"/>
      <w:pPr>
        <w:ind w:left="532" w:hanging="315"/>
        <w:jc w:val="left"/>
      </w:pPr>
      <w:rPr>
        <w:rFonts w:ascii="黑体" w:eastAsia="黑体" w:hAnsi="黑体" w:cs="黑体" w:hint="default"/>
        <w:w w:val="99"/>
        <w:sz w:val="21"/>
        <w:szCs w:val="21"/>
        <w:lang w:val="ca-ES" w:eastAsia="en-US" w:bidi="ar-SA"/>
      </w:rPr>
    </w:lvl>
    <w:lvl w:ilvl="1">
      <w:start w:val="1"/>
      <w:numFmt w:val="decimal"/>
      <w:lvlText w:val="%1.%2"/>
      <w:lvlJc w:val="left"/>
      <w:pPr>
        <w:ind w:left="744" w:hanging="526"/>
        <w:jc w:val="left"/>
      </w:pPr>
      <w:rPr>
        <w:rFonts w:ascii="黑体" w:eastAsia="黑体" w:hAnsi="黑体" w:cs="黑体" w:hint="default"/>
        <w:spacing w:val="0"/>
        <w:w w:val="99"/>
        <w:sz w:val="21"/>
        <w:szCs w:val="21"/>
        <w:lang w:val="ca-ES" w:eastAsia="en-US" w:bidi="ar-SA"/>
      </w:rPr>
    </w:lvl>
    <w:lvl w:ilvl="2">
      <w:start w:val="1"/>
      <w:numFmt w:val="decimal"/>
      <w:lvlText w:val="%1.%2.%3"/>
      <w:lvlJc w:val="left"/>
      <w:pPr>
        <w:ind w:left="218" w:hanging="720"/>
        <w:jc w:val="left"/>
      </w:pPr>
      <w:rPr>
        <w:rFonts w:ascii="黑体" w:eastAsia="黑体" w:hAnsi="黑体" w:cs="黑体" w:hint="default"/>
        <w:spacing w:val="-2"/>
        <w:w w:val="99"/>
        <w:sz w:val="21"/>
        <w:szCs w:val="21"/>
        <w:lang w:val="ca-ES" w:eastAsia="en-US" w:bidi="ar-SA"/>
      </w:rPr>
    </w:lvl>
    <w:lvl w:ilvl="3">
      <w:start w:val="1"/>
      <w:numFmt w:val="decimal"/>
      <w:lvlText w:val="%1.%2.%3.%4"/>
      <w:lvlJc w:val="left"/>
      <w:pPr>
        <w:ind w:left="1164" w:hanging="946"/>
        <w:jc w:val="left"/>
      </w:pPr>
      <w:rPr>
        <w:rFonts w:ascii="黑体" w:eastAsia="黑体" w:hAnsi="黑体" w:cs="黑体" w:hint="default"/>
        <w:spacing w:val="-2"/>
        <w:w w:val="99"/>
        <w:sz w:val="21"/>
        <w:szCs w:val="21"/>
        <w:lang w:val="ca-ES" w:eastAsia="en-US" w:bidi="ar-SA"/>
      </w:rPr>
    </w:lvl>
    <w:lvl w:ilvl="4">
      <w:start w:val="0"/>
      <w:numFmt w:val="bullet"/>
      <w:lvlText w:val="•"/>
      <w:lvlJc w:val="left"/>
      <w:pPr>
        <w:ind w:left="1160" w:hanging="946"/>
      </w:pPr>
      <w:rPr>
        <w:rFonts w:hint="default"/>
        <w:lang w:val="ca-ES" w:eastAsia="en-US" w:bidi="ar-SA"/>
      </w:rPr>
    </w:lvl>
    <w:lvl w:ilvl="5">
      <w:start w:val="0"/>
      <w:numFmt w:val="bullet"/>
      <w:lvlText w:val="•"/>
      <w:lvlJc w:val="left"/>
      <w:pPr>
        <w:ind w:left="2631" w:hanging="946"/>
      </w:pPr>
      <w:rPr>
        <w:rFonts w:hint="default"/>
        <w:lang w:val="ca-ES" w:eastAsia="en-US" w:bidi="ar-SA"/>
      </w:rPr>
    </w:lvl>
    <w:lvl w:ilvl="6">
      <w:start w:val="0"/>
      <w:numFmt w:val="bullet"/>
      <w:lvlText w:val="•"/>
      <w:lvlJc w:val="left"/>
      <w:pPr>
        <w:ind w:left="4102" w:hanging="946"/>
      </w:pPr>
      <w:rPr>
        <w:rFonts w:hint="default"/>
        <w:lang w:val="ca-ES" w:eastAsia="en-US" w:bidi="ar-SA"/>
      </w:rPr>
    </w:lvl>
    <w:lvl w:ilvl="7">
      <w:start w:val="0"/>
      <w:numFmt w:val="bullet"/>
      <w:lvlText w:val="•"/>
      <w:lvlJc w:val="left"/>
      <w:pPr>
        <w:ind w:left="5573" w:hanging="946"/>
      </w:pPr>
      <w:rPr>
        <w:rFonts w:hint="default"/>
        <w:lang w:val="ca-ES" w:eastAsia="en-US" w:bidi="ar-SA"/>
      </w:rPr>
    </w:lvl>
    <w:lvl w:ilvl="8">
      <w:start w:val="0"/>
      <w:numFmt w:val="bullet"/>
      <w:lvlText w:val="•"/>
      <w:lvlJc w:val="left"/>
      <w:pPr>
        <w:ind w:left="7044" w:hanging="946"/>
      </w:pPr>
      <w:rPr>
        <w:rFonts w:hint="default"/>
        <w:lang w:val="ca-ES" w:eastAsia="en-US" w:bidi="ar-SA"/>
      </w:rPr>
    </w:lvl>
  </w:abstractNum>
  <w:abstractNum w:abstractNumId="1">
    <w:nsid w:val="09FB6CA3"/>
    <w:multiLevelType w:val="hybridMultilevel"/>
    <w:tmpl w:val="00000000"/>
    <w:lvl w:ilvl="0">
      <w:start w:val="1"/>
      <w:numFmt w:val="decimal"/>
      <w:lvlText w:val="%1"/>
      <w:lvlJc w:val="left"/>
      <w:pPr>
        <w:ind w:left="532" w:hanging="315"/>
        <w:jc w:val="left"/>
      </w:pPr>
      <w:rPr>
        <w:rFonts w:ascii="黑体" w:eastAsia="黑体" w:hAnsi="黑体" w:cs="黑体" w:hint="default"/>
        <w:w w:val="99"/>
        <w:sz w:val="21"/>
        <w:szCs w:val="21"/>
        <w:lang w:val="ca-ES" w:eastAsia="en-US" w:bidi="ar-SA"/>
      </w:rPr>
    </w:lvl>
    <w:lvl w:ilvl="1">
      <w:start w:val="1"/>
      <w:numFmt w:val="decimal"/>
      <w:lvlText w:val="%1.%2"/>
      <w:lvlJc w:val="left"/>
      <w:pPr>
        <w:ind w:left="744" w:hanging="526"/>
        <w:jc w:val="left"/>
      </w:pPr>
      <w:rPr>
        <w:rFonts w:ascii="黑体" w:eastAsia="黑体" w:hAnsi="黑体" w:cs="黑体" w:hint="default"/>
        <w:spacing w:val="0"/>
        <w:w w:val="99"/>
        <w:sz w:val="21"/>
        <w:szCs w:val="21"/>
        <w:lang w:val="ca-ES" w:eastAsia="en-US" w:bidi="ar-SA"/>
      </w:rPr>
    </w:lvl>
    <w:lvl w:ilvl="2">
      <w:start w:val="1"/>
      <w:numFmt w:val="decimal"/>
      <w:lvlText w:val="%1.%2.%3"/>
      <w:lvlJc w:val="left"/>
      <w:pPr>
        <w:ind w:left="218" w:hanging="720"/>
        <w:jc w:val="left"/>
      </w:pPr>
      <w:rPr>
        <w:rFonts w:ascii="黑体" w:eastAsia="黑体" w:hAnsi="黑体" w:cs="黑体" w:hint="default"/>
        <w:spacing w:val="-2"/>
        <w:w w:val="99"/>
        <w:sz w:val="21"/>
        <w:szCs w:val="21"/>
        <w:lang w:val="ca-ES" w:eastAsia="en-US" w:bidi="ar-SA"/>
      </w:rPr>
    </w:lvl>
    <w:lvl w:ilvl="3">
      <w:start w:val="1"/>
      <w:numFmt w:val="decimal"/>
      <w:lvlText w:val="%1.%2.%3.%4"/>
      <w:lvlJc w:val="left"/>
      <w:pPr>
        <w:ind w:left="1164" w:hanging="946"/>
        <w:jc w:val="left"/>
      </w:pPr>
      <w:rPr>
        <w:rFonts w:ascii="黑体" w:eastAsia="黑体" w:hAnsi="黑体" w:cs="黑体" w:hint="default"/>
        <w:spacing w:val="-2"/>
        <w:w w:val="99"/>
        <w:sz w:val="21"/>
        <w:szCs w:val="21"/>
        <w:lang w:val="ca-ES" w:eastAsia="en-US" w:bidi="ar-SA"/>
      </w:rPr>
    </w:lvl>
    <w:lvl w:ilvl="4">
      <w:start w:val="0"/>
      <w:numFmt w:val="bullet"/>
      <w:lvlText w:val="•"/>
      <w:lvlJc w:val="left"/>
      <w:pPr>
        <w:ind w:left="1160" w:hanging="946"/>
      </w:pPr>
      <w:rPr>
        <w:rFonts w:hint="default"/>
        <w:lang w:val="ca-ES" w:eastAsia="en-US" w:bidi="ar-SA"/>
      </w:rPr>
    </w:lvl>
    <w:lvl w:ilvl="5">
      <w:start w:val="0"/>
      <w:numFmt w:val="bullet"/>
      <w:lvlText w:val="•"/>
      <w:lvlJc w:val="left"/>
      <w:pPr>
        <w:ind w:left="2631" w:hanging="946"/>
      </w:pPr>
      <w:rPr>
        <w:rFonts w:hint="default"/>
        <w:lang w:val="ca-ES" w:eastAsia="en-US" w:bidi="ar-SA"/>
      </w:rPr>
    </w:lvl>
    <w:lvl w:ilvl="6">
      <w:start w:val="0"/>
      <w:numFmt w:val="bullet"/>
      <w:lvlText w:val="•"/>
      <w:lvlJc w:val="left"/>
      <w:pPr>
        <w:ind w:left="4102" w:hanging="946"/>
      </w:pPr>
      <w:rPr>
        <w:rFonts w:hint="default"/>
        <w:lang w:val="ca-ES" w:eastAsia="en-US" w:bidi="ar-SA"/>
      </w:rPr>
    </w:lvl>
    <w:lvl w:ilvl="7">
      <w:start w:val="0"/>
      <w:numFmt w:val="bullet"/>
      <w:lvlText w:val="•"/>
      <w:lvlJc w:val="left"/>
      <w:pPr>
        <w:ind w:left="5573" w:hanging="946"/>
      </w:pPr>
      <w:rPr>
        <w:rFonts w:hint="default"/>
        <w:lang w:val="ca-ES" w:eastAsia="en-US" w:bidi="ar-SA"/>
      </w:rPr>
    </w:lvl>
    <w:lvl w:ilvl="8">
      <w:start w:val="0"/>
      <w:numFmt w:val="bullet"/>
      <w:lvlText w:val="•"/>
      <w:lvlJc w:val="left"/>
      <w:pPr>
        <w:ind w:left="7044" w:hanging="946"/>
      </w:pPr>
      <w:rPr>
        <w:rFonts w:hint="default"/>
        <w:lang w:val="ca-ES" w:eastAsia="en-US" w:bidi="ar-SA"/>
      </w:rPr>
    </w:lvl>
  </w:abstractNum>
  <w:abstractNum w:abstractNumId="2">
    <w:nsid w:val="0F7921BF"/>
    <w:multiLevelType w:val="hybridMultilevel"/>
    <w:tmpl w:val="00000000"/>
    <w:lvl w:ilvl="0">
      <w:start w:val="5"/>
      <w:numFmt w:val="decimal"/>
      <w:lvlText w:val="%1"/>
      <w:lvlJc w:val="left"/>
      <w:pPr>
        <w:ind w:left="744" w:hanging="526"/>
        <w:jc w:val="left"/>
      </w:pPr>
      <w:rPr>
        <w:rFonts w:hint="default"/>
        <w:lang w:val="ca-ES" w:eastAsia="en-US" w:bidi="ar-SA"/>
      </w:rPr>
    </w:lvl>
    <w:lvl w:ilvl="1">
      <w:start w:val="3"/>
      <w:numFmt w:val="decimal"/>
      <w:lvlText w:val="%1.%2"/>
      <w:lvlJc w:val="left"/>
      <w:pPr>
        <w:ind w:left="744" w:hanging="526"/>
        <w:jc w:val="left"/>
      </w:pPr>
      <w:rPr>
        <w:rFonts w:ascii="黑体" w:eastAsia="黑体" w:hAnsi="黑体" w:cs="黑体" w:hint="default"/>
        <w:spacing w:val="0"/>
        <w:w w:val="99"/>
        <w:sz w:val="21"/>
        <w:szCs w:val="21"/>
        <w:lang w:val="ca-ES" w:eastAsia="en-US" w:bidi="ar-SA"/>
      </w:rPr>
    </w:lvl>
    <w:lvl w:ilvl="2">
      <w:start w:val="1"/>
      <w:numFmt w:val="decimal"/>
      <w:lvlText w:val="%1.%2.%3"/>
      <w:lvlJc w:val="left"/>
      <w:pPr>
        <w:ind w:left="952" w:hanging="735"/>
        <w:jc w:val="left"/>
      </w:pPr>
      <w:rPr>
        <w:rFonts w:ascii="黑体" w:eastAsia="黑体" w:hAnsi="黑体" w:cs="黑体" w:hint="default"/>
        <w:spacing w:val="-2"/>
        <w:w w:val="99"/>
        <w:sz w:val="21"/>
        <w:szCs w:val="21"/>
        <w:lang w:val="ca-ES" w:eastAsia="en-US" w:bidi="ar-SA"/>
      </w:rPr>
    </w:lvl>
    <w:lvl w:ilvl="3">
      <w:start w:val="1"/>
      <w:numFmt w:val="decimal"/>
      <w:lvlText w:val="%1.%2.%3.%4"/>
      <w:lvlJc w:val="left"/>
      <w:pPr>
        <w:ind w:left="1164" w:hanging="946"/>
        <w:jc w:val="left"/>
      </w:pPr>
      <w:rPr>
        <w:rFonts w:ascii="黑体" w:eastAsia="黑体" w:hAnsi="黑体" w:cs="黑体" w:hint="default"/>
        <w:spacing w:val="-2"/>
        <w:w w:val="99"/>
        <w:sz w:val="21"/>
        <w:szCs w:val="21"/>
        <w:lang w:val="ca-ES" w:eastAsia="en-US" w:bidi="ar-SA"/>
      </w:rPr>
    </w:lvl>
    <w:lvl w:ilvl="4">
      <w:start w:val="1"/>
      <w:numFmt w:val="decimal"/>
      <w:lvlText w:val="%1.%2.%3.%4.%5"/>
      <w:lvlJc w:val="left"/>
      <w:pPr>
        <w:ind w:left="218" w:hanging="1155"/>
        <w:jc w:val="left"/>
      </w:pPr>
      <w:rPr>
        <w:rFonts w:ascii="黑体" w:eastAsia="黑体" w:hAnsi="黑体" w:cs="黑体" w:hint="default"/>
        <w:spacing w:val="-2"/>
        <w:w w:val="99"/>
        <w:sz w:val="21"/>
        <w:szCs w:val="21"/>
        <w:lang w:val="ca-ES" w:eastAsia="en-US" w:bidi="ar-SA"/>
      </w:rPr>
    </w:lvl>
    <w:lvl w:ilvl="5">
      <w:start w:val="0"/>
      <w:numFmt w:val="bullet"/>
      <w:lvlText w:val="•"/>
      <w:lvlJc w:val="left"/>
      <w:pPr>
        <w:ind w:left="3681" w:hanging="1155"/>
      </w:pPr>
      <w:rPr>
        <w:rFonts w:hint="default"/>
        <w:lang w:val="ca-ES" w:eastAsia="en-US" w:bidi="ar-SA"/>
      </w:rPr>
    </w:lvl>
    <w:lvl w:ilvl="6">
      <w:start w:val="0"/>
      <w:numFmt w:val="bullet"/>
      <w:lvlText w:val="•"/>
      <w:lvlJc w:val="left"/>
      <w:pPr>
        <w:ind w:left="4942" w:hanging="1155"/>
      </w:pPr>
      <w:rPr>
        <w:rFonts w:hint="default"/>
        <w:lang w:val="ca-ES" w:eastAsia="en-US" w:bidi="ar-SA"/>
      </w:rPr>
    </w:lvl>
    <w:lvl w:ilvl="7">
      <w:start w:val="0"/>
      <w:numFmt w:val="bullet"/>
      <w:lvlText w:val="•"/>
      <w:lvlJc w:val="left"/>
      <w:pPr>
        <w:ind w:left="6203" w:hanging="1155"/>
      </w:pPr>
      <w:rPr>
        <w:rFonts w:hint="default"/>
        <w:lang w:val="ca-ES" w:eastAsia="en-US" w:bidi="ar-SA"/>
      </w:rPr>
    </w:lvl>
    <w:lvl w:ilvl="8">
      <w:start w:val="0"/>
      <w:numFmt w:val="bullet"/>
      <w:lvlText w:val="•"/>
      <w:lvlJc w:val="left"/>
      <w:pPr>
        <w:ind w:left="7464" w:hanging="1155"/>
      </w:pPr>
      <w:rPr>
        <w:rFonts w:hint="default"/>
        <w:lang w:val="ca-ES" w:eastAsia="en-US" w:bidi="ar-SA"/>
      </w:rPr>
    </w:lvl>
  </w:abstractNum>
  <w:abstractNum w:abstractNumId="3">
    <w:nsid w:val="2B78E89B"/>
    <w:multiLevelType w:val="hybridMultilevel"/>
    <w:tmpl w:val="00000000"/>
    <w:lvl w:ilvl="0">
      <w:start w:val="5"/>
      <w:numFmt w:val="decimal"/>
      <w:lvlText w:val="%1"/>
      <w:lvlJc w:val="left"/>
      <w:pPr>
        <w:ind w:left="744" w:hanging="526"/>
        <w:jc w:val="left"/>
      </w:pPr>
      <w:rPr>
        <w:rFonts w:hint="default"/>
        <w:lang w:val="ca-ES" w:eastAsia="en-US" w:bidi="ar-SA"/>
      </w:rPr>
    </w:lvl>
    <w:lvl w:ilvl="1">
      <w:start w:val="3"/>
      <w:numFmt w:val="decimal"/>
      <w:lvlText w:val="%1.%2"/>
      <w:lvlJc w:val="left"/>
      <w:pPr>
        <w:ind w:left="744" w:hanging="526"/>
        <w:jc w:val="left"/>
      </w:pPr>
      <w:rPr>
        <w:rFonts w:ascii="黑体" w:eastAsia="黑体" w:hAnsi="黑体" w:cs="黑体" w:hint="default"/>
        <w:spacing w:val="0"/>
        <w:w w:val="99"/>
        <w:sz w:val="21"/>
        <w:szCs w:val="21"/>
        <w:lang w:val="ca-ES" w:eastAsia="en-US" w:bidi="ar-SA"/>
      </w:rPr>
    </w:lvl>
    <w:lvl w:ilvl="2">
      <w:start w:val="1"/>
      <w:numFmt w:val="decimal"/>
      <w:lvlText w:val="%1.%2.%3"/>
      <w:lvlJc w:val="left"/>
      <w:pPr>
        <w:ind w:left="952" w:hanging="735"/>
        <w:jc w:val="left"/>
      </w:pPr>
      <w:rPr>
        <w:rFonts w:ascii="黑体" w:eastAsia="黑体" w:hAnsi="黑体" w:cs="黑体" w:hint="default"/>
        <w:spacing w:val="-2"/>
        <w:w w:val="99"/>
        <w:sz w:val="21"/>
        <w:szCs w:val="21"/>
        <w:lang w:val="ca-ES" w:eastAsia="en-US" w:bidi="ar-SA"/>
      </w:rPr>
    </w:lvl>
    <w:lvl w:ilvl="3">
      <w:start w:val="1"/>
      <w:numFmt w:val="decimal"/>
      <w:lvlText w:val="%1.%2.%3.%4"/>
      <w:lvlJc w:val="left"/>
      <w:pPr>
        <w:ind w:left="1164" w:hanging="946"/>
        <w:jc w:val="left"/>
      </w:pPr>
      <w:rPr>
        <w:rFonts w:ascii="黑体" w:eastAsia="黑体" w:hAnsi="黑体" w:cs="黑体" w:hint="default"/>
        <w:spacing w:val="-2"/>
        <w:w w:val="99"/>
        <w:sz w:val="21"/>
        <w:szCs w:val="21"/>
        <w:lang w:val="ca-ES" w:eastAsia="en-US" w:bidi="ar-SA"/>
      </w:rPr>
    </w:lvl>
    <w:lvl w:ilvl="4">
      <w:start w:val="1"/>
      <w:numFmt w:val="decimal"/>
      <w:lvlText w:val="%1.%2.%3.%4.%5"/>
      <w:lvlJc w:val="left"/>
      <w:pPr>
        <w:ind w:left="218" w:hanging="1155"/>
        <w:jc w:val="left"/>
      </w:pPr>
      <w:rPr>
        <w:rFonts w:ascii="黑体" w:eastAsia="黑体" w:hAnsi="黑体" w:cs="黑体" w:hint="default"/>
        <w:spacing w:val="-2"/>
        <w:w w:val="99"/>
        <w:sz w:val="21"/>
        <w:szCs w:val="21"/>
        <w:lang w:val="ca-ES" w:eastAsia="en-US" w:bidi="ar-SA"/>
      </w:rPr>
    </w:lvl>
    <w:lvl w:ilvl="5">
      <w:start w:val="0"/>
      <w:numFmt w:val="bullet"/>
      <w:lvlText w:val="•"/>
      <w:lvlJc w:val="left"/>
      <w:pPr>
        <w:ind w:left="3681" w:hanging="1155"/>
      </w:pPr>
      <w:rPr>
        <w:rFonts w:hint="default"/>
        <w:lang w:val="ca-ES" w:eastAsia="en-US" w:bidi="ar-SA"/>
      </w:rPr>
    </w:lvl>
    <w:lvl w:ilvl="6">
      <w:start w:val="0"/>
      <w:numFmt w:val="bullet"/>
      <w:lvlText w:val="•"/>
      <w:lvlJc w:val="left"/>
      <w:pPr>
        <w:ind w:left="4942" w:hanging="1155"/>
      </w:pPr>
      <w:rPr>
        <w:rFonts w:hint="default"/>
        <w:lang w:val="ca-ES" w:eastAsia="en-US" w:bidi="ar-SA"/>
      </w:rPr>
    </w:lvl>
    <w:lvl w:ilvl="7">
      <w:start w:val="0"/>
      <w:numFmt w:val="bullet"/>
      <w:lvlText w:val="•"/>
      <w:lvlJc w:val="left"/>
      <w:pPr>
        <w:ind w:left="6203" w:hanging="1155"/>
      </w:pPr>
      <w:rPr>
        <w:rFonts w:hint="default"/>
        <w:lang w:val="ca-ES" w:eastAsia="en-US" w:bidi="ar-SA"/>
      </w:rPr>
    </w:lvl>
    <w:lvl w:ilvl="8">
      <w:start w:val="0"/>
      <w:numFmt w:val="bullet"/>
      <w:lvlText w:val="•"/>
      <w:lvlJc w:val="left"/>
      <w:pPr>
        <w:ind w:left="7464" w:hanging="1155"/>
      </w:pPr>
      <w:rPr>
        <w:rFonts w:hint="default"/>
        <w:lang w:val="ca-ES" w:eastAsia="en-US" w:bidi="ar-SA"/>
      </w:rPr>
    </w:lvl>
  </w:abstractNum>
  <w:abstractNum w:abstractNumId="4">
    <w:nsid w:val="2FA664E3"/>
    <w:multiLevelType w:val="hybridMultilevel"/>
    <w:tmpl w:val="00000000"/>
    <w:lvl w:ilvl="0">
      <w:start w:val="1"/>
      <w:numFmt w:val="decimal"/>
      <w:lvlText w:val="%1"/>
      <w:lvlJc w:val="left"/>
      <w:pPr>
        <w:ind w:left="532" w:hanging="315"/>
        <w:jc w:val="left"/>
      </w:pPr>
      <w:rPr>
        <w:rFonts w:ascii="宋体" w:eastAsia="宋体" w:hAnsi="宋体" w:cs="宋体" w:hint="default"/>
        <w:w w:val="99"/>
        <w:sz w:val="21"/>
        <w:szCs w:val="21"/>
        <w:lang w:val="ca-ES" w:eastAsia="en-US" w:bidi="ar-SA"/>
      </w:rPr>
    </w:lvl>
    <w:lvl w:ilvl="1">
      <w:start w:val="1"/>
      <w:numFmt w:val="decimal"/>
      <w:lvlText w:val="%1.%2"/>
      <w:lvlJc w:val="left"/>
      <w:pPr>
        <w:ind w:left="952" w:hanging="526"/>
        <w:jc w:val="left"/>
      </w:pPr>
      <w:rPr>
        <w:rFonts w:ascii="宋体" w:eastAsia="宋体" w:hAnsi="宋体" w:cs="宋体" w:hint="default"/>
        <w:spacing w:val="0"/>
        <w:w w:val="99"/>
        <w:sz w:val="21"/>
        <w:szCs w:val="21"/>
        <w:lang w:val="ca-ES" w:eastAsia="en-US" w:bidi="ar-SA"/>
      </w:rPr>
    </w:lvl>
    <w:lvl w:ilvl="2">
      <w:start w:val="0"/>
      <w:numFmt w:val="bullet"/>
      <w:lvlText w:val="•"/>
      <w:lvlJc w:val="left"/>
      <w:pPr>
        <w:ind w:left="1962" w:hanging="526"/>
      </w:pPr>
      <w:rPr>
        <w:rFonts w:hint="default"/>
        <w:lang w:val="ca-ES" w:eastAsia="en-US" w:bidi="ar-SA"/>
      </w:rPr>
    </w:lvl>
    <w:lvl w:ilvl="3">
      <w:start w:val="0"/>
      <w:numFmt w:val="bullet"/>
      <w:lvlText w:val="•"/>
      <w:lvlJc w:val="left"/>
      <w:pPr>
        <w:ind w:left="2965" w:hanging="526"/>
      </w:pPr>
      <w:rPr>
        <w:rFonts w:hint="default"/>
        <w:lang w:val="ca-ES" w:eastAsia="en-US" w:bidi="ar-SA"/>
      </w:rPr>
    </w:lvl>
    <w:lvl w:ilvl="4">
      <w:start w:val="0"/>
      <w:numFmt w:val="bullet"/>
      <w:lvlText w:val="•"/>
      <w:lvlJc w:val="left"/>
      <w:pPr>
        <w:ind w:left="3968" w:hanging="526"/>
      </w:pPr>
      <w:rPr>
        <w:rFonts w:hint="default"/>
        <w:lang w:val="ca-ES" w:eastAsia="en-US" w:bidi="ar-SA"/>
      </w:rPr>
    </w:lvl>
    <w:lvl w:ilvl="5">
      <w:start w:val="0"/>
      <w:numFmt w:val="bullet"/>
      <w:lvlText w:val="•"/>
      <w:lvlJc w:val="left"/>
      <w:pPr>
        <w:ind w:left="4971" w:hanging="526"/>
      </w:pPr>
      <w:rPr>
        <w:rFonts w:hint="default"/>
        <w:lang w:val="ca-ES" w:eastAsia="en-US" w:bidi="ar-SA"/>
      </w:rPr>
    </w:lvl>
    <w:lvl w:ilvl="6">
      <w:start w:val="0"/>
      <w:numFmt w:val="bullet"/>
      <w:lvlText w:val="•"/>
      <w:lvlJc w:val="left"/>
      <w:pPr>
        <w:ind w:left="5974" w:hanging="526"/>
      </w:pPr>
      <w:rPr>
        <w:rFonts w:hint="default"/>
        <w:lang w:val="ca-ES" w:eastAsia="en-US" w:bidi="ar-SA"/>
      </w:rPr>
    </w:lvl>
    <w:lvl w:ilvl="7">
      <w:start w:val="0"/>
      <w:numFmt w:val="bullet"/>
      <w:lvlText w:val="•"/>
      <w:lvlJc w:val="left"/>
      <w:pPr>
        <w:ind w:left="6977" w:hanging="526"/>
      </w:pPr>
      <w:rPr>
        <w:rFonts w:hint="default"/>
        <w:lang w:val="ca-ES" w:eastAsia="en-US" w:bidi="ar-SA"/>
      </w:rPr>
    </w:lvl>
    <w:lvl w:ilvl="8">
      <w:start w:val="0"/>
      <w:numFmt w:val="bullet"/>
      <w:lvlText w:val="•"/>
      <w:lvlJc w:val="left"/>
      <w:pPr>
        <w:ind w:left="7980" w:hanging="526"/>
      </w:pPr>
      <w:rPr>
        <w:rFonts w:hint="default"/>
        <w:lang w:val="ca-ES" w:eastAsia="en-US" w:bidi="ar-SA"/>
      </w:rPr>
    </w:lvl>
  </w:abstractNum>
  <w:abstractNum w:abstractNumId="5">
    <w:nsid w:val="30FC9270"/>
    <w:multiLevelType w:val="hybridMultilevel"/>
    <w:tmpl w:val="00000000"/>
    <w:lvl w:ilvl="0">
      <w:start w:val="1"/>
      <w:numFmt w:val="decimal"/>
      <w:lvlText w:val="%1"/>
      <w:lvlJc w:val="left"/>
      <w:pPr>
        <w:ind w:left="532" w:hanging="315"/>
        <w:jc w:val="left"/>
      </w:pPr>
      <w:rPr>
        <w:rFonts w:ascii="黑体" w:eastAsia="黑体" w:hAnsi="黑体" w:cs="黑体" w:hint="default"/>
        <w:w w:val="99"/>
        <w:sz w:val="21"/>
        <w:szCs w:val="21"/>
        <w:lang w:val="ca-ES" w:eastAsia="en-US" w:bidi="ar-SA"/>
      </w:rPr>
    </w:lvl>
    <w:lvl w:ilvl="1">
      <w:start w:val="1"/>
      <w:numFmt w:val="decimal"/>
      <w:lvlText w:val="%1.%2"/>
      <w:lvlJc w:val="left"/>
      <w:pPr>
        <w:ind w:left="744" w:hanging="526"/>
        <w:jc w:val="left"/>
      </w:pPr>
      <w:rPr>
        <w:rFonts w:ascii="黑体" w:eastAsia="黑体" w:hAnsi="黑体" w:cs="黑体" w:hint="default"/>
        <w:spacing w:val="0"/>
        <w:w w:val="99"/>
        <w:sz w:val="21"/>
        <w:szCs w:val="21"/>
        <w:lang w:val="ca-ES" w:eastAsia="en-US" w:bidi="ar-SA"/>
      </w:rPr>
    </w:lvl>
    <w:lvl w:ilvl="2">
      <w:start w:val="1"/>
      <w:numFmt w:val="decimal"/>
      <w:lvlText w:val="%1.%2.%3"/>
      <w:lvlJc w:val="left"/>
      <w:pPr>
        <w:ind w:left="218" w:hanging="720"/>
        <w:jc w:val="left"/>
      </w:pPr>
      <w:rPr>
        <w:rFonts w:ascii="黑体" w:eastAsia="黑体" w:hAnsi="黑体" w:cs="黑体" w:hint="default"/>
        <w:spacing w:val="-2"/>
        <w:w w:val="99"/>
        <w:sz w:val="21"/>
        <w:szCs w:val="21"/>
        <w:lang w:val="ca-ES" w:eastAsia="en-US" w:bidi="ar-SA"/>
      </w:rPr>
    </w:lvl>
    <w:lvl w:ilvl="3">
      <w:start w:val="1"/>
      <w:numFmt w:val="decimal"/>
      <w:lvlText w:val="%1.%2.%3.%4"/>
      <w:lvlJc w:val="left"/>
      <w:pPr>
        <w:ind w:left="1164" w:hanging="946"/>
        <w:jc w:val="left"/>
      </w:pPr>
      <w:rPr>
        <w:rFonts w:ascii="黑体" w:eastAsia="黑体" w:hAnsi="黑体" w:cs="黑体" w:hint="default"/>
        <w:spacing w:val="-2"/>
        <w:w w:val="99"/>
        <w:sz w:val="21"/>
        <w:szCs w:val="21"/>
        <w:lang w:val="ca-ES" w:eastAsia="en-US" w:bidi="ar-SA"/>
      </w:rPr>
    </w:lvl>
    <w:lvl w:ilvl="4">
      <w:start w:val="0"/>
      <w:numFmt w:val="bullet"/>
      <w:lvlText w:val="•"/>
      <w:lvlJc w:val="left"/>
      <w:pPr>
        <w:ind w:left="1160" w:hanging="946"/>
      </w:pPr>
      <w:rPr>
        <w:rFonts w:hint="default"/>
        <w:lang w:val="ca-ES" w:eastAsia="en-US" w:bidi="ar-SA"/>
      </w:rPr>
    </w:lvl>
    <w:lvl w:ilvl="5">
      <w:start w:val="0"/>
      <w:numFmt w:val="bullet"/>
      <w:lvlText w:val="•"/>
      <w:lvlJc w:val="left"/>
      <w:pPr>
        <w:ind w:left="2631" w:hanging="946"/>
      </w:pPr>
      <w:rPr>
        <w:rFonts w:hint="default"/>
        <w:lang w:val="ca-ES" w:eastAsia="en-US" w:bidi="ar-SA"/>
      </w:rPr>
    </w:lvl>
    <w:lvl w:ilvl="6">
      <w:start w:val="0"/>
      <w:numFmt w:val="bullet"/>
      <w:lvlText w:val="•"/>
      <w:lvlJc w:val="left"/>
      <w:pPr>
        <w:ind w:left="4102" w:hanging="946"/>
      </w:pPr>
      <w:rPr>
        <w:rFonts w:hint="default"/>
        <w:lang w:val="ca-ES" w:eastAsia="en-US" w:bidi="ar-SA"/>
      </w:rPr>
    </w:lvl>
    <w:lvl w:ilvl="7">
      <w:start w:val="0"/>
      <w:numFmt w:val="bullet"/>
      <w:lvlText w:val="•"/>
      <w:lvlJc w:val="left"/>
      <w:pPr>
        <w:ind w:left="5573" w:hanging="946"/>
      </w:pPr>
      <w:rPr>
        <w:rFonts w:hint="default"/>
        <w:lang w:val="ca-ES" w:eastAsia="en-US" w:bidi="ar-SA"/>
      </w:rPr>
    </w:lvl>
    <w:lvl w:ilvl="8">
      <w:start w:val="0"/>
      <w:numFmt w:val="bullet"/>
      <w:lvlText w:val="•"/>
      <w:lvlJc w:val="left"/>
      <w:pPr>
        <w:ind w:left="7044" w:hanging="946"/>
      </w:pPr>
      <w:rPr>
        <w:rFonts w:hint="default"/>
        <w:lang w:val="ca-ES" w:eastAsia="en-US" w:bidi="ar-SA"/>
      </w:rPr>
    </w:lvl>
  </w:abstractNum>
  <w:abstractNum w:abstractNumId="6">
    <w:nsid w:val="3BF547EB"/>
    <w:multiLevelType w:val="hybridMultilevel"/>
    <w:tmpl w:val="00000000"/>
    <w:lvl w:ilvl="0">
      <w:start w:val="5"/>
      <w:numFmt w:val="decimal"/>
      <w:lvlText w:val="%1"/>
      <w:lvlJc w:val="left"/>
      <w:pPr>
        <w:ind w:left="744" w:hanging="526"/>
        <w:jc w:val="left"/>
      </w:pPr>
      <w:rPr>
        <w:rFonts w:hint="default"/>
        <w:lang w:val="ca-ES" w:eastAsia="en-US" w:bidi="ar-SA"/>
      </w:rPr>
    </w:lvl>
    <w:lvl w:ilvl="1">
      <w:start w:val="2"/>
      <w:numFmt w:val="decimal"/>
      <w:lvlText w:val="%1.%2"/>
      <w:lvlJc w:val="left"/>
      <w:pPr>
        <w:ind w:left="744" w:hanging="526"/>
        <w:jc w:val="left"/>
      </w:pPr>
      <w:rPr>
        <w:rFonts w:ascii="黑体" w:eastAsia="黑体" w:hAnsi="黑体" w:cs="黑体" w:hint="default"/>
        <w:spacing w:val="0"/>
        <w:w w:val="99"/>
        <w:sz w:val="21"/>
        <w:szCs w:val="21"/>
        <w:lang w:val="ca-ES" w:eastAsia="en-US" w:bidi="ar-SA"/>
      </w:rPr>
    </w:lvl>
    <w:lvl w:ilvl="2">
      <w:start w:val="1"/>
      <w:numFmt w:val="decimal"/>
      <w:lvlText w:val="%1.%2.%3"/>
      <w:lvlJc w:val="left"/>
      <w:pPr>
        <w:ind w:left="952" w:hanging="735"/>
        <w:jc w:val="left"/>
      </w:pPr>
      <w:rPr>
        <w:rFonts w:ascii="黑体" w:eastAsia="黑体" w:hAnsi="黑体" w:cs="黑体" w:hint="default"/>
        <w:spacing w:val="-2"/>
        <w:w w:val="99"/>
        <w:sz w:val="21"/>
        <w:szCs w:val="21"/>
        <w:lang w:val="ca-ES" w:eastAsia="en-US" w:bidi="ar-SA"/>
      </w:rPr>
    </w:lvl>
    <w:lvl w:ilvl="3">
      <w:start w:val="1"/>
      <w:numFmt w:val="decimal"/>
      <w:lvlText w:val="%1.%2.%3.%4"/>
      <w:lvlJc w:val="left"/>
      <w:pPr>
        <w:ind w:left="1164" w:hanging="946"/>
        <w:jc w:val="left"/>
      </w:pPr>
      <w:rPr>
        <w:rFonts w:ascii="黑体" w:eastAsia="黑体" w:hAnsi="黑体" w:cs="黑体" w:hint="default"/>
        <w:spacing w:val="-2"/>
        <w:w w:val="99"/>
        <w:sz w:val="21"/>
        <w:szCs w:val="21"/>
        <w:lang w:val="ca-ES" w:eastAsia="en-US" w:bidi="ar-SA"/>
      </w:rPr>
    </w:lvl>
    <w:lvl w:ilvl="4">
      <w:start w:val="0"/>
      <w:numFmt w:val="bullet"/>
      <w:lvlText w:val="•"/>
      <w:lvlJc w:val="left"/>
      <w:pPr>
        <w:ind w:left="2420" w:hanging="946"/>
      </w:pPr>
      <w:rPr>
        <w:rFonts w:hint="default"/>
        <w:lang w:val="ca-ES" w:eastAsia="en-US" w:bidi="ar-SA"/>
      </w:rPr>
    </w:lvl>
    <w:lvl w:ilvl="5">
      <w:start w:val="0"/>
      <w:numFmt w:val="bullet"/>
      <w:lvlText w:val="•"/>
      <w:lvlJc w:val="left"/>
      <w:pPr>
        <w:ind w:left="3681" w:hanging="946"/>
      </w:pPr>
      <w:rPr>
        <w:rFonts w:hint="default"/>
        <w:lang w:val="ca-ES" w:eastAsia="en-US" w:bidi="ar-SA"/>
      </w:rPr>
    </w:lvl>
    <w:lvl w:ilvl="6">
      <w:start w:val="0"/>
      <w:numFmt w:val="bullet"/>
      <w:lvlText w:val="•"/>
      <w:lvlJc w:val="left"/>
      <w:pPr>
        <w:ind w:left="4942" w:hanging="946"/>
      </w:pPr>
      <w:rPr>
        <w:rFonts w:hint="default"/>
        <w:lang w:val="ca-ES" w:eastAsia="en-US" w:bidi="ar-SA"/>
      </w:rPr>
    </w:lvl>
    <w:lvl w:ilvl="7">
      <w:start w:val="0"/>
      <w:numFmt w:val="bullet"/>
      <w:lvlText w:val="•"/>
      <w:lvlJc w:val="left"/>
      <w:pPr>
        <w:ind w:left="6203" w:hanging="946"/>
      </w:pPr>
      <w:rPr>
        <w:rFonts w:hint="default"/>
        <w:lang w:val="ca-ES" w:eastAsia="en-US" w:bidi="ar-SA"/>
      </w:rPr>
    </w:lvl>
    <w:lvl w:ilvl="8">
      <w:start w:val="0"/>
      <w:numFmt w:val="bullet"/>
      <w:lvlText w:val="•"/>
      <w:lvlJc w:val="left"/>
      <w:pPr>
        <w:ind w:left="7464" w:hanging="946"/>
      </w:pPr>
      <w:rPr>
        <w:rFonts w:hint="default"/>
        <w:lang w:val="ca-ES" w:eastAsia="en-US" w:bidi="ar-SA"/>
      </w:rPr>
    </w:lvl>
  </w:abstractNum>
  <w:abstractNum w:abstractNumId="7">
    <w:nsid w:val="44388A91"/>
    <w:multiLevelType w:val="hybridMultilevel"/>
    <w:tmpl w:val="00000000"/>
    <w:lvl w:ilvl="0">
      <w:start w:val="11"/>
      <w:numFmt w:val="decimal"/>
      <w:lvlText w:val="%1"/>
      <w:lvlJc w:val="left"/>
      <w:pPr>
        <w:ind w:left="1058" w:hanging="840"/>
        <w:jc w:val="left"/>
      </w:pPr>
      <w:rPr>
        <w:rFonts w:hint="default"/>
        <w:lang w:val="ca-ES" w:eastAsia="en-US" w:bidi="ar-SA"/>
      </w:rPr>
    </w:lvl>
    <w:lvl w:ilvl="1">
      <w:start w:val="1"/>
      <w:numFmt w:val="decimal"/>
      <w:lvlText w:val="%1.%2"/>
      <w:lvlJc w:val="left"/>
      <w:pPr>
        <w:ind w:left="1058" w:hanging="840"/>
        <w:jc w:val="left"/>
      </w:pPr>
      <w:rPr>
        <w:rFonts w:hint="default"/>
        <w:lang w:val="ca-ES" w:eastAsia="en-US" w:bidi="ar-SA"/>
      </w:rPr>
    </w:lvl>
    <w:lvl w:ilvl="2">
      <w:start w:val="1"/>
      <w:numFmt w:val="decimal"/>
      <w:lvlText w:val="%1.%2.%3"/>
      <w:lvlJc w:val="left"/>
      <w:pPr>
        <w:ind w:left="1058" w:hanging="840"/>
        <w:jc w:val="left"/>
      </w:pPr>
      <w:rPr>
        <w:rFonts w:ascii="黑体" w:eastAsia="黑体" w:hAnsi="黑体" w:cs="黑体" w:hint="default"/>
        <w:spacing w:val="-2"/>
        <w:w w:val="99"/>
        <w:sz w:val="21"/>
        <w:szCs w:val="21"/>
        <w:lang w:val="ca-ES" w:eastAsia="en-US" w:bidi="ar-SA"/>
      </w:rPr>
    </w:lvl>
    <w:lvl w:ilvl="3">
      <w:start w:val="1"/>
      <w:numFmt w:val="decimal"/>
      <w:lvlText w:val="[%4]"/>
      <w:lvlJc w:val="left"/>
      <w:pPr>
        <w:ind w:left="1164" w:hanging="526"/>
        <w:jc w:val="left"/>
      </w:pPr>
      <w:rPr>
        <w:rFonts w:ascii="宋体" w:eastAsia="宋体" w:hAnsi="宋体" w:cs="宋体" w:hint="default"/>
        <w:spacing w:val="0"/>
        <w:w w:val="99"/>
        <w:sz w:val="21"/>
        <w:szCs w:val="21"/>
        <w:lang w:val="ca-ES" w:eastAsia="en-US" w:bidi="ar-SA"/>
      </w:rPr>
    </w:lvl>
    <w:lvl w:ilvl="4">
      <w:start w:val="0"/>
      <w:numFmt w:val="bullet"/>
      <w:lvlText w:val="•"/>
      <w:lvlJc w:val="left"/>
      <w:pPr>
        <w:ind w:left="4102" w:hanging="526"/>
      </w:pPr>
      <w:rPr>
        <w:rFonts w:hint="default"/>
        <w:lang w:val="ca-ES" w:eastAsia="en-US" w:bidi="ar-SA"/>
      </w:rPr>
    </w:lvl>
    <w:lvl w:ilvl="5">
      <w:start w:val="0"/>
      <w:numFmt w:val="bullet"/>
      <w:lvlText w:val="•"/>
      <w:lvlJc w:val="left"/>
      <w:pPr>
        <w:ind w:left="5082" w:hanging="526"/>
      </w:pPr>
      <w:rPr>
        <w:rFonts w:hint="default"/>
        <w:lang w:val="ca-ES" w:eastAsia="en-US" w:bidi="ar-SA"/>
      </w:rPr>
    </w:lvl>
    <w:lvl w:ilvl="6">
      <w:start w:val="0"/>
      <w:numFmt w:val="bullet"/>
      <w:lvlText w:val="•"/>
      <w:lvlJc w:val="left"/>
      <w:pPr>
        <w:ind w:left="6063" w:hanging="526"/>
      </w:pPr>
      <w:rPr>
        <w:rFonts w:hint="default"/>
        <w:lang w:val="ca-ES" w:eastAsia="en-US" w:bidi="ar-SA"/>
      </w:rPr>
    </w:lvl>
    <w:lvl w:ilvl="7">
      <w:start w:val="0"/>
      <w:numFmt w:val="bullet"/>
      <w:lvlText w:val="•"/>
      <w:lvlJc w:val="left"/>
      <w:pPr>
        <w:ind w:left="7044" w:hanging="526"/>
      </w:pPr>
      <w:rPr>
        <w:rFonts w:hint="default"/>
        <w:lang w:val="ca-ES" w:eastAsia="en-US" w:bidi="ar-SA"/>
      </w:rPr>
    </w:lvl>
    <w:lvl w:ilvl="8">
      <w:start w:val="0"/>
      <w:numFmt w:val="bullet"/>
      <w:lvlText w:val="•"/>
      <w:lvlJc w:val="left"/>
      <w:pPr>
        <w:ind w:left="8024" w:hanging="526"/>
      </w:pPr>
      <w:rPr>
        <w:rFonts w:hint="default"/>
        <w:lang w:val="ca-ES" w:eastAsia="en-US" w:bidi="ar-SA"/>
      </w:rPr>
    </w:lvl>
  </w:abstractNum>
  <w:abstractNum w:abstractNumId="8">
    <w:nsid w:val="558989E6"/>
    <w:multiLevelType w:val="hybridMultilevel"/>
    <w:tmpl w:val="00000000"/>
    <w:lvl w:ilvl="0">
      <w:start w:val="5"/>
      <w:numFmt w:val="decimal"/>
      <w:lvlText w:val="%1"/>
      <w:lvlJc w:val="left"/>
      <w:pPr>
        <w:ind w:left="744" w:hanging="526"/>
        <w:jc w:val="left"/>
      </w:pPr>
      <w:rPr>
        <w:rFonts w:hint="default"/>
        <w:lang w:val="ca-ES" w:eastAsia="en-US" w:bidi="ar-SA"/>
      </w:rPr>
    </w:lvl>
    <w:lvl w:ilvl="1">
      <w:start w:val="4"/>
      <w:numFmt w:val="decimal"/>
      <w:lvlText w:val="%1.%2"/>
      <w:lvlJc w:val="left"/>
      <w:pPr>
        <w:ind w:left="744" w:hanging="526"/>
        <w:jc w:val="left"/>
      </w:pPr>
      <w:rPr>
        <w:rFonts w:ascii="黑体" w:eastAsia="黑体" w:hAnsi="黑体" w:cs="黑体" w:hint="default"/>
        <w:spacing w:val="0"/>
        <w:w w:val="99"/>
        <w:sz w:val="21"/>
        <w:szCs w:val="21"/>
        <w:lang w:val="ca-ES" w:eastAsia="en-US" w:bidi="ar-SA"/>
      </w:rPr>
    </w:lvl>
    <w:lvl w:ilvl="2">
      <w:start w:val="1"/>
      <w:numFmt w:val="decimal"/>
      <w:lvlText w:val="%1.%2.%3"/>
      <w:lvlJc w:val="left"/>
      <w:pPr>
        <w:ind w:left="952" w:hanging="735"/>
        <w:jc w:val="left"/>
      </w:pPr>
      <w:rPr>
        <w:rFonts w:ascii="黑体" w:eastAsia="黑体" w:hAnsi="黑体" w:cs="黑体" w:hint="default"/>
        <w:spacing w:val="-2"/>
        <w:w w:val="99"/>
        <w:sz w:val="21"/>
        <w:szCs w:val="21"/>
        <w:lang w:val="ca-ES" w:eastAsia="en-US" w:bidi="ar-SA"/>
      </w:rPr>
    </w:lvl>
    <w:lvl w:ilvl="3">
      <w:start w:val="1"/>
      <w:numFmt w:val="decimal"/>
      <w:lvlText w:val="%1.%2.%3.%4"/>
      <w:lvlJc w:val="left"/>
      <w:pPr>
        <w:ind w:left="218" w:hanging="946"/>
        <w:jc w:val="left"/>
      </w:pPr>
      <w:rPr>
        <w:rFonts w:ascii="黑体" w:eastAsia="黑体" w:hAnsi="黑体" w:cs="黑体" w:hint="default"/>
        <w:spacing w:val="-2"/>
        <w:w w:val="99"/>
        <w:sz w:val="21"/>
        <w:szCs w:val="21"/>
        <w:lang w:val="ca-ES" w:eastAsia="en-US" w:bidi="ar-SA"/>
      </w:rPr>
    </w:lvl>
    <w:lvl w:ilvl="4">
      <w:start w:val="0"/>
      <w:numFmt w:val="bullet"/>
      <w:lvlText w:val="•"/>
      <w:lvlJc w:val="left"/>
      <w:pPr>
        <w:ind w:left="2420" w:hanging="946"/>
      </w:pPr>
      <w:rPr>
        <w:rFonts w:hint="default"/>
        <w:lang w:val="ca-ES" w:eastAsia="en-US" w:bidi="ar-SA"/>
      </w:rPr>
    </w:lvl>
    <w:lvl w:ilvl="5">
      <w:start w:val="0"/>
      <w:numFmt w:val="bullet"/>
      <w:lvlText w:val="•"/>
      <w:lvlJc w:val="left"/>
      <w:pPr>
        <w:ind w:left="3681" w:hanging="946"/>
      </w:pPr>
      <w:rPr>
        <w:rFonts w:hint="default"/>
        <w:lang w:val="ca-ES" w:eastAsia="en-US" w:bidi="ar-SA"/>
      </w:rPr>
    </w:lvl>
    <w:lvl w:ilvl="6">
      <w:start w:val="0"/>
      <w:numFmt w:val="bullet"/>
      <w:lvlText w:val="•"/>
      <w:lvlJc w:val="left"/>
      <w:pPr>
        <w:ind w:left="4942" w:hanging="946"/>
      </w:pPr>
      <w:rPr>
        <w:rFonts w:hint="default"/>
        <w:lang w:val="ca-ES" w:eastAsia="en-US" w:bidi="ar-SA"/>
      </w:rPr>
    </w:lvl>
    <w:lvl w:ilvl="7">
      <w:start w:val="0"/>
      <w:numFmt w:val="bullet"/>
      <w:lvlText w:val="•"/>
      <w:lvlJc w:val="left"/>
      <w:pPr>
        <w:ind w:left="6203" w:hanging="946"/>
      </w:pPr>
      <w:rPr>
        <w:rFonts w:hint="default"/>
        <w:lang w:val="ca-ES" w:eastAsia="en-US" w:bidi="ar-SA"/>
      </w:rPr>
    </w:lvl>
    <w:lvl w:ilvl="8">
      <w:start w:val="0"/>
      <w:numFmt w:val="bullet"/>
      <w:lvlText w:val="•"/>
      <w:lvlJc w:val="left"/>
      <w:pPr>
        <w:ind w:left="7464" w:hanging="946"/>
      </w:pPr>
      <w:rPr>
        <w:rFonts w:hint="default"/>
        <w:lang w:val="ca-ES" w:eastAsia="en-US" w:bidi="ar-SA"/>
      </w:rPr>
    </w:lvl>
  </w:abstractNum>
  <w:abstractNum w:abstractNumId="9">
    <w:nsid w:val="67B0EF98"/>
    <w:multiLevelType w:val="hybridMultilevel"/>
    <w:tmpl w:val="00000000"/>
    <w:lvl w:ilvl="0">
      <w:start w:val="5"/>
      <w:numFmt w:val="decimal"/>
      <w:lvlText w:val="%1"/>
      <w:lvlJc w:val="left"/>
      <w:pPr>
        <w:ind w:left="744" w:hanging="526"/>
        <w:jc w:val="left"/>
      </w:pPr>
      <w:rPr>
        <w:rFonts w:hint="default"/>
        <w:lang w:val="ca-ES" w:eastAsia="en-US" w:bidi="ar-SA"/>
      </w:rPr>
    </w:lvl>
    <w:lvl w:ilvl="1">
      <w:start w:val="4"/>
      <w:numFmt w:val="decimal"/>
      <w:lvlText w:val="%1.%2"/>
      <w:lvlJc w:val="left"/>
      <w:pPr>
        <w:ind w:left="744" w:hanging="526"/>
        <w:jc w:val="left"/>
      </w:pPr>
      <w:rPr>
        <w:rFonts w:ascii="黑体" w:eastAsia="黑体" w:hAnsi="黑体" w:cs="黑体" w:hint="default"/>
        <w:spacing w:val="0"/>
        <w:w w:val="99"/>
        <w:sz w:val="21"/>
        <w:szCs w:val="21"/>
        <w:lang w:val="ca-ES" w:eastAsia="en-US" w:bidi="ar-SA"/>
      </w:rPr>
    </w:lvl>
    <w:lvl w:ilvl="2">
      <w:start w:val="1"/>
      <w:numFmt w:val="decimal"/>
      <w:lvlText w:val="%1.%2.%3"/>
      <w:lvlJc w:val="left"/>
      <w:pPr>
        <w:ind w:left="952" w:hanging="735"/>
        <w:jc w:val="left"/>
      </w:pPr>
      <w:rPr>
        <w:rFonts w:ascii="黑体" w:eastAsia="黑体" w:hAnsi="黑体" w:cs="黑体" w:hint="default"/>
        <w:spacing w:val="-2"/>
        <w:w w:val="99"/>
        <w:sz w:val="21"/>
        <w:szCs w:val="21"/>
        <w:lang w:val="ca-ES" w:eastAsia="en-US" w:bidi="ar-SA"/>
      </w:rPr>
    </w:lvl>
    <w:lvl w:ilvl="3">
      <w:start w:val="1"/>
      <w:numFmt w:val="decimal"/>
      <w:lvlText w:val="%1.%2.%3.%4"/>
      <w:lvlJc w:val="left"/>
      <w:pPr>
        <w:ind w:left="218" w:hanging="946"/>
        <w:jc w:val="left"/>
      </w:pPr>
      <w:rPr>
        <w:rFonts w:ascii="黑体" w:eastAsia="黑体" w:hAnsi="黑体" w:cs="黑体" w:hint="default"/>
        <w:spacing w:val="-2"/>
        <w:w w:val="99"/>
        <w:sz w:val="21"/>
        <w:szCs w:val="21"/>
        <w:lang w:val="ca-ES" w:eastAsia="en-US" w:bidi="ar-SA"/>
      </w:rPr>
    </w:lvl>
    <w:lvl w:ilvl="4">
      <w:start w:val="0"/>
      <w:numFmt w:val="bullet"/>
      <w:lvlText w:val="•"/>
      <w:lvlJc w:val="left"/>
      <w:pPr>
        <w:ind w:left="2420" w:hanging="946"/>
      </w:pPr>
      <w:rPr>
        <w:rFonts w:hint="default"/>
        <w:lang w:val="ca-ES" w:eastAsia="en-US" w:bidi="ar-SA"/>
      </w:rPr>
    </w:lvl>
    <w:lvl w:ilvl="5">
      <w:start w:val="0"/>
      <w:numFmt w:val="bullet"/>
      <w:lvlText w:val="•"/>
      <w:lvlJc w:val="left"/>
      <w:pPr>
        <w:ind w:left="3681" w:hanging="946"/>
      </w:pPr>
      <w:rPr>
        <w:rFonts w:hint="default"/>
        <w:lang w:val="ca-ES" w:eastAsia="en-US" w:bidi="ar-SA"/>
      </w:rPr>
    </w:lvl>
    <w:lvl w:ilvl="6">
      <w:start w:val="0"/>
      <w:numFmt w:val="bullet"/>
      <w:lvlText w:val="•"/>
      <w:lvlJc w:val="left"/>
      <w:pPr>
        <w:ind w:left="4942" w:hanging="946"/>
      </w:pPr>
      <w:rPr>
        <w:rFonts w:hint="default"/>
        <w:lang w:val="ca-ES" w:eastAsia="en-US" w:bidi="ar-SA"/>
      </w:rPr>
    </w:lvl>
    <w:lvl w:ilvl="7">
      <w:start w:val="0"/>
      <w:numFmt w:val="bullet"/>
      <w:lvlText w:val="•"/>
      <w:lvlJc w:val="left"/>
      <w:pPr>
        <w:ind w:left="6203" w:hanging="946"/>
      </w:pPr>
      <w:rPr>
        <w:rFonts w:hint="default"/>
        <w:lang w:val="ca-ES" w:eastAsia="en-US" w:bidi="ar-SA"/>
      </w:rPr>
    </w:lvl>
    <w:lvl w:ilvl="8">
      <w:start w:val="0"/>
      <w:numFmt w:val="bullet"/>
      <w:lvlText w:val="•"/>
      <w:lvlJc w:val="left"/>
      <w:pPr>
        <w:ind w:left="7464" w:hanging="946"/>
      </w:pPr>
      <w:rPr>
        <w:rFonts w:hint="default"/>
        <w:lang w:val="ca-ES" w:eastAsia="en-US" w:bidi="ar-SA"/>
      </w:rPr>
    </w:lvl>
  </w:abstractNum>
  <w:abstractNum w:abstractNumId="10">
    <w:nsid w:val="78F76265"/>
    <w:multiLevelType w:val="hybridMultilevel"/>
    <w:tmpl w:val="00000000"/>
    <w:lvl w:ilvl="0">
      <w:start w:val="5"/>
      <w:numFmt w:val="decimal"/>
      <w:lvlText w:val="%1"/>
      <w:lvlJc w:val="left"/>
      <w:pPr>
        <w:ind w:left="744" w:hanging="526"/>
        <w:jc w:val="left"/>
      </w:pPr>
      <w:rPr>
        <w:rFonts w:hint="default"/>
        <w:lang w:val="ca-ES" w:eastAsia="en-US" w:bidi="ar-SA"/>
      </w:rPr>
    </w:lvl>
    <w:lvl w:ilvl="1">
      <w:start w:val="2"/>
      <w:numFmt w:val="decimal"/>
      <w:lvlText w:val="%1.%2"/>
      <w:lvlJc w:val="left"/>
      <w:pPr>
        <w:ind w:left="744" w:hanging="526"/>
        <w:jc w:val="left"/>
      </w:pPr>
      <w:rPr>
        <w:rFonts w:ascii="黑体" w:eastAsia="黑体" w:hAnsi="黑体" w:cs="黑体" w:hint="default"/>
        <w:spacing w:val="0"/>
        <w:w w:val="99"/>
        <w:sz w:val="21"/>
        <w:szCs w:val="21"/>
        <w:lang w:val="ca-ES" w:eastAsia="en-US" w:bidi="ar-SA"/>
      </w:rPr>
    </w:lvl>
    <w:lvl w:ilvl="2">
      <w:start w:val="1"/>
      <w:numFmt w:val="decimal"/>
      <w:lvlText w:val="%1.%2.%3"/>
      <w:lvlJc w:val="left"/>
      <w:pPr>
        <w:ind w:left="952" w:hanging="735"/>
        <w:jc w:val="left"/>
      </w:pPr>
      <w:rPr>
        <w:rFonts w:ascii="黑体" w:eastAsia="黑体" w:hAnsi="黑体" w:cs="黑体" w:hint="default"/>
        <w:spacing w:val="-2"/>
        <w:w w:val="99"/>
        <w:sz w:val="21"/>
        <w:szCs w:val="21"/>
        <w:lang w:val="ca-ES" w:eastAsia="en-US" w:bidi="ar-SA"/>
      </w:rPr>
    </w:lvl>
    <w:lvl w:ilvl="3">
      <w:start w:val="1"/>
      <w:numFmt w:val="decimal"/>
      <w:lvlText w:val="%1.%2.%3.%4"/>
      <w:lvlJc w:val="left"/>
      <w:pPr>
        <w:ind w:left="1164" w:hanging="946"/>
        <w:jc w:val="left"/>
      </w:pPr>
      <w:rPr>
        <w:rFonts w:ascii="黑体" w:eastAsia="黑体" w:hAnsi="黑体" w:cs="黑体" w:hint="default"/>
        <w:spacing w:val="-2"/>
        <w:w w:val="99"/>
        <w:sz w:val="21"/>
        <w:szCs w:val="21"/>
        <w:lang w:val="ca-ES" w:eastAsia="en-US" w:bidi="ar-SA"/>
      </w:rPr>
    </w:lvl>
    <w:lvl w:ilvl="4">
      <w:start w:val="0"/>
      <w:numFmt w:val="bullet"/>
      <w:lvlText w:val="•"/>
      <w:lvlJc w:val="left"/>
      <w:pPr>
        <w:ind w:left="2420" w:hanging="946"/>
      </w:pPr>
      <w:rPr>
        <w:rFonts w:hint="default"/>
        <w:lang w:val="ca-ES" w:eastAsia="en-US" w:bidi="ar-SA"/>
      </w:rPr>
    </w:lvl>
    <w:lvl w:ilvl="5">
      <w:start w:val="0"/>
      <w:numFmt w:val="bullet"/>
      <w:lvlText w:val="•"/>
      <w:lvlJc w:val="left"/>
      <w:pPr>
        <w:ind w:left="3681" w:hanging="946"/>
      </w:pPr>
      <w:rPr>
        <w:rFonts w:hint="default"/>
        <w:lang w:val="ca-ES" w:eastAsia="en-US" w:bidi="ar-SA"/>
      </w:rPr>
    </w:lvl>
    <w:lvl w:ilvl="6">
      <w:start w:val="0"/>
      <w:numFmt w:val="bullet"/>
      <w:lvlText w:val="•"/>
      <w:lvlJc w:val="left"/>
      <w:pPr>
        <w:ind w:left="4942" w:hanging="946"/>
      </w:pPr>
      <w:rPr>
        <w:rFonts w:hint="default"/>
        <w:lang w:val="ca-ES" w:eastAsia="en-US" w:bidi="ar-SA"/>
      </w:rPr>
    </w:lvl>
    <w:lvl w:ilvl="7">
      <w:start w:val="0"/>
      <w:numFmt w:val="bullet"/>
      <w:lvlText w:val="•"/>
      <w:lvlJc w:val="left"/>
      <w:pPr>
        <w:ind w:left="6203" w:hanging="946"/>
      </w:pPr>
      <w:rPr>
        <w:rFonts w:hint="default"/>
        <w:lang w:val="ca-ES" w:eastAsia="en-US" w:bidi="ar-SA"/>
      </w:rPr>
    </w:lvl>
    <w:lvl w:ilvl="8">
      <w:start w:val="0"/>
      <w:numFmt w:val="bullet"/>
      <w:lvlText w:val="•"/>
      <w:lvlJc w:val="left"/>
      <w:pPr>
        <w:ind w:left="7464" w:hanging="946"/>
      </w:pPr>
      <w:rPr>
        <w:rFonts w:hint="default"/>
        <w:lang w:val="ca-ES" w:eastAsia="en-US" w:bidi="ar-SA"/>
      </w:rPr>
    </w:lvl>
  </w:abstractNum>
  <w:abstractNum w:abstractNumId="11">
    <w:nsid w:val="7FAA2E11"/>
    <w:multiLevelType w:val="hybridMultilevel"/>
    <w:tmpl w:val="00000000"/>
    <w:lvl w:ilvl="0">
      <w:start w:val="5"/>
      <w:numFmt w:val="decimal"/>
      <w:lvlText w:val="%1"/>
      <w:lvlJc w:val="left"/>
      <w:pPr>
        <w:ind w:left="744" w:hanging="526"/>
        <w:jc w:val="left"/>
      </w:pPr>
      <w:rPr>
        <w:rFonts w:hint="default"/>
        <w:lang w:val="ca-ES" w:eastAsia="en-US" w:bidi="ar-SA"/>
      </w:rPr>
    </w:lvl>
    <w:lvl w:ilvl="1">
      <w:start w:val="3"/>
      <w:numFmt w:val="decimal"/>
      <w:lvlText w:val="%1.%2"/>
      <w:lvlJc w:val="left"/>
      <w:pPr>
        <w:ind w:left="744" w:hanging="526"/>
        <w:jc w:val="left"/>
      </w:pPr>
      <w:rPr>
        <w:rFonts w:ascii="黑体" w:eastAsia="黑体" w:hAnsi="黑体" w:cs="黑体" w:hint="default"/>
        <w:spacing w:val="0"/>
        <w:w w:val="99"/>
        <w:sz w:val="21"/>
        <w:szCs w:val="21"/>
        <w:lang w:val="ca-ES" w:eastAsia="en-US" w:bidi="ar-SA"/>
      </w:rPr>
    </w:lvl>
    <w:lvl w:ilvl="2">
      <w:start w:val="1"/>
      <w:numFmt w:val="decimal"/>
      <w:lvlText w:val="%1.%2.%3"/>
      <w:lvlJc w:val="left"/>
      <w:pPr>
        <w:ind w:left="952" w:hanging="735"/>
        <w:jc w:val="left"/>
      </w:pPr>
      <w:rPr>
        <w:rFonts w:ascii="黑体" w:eastAsia="黑体" w:hAnsi="黑体" w:cs="黑体" w:hint="default"/>
        <w:spacing w:val="-2"/>
        <w:w w:val="99"/>
        <w:sz w:val="21"/>
        <w:szCs w:val="21"/>
        <w:lang w:val="ca-ES" w:eastAsia="en-US" w:bidi="ar-SA"/>
      </w:rPr>
    </w:lvl>
    <w:lvl w:ilvl="3">
      <w:start w:val="1"/>
      <w:numFmt w:val="decimal"/>
      <w:lvlText w:val="%1.%2.%3.%4"/>
      <w:lvlJc w:val="left"/>
      <w:pPr>
        <w:ind w:left="1164" w:hanging="946"/>
        <w:jc w:val="left"/>
      </w:pPr>
      <w:rPr>
        <w:rFonts w:ascii="黑体" w:eastAsia="黑体" w:hAnsi="黑体" w:cs="黑体" w:hint="default"/>
        <w:spacing w:val="-2"/>
        <w:w w:val="99"/>
        <w:sz w:val="21"/>
        <w:szCs w:val="21"/>
        <w:lang w:val="ca-ES" w:eastAsia="en-US" w:bidi="ar-SA"/>
      </w:rPr>
    </w:lvl>
    <w:lvl w:ilvl="4">
      <w:start w:val="1"/>
      <w:numFmt w:val="decimal"/>
      <w:lvlText w:val="%1.%2.%3.%4.%5"/>
      <w:lvlJc w:val="left"/>
      <w:pPr>
        <w:ind w:left="218" w:hanging="1155"/>
        <w:jc w:val="left"/>
      </w:pPr>
      <w:rPr>
        <w:rFonts w:ascii="黑体" w:eastAsia="黑体" w:hAnsi="黑体" w:cs="黑体" w:hint="default"/>
        <w:spacing w:val="-2"/>
        <w:w w:val="99"/>
        <w:sz w:val="21"/>
        <w:szCs w:val="21"/>
        <w:lang w:val="ca-ES" w:eastAsia="en-US" w:bidi="ar-SA"/>
      </w:rPr>
    </w:lvl>
    <w:lvl w:ilvl="5">
      <w:start w:val="0"/>
      <w:numFmt w:val="bullet"/>
      <w:lvlText w:val="•"/>
      <w:lvlJc w:val="left"/>
      <w:pPr>
        <w:ind w:left="3681" w:hanging="1155"/>
      </w:pPr>
      <w:rPr>
        <w:rFonts w:hint="default"/>
        <w:lang w:val="ca-ES" w:eastAsia="en-US" w:bidi="ar-SA"/>
      </w:rPr>
    </w:lvl>
    <w:lvl w:ilvl="6">
      <w:start w:val="0"/>
      <w:numFmt w:val="bullet"/>
      <w:lvlText w:val="•"/>
      <w:lvlJc w:val="left"/>
      <w:pPr>
        <w:ind w:left="4942" w:hanging="1155"/>
      </w:pPr>
      <w:rPr>
        <w:rFonts w:hint="default"/>
        <w:lang w:val="ca-ES" w:eastAsia="en-US" w:bidi="ar-SA"/>
      </w:rPr>
    </w:lvl>
    <w:lvl w:ilvl="7">
      <w:start w:val="0"/>
      <w:numFmt w:val="bullet"/>
      <w:lvlText w:val="•"/>
      <w:lvlJc w:val="left"/>
      <w:pPr>
        <w:ind w:left="6203" w:hanging="1155"/>
      </w:pPr>
      <w:rPr>
        <w:rFonts w:hint="default"/>
        <w:lang w:val="ca-ES" w:eastAsia="en-US" w:bidi="ar-SA"/>
      </w:rPr>
    </w:lvl>
    <w:lvl w:ilvl="8">
      <w:start w:val="0"/>
      <w:numFmt w:val="bullet"/>
      <w:lvlText w:val="•"/>
      <w:lvlJc w:val="left"/>
      <w:pPr>
        <w:ind w:left="7464" w:hanging="1155"/>
      </w:pPr>
      <w:rPr>
        <w:rFonts w:hint="default"/>
        <w:lang w:val="ca-ES" w:eastAsia="en-US" w:bidi="ar-SA"/>
      </w:rPr>
    </w:lvl>
  </w:abstractNum>
  <w:num w:numId="1">
    <w:abstractNumId w:val="7"/>
  </w:num>
  <w:num w:numId="2">
    <w:abstractNumId w:val="8"/>
  </w:num>
  <w:num w:numId="3">
    <w:abstractNumId w:val="2"/>
  </w:num>
  <w:num w:numId="4">
    <w:abstractNumId w:val="6"/>
  </w:num>
  <w:num w:numId="5">
    <w:abstractNumId w:val="0"/>
  </w:num>
  <w:num w:numId="6">
    <w:abstractNumId w:val="4"/>
  </w:num>
  <w:num w:numId="7">
    <w:abstractNumId w:val="5"/>
  </w:num>
  <w:num w:numId="8">
    <w:abstractNumId w:val="1"/>
  </w:num>
  <w:num w:numId="9">
    <w:abstractNumId w:val="10"/>
  </w:num>
  <w:num w:numId="10">
    <w:abstractNumId w:val="11"/>
  </w:num>
  <w:num w:numId="11">
    <w:abstractNumId w:val="3"/>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ca-ES" w:eastAsia="en-US" w:bidi="ar-SA"/>
    </w:rPr>
  </w:style>
  <w:style w:type="paragraph" w:styleId="Heading1">
    <w:name w:val="heading 1"/>
    <w:basedOn w:val="Normal"/>
    <w:uiPriority w:val="1"/>
    <w:qFormat/>
    <w:pPr>
      <w:spacing w:before="54"/>
      <w:jc w:val="center"/>
      <w:outlineLvl w:val="0"/>
    </w:pPr>
    <w:rPr>
      <w:rFonts w:ascii="黑体" w:eastAsia="黑体" w:hAnsi="黑体" w:cs="黑体"/>
      <w:sz w:val="32"/>
      <w:szCs w:val="32"/>
      <w:lang w:val="ca-E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ca-ES" w:eastAsia="en-US" w:bidi="ar-SA"/>
    </w:rPr>
  </w:style>
  <w:style w:type="paragraph" w:styleId="Title">
    <w:name w:val="Title"/>
    <w:basedOn w:val="Normal"/>
    <w:uiPriority w:val="1"/>
    <w:qFormat/>
    <w:pPr>
      <w:spacing w:line="1063" w:lineRule="exact"/>
    </w:pPr>
    <w:rPr>
      <w:rFonts w:ascii="Times New Roman" w:eastAsia="Times New Roman" w:hAnsi="Times New Roman" w:cs="Times New Roman"/>
      <w:b/>
      <w:bCs/>
      <w:i/>
      <w:sz w:val="96"/>
      <w:szCs w:val="96"/>
      <w:lang w:val="ca-ES" w:eastAsia="en-US" w:bidi="ar-SA"/>
    </w:rPr>
  </w:style>
  <w:style w:type="paragraph" w:styleId="ListParagraph">
    <w:name w:val="List Paragraph"/>
    <w:basedOn w:val="Normal"/>
    <w:uiPriority w:val="1"/>
    <w:qFormat/>
    <w:pPr>
      <w:ind w:left="218"/>
    </w:pPr>
    <w:rPr>
      <w:rFonts w:ascii="宋体" w:eastAsia="宋体" w:hAnsi="宋体" w:cs="宋体"/>
      <w:lang w:val="ca-ES" w:eastAsia="en-US" w:bidi="ar-SA"/>
    </w:rPr>
  </w:style>
  <w:style w:type="paragraph" w:customStyle="1" w:styleId="TableParagraph">
    <w:name w:val="Table Paragraph"/>
    <w:basedOn w:val="Normal"/>
    <w:uiPriority w:val="1"/>
    <w:qFormat/>
    <w:rPr>
      <w:rFonts w:ascii="宋体" w:eastAsia="宋体" w:hAnsi="宋体" w:cs="宋体"/>
      <w:lang w:val="ca-ES" w:eastAsia="en-US"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yperlink" Target="https://d.book118.com/268064117134006033" TargetMode="Externa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Administrator</dc:creator>
  <cp:revision>0</cp:revision>
  <dcterms:created xsi:type="dcterms:W3CDTF">2024-02-04T12:24:20Z</dcterms:created>
  <dcterms:modified xsi:type="dcterms:W3CDTF">2024-02-04T12:24:20Z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Aspose Ltd.</vt:lpwstr>
  </property>
  <property fmtid="{D5CDD505-2E9C-101B-9397-08002B2CF9AE}" pid="4" name="LastSaved">
    <vt:filetime>2024-02-04T00:00:00Z</vt:filetime>
  </property>
</Properties>
</file>